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08" w:rsidRPr="00F54B01" w:rsidRDefault="00D40908" w:rsidP="00D40908">
      <w:pPr>
        <w:jc w:val="center"/>
        <w:rPr>
          <w:rFonts w:ascii="Times New Roman" w:eastAsia="Times New Roman" w:hAnsi="Times New Roman" w:cs="Times New Roman"/>
          <w:lang w:val="el-GR"/>
        </w:rPr>
      </w:pPr>
      <w:bookmarkStart w:id="0" w:name="_GoBack"/>
      <w:bookmarkEnd w:id="0"/>
      <w:r w:rsidRPr="00F54B01">
        <w:rPr>
          <w:rFonts w:ascii="Times New Roman" w:hAnsi="Times New Roman" w:cs="Times New Roman"/>
          <w:b/>
          <w:lang w:val="el-GR"/>
        </w:rPr>
        <w:t>ΠΕΡΙΛΗΨΗ ΤΩΝ ΧΑΡΑΚΤΗΡΙΣΤΙΚΩΝ ΤΟΥ</w:t>
      </w:r>
      <w:r w:rsidRPr="00F54B01">
        <w:rPr>
          <w:rFonts w:ascii="Times New Roman" w:hAnsi="Times New Roman" w:cs="Times New Roman"/>
          <w:b/>
          <w:spacing w:val="-19"/>
          <w:lang w:val="el-GR"/>
        </w:rPr>
        <w:t xml:space="preserve"> </w:t>
      </w:r>
      <w:r w:rsidRPr="00F54B01">
        <w:rPr>
          <w:rFonts w:ascii="Times New Roman" w:hAnsi="Times New Roman" w:cs="Times New Roman"/>
          <w:b/>
          <w:lang w:val="el-GR"/>
        </w:rPr>
        <w:t>ΠΡΟΪΟΝΤΟΣ</w:t>
      </w:r>
    </w:p>
    <w:p w:rsidR="00D40908" w:rsidRPr="00F54B01" w:rsidRDefault="00D40908" w:rsidP="009A7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104A" w:rsidRPr="00F54B01" w:rsidRDefault="00302B89" w:rsidP="009A7039">
      <w:pPr>
        <w:pStyle w:val="1"/>
        <w:numPr>
          <w:ilvl w:val="0"/>
          <w:numId w:val="22"/>
        </w:numPr>
        <w:tabs>
          <w:tab w:val="left" w:pos="567"/>
        </w:tabs>
        <w:ind w:left="567"/>
        <w:rPr>
          <w:rFonts w:cs="Times New Roman"/>
          <w:b w:val="0"/>
          <w:bCs w:val="0"/>
        </w:rPr>
      </w:pPr>
      <w:bookmarkStart w:id="1" w:name="ΠΕΡΙΛΗΨΗ_ΤΩΝ_ΧΑΡΑΚΤΗΡΙΣΤΙΚΩΝ_ΤΟΥ_ΠΡΟΪΟΝΤ"/>
      <w:bookmarkEnd w:id="1"/>
      <w:r w:rsidRPr="00F54B01">
        <w:rPr>
          <w:rFonts w:cs="Times New Roman"/>
        </w:rPr>
        <w:t>ΟΝΟΜΑΣΙΑ ΤΟΥ ΦΑΡΜΑΚΕΥΤΙΚΟΥ</w:t>
      </w:r>
      <w:r w:rsidRPr="00F54B01">
        <w:rPr>
          <w:rFonts w:cs="Times New Roman"/>
          <w:spacing w:val="-2"/>
        </w:rPr>
        <w:t xml:space="preserve"> </w:t>
      </w:r>
      <w:r w:rsidRPr="00F54B01">
        <w:rPr>
          <w:rFonts w:cs="Times New Roman"/>
        </w:rPr>
        <w:t>ΠΡΟΪΟΝΤΟΣ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</w:rPr>
        <w:t>AGARDON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επικαλυμμένα με λεπτό υμένιο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δισκία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numPr>
          <w:ilvl w:val="0"/>
          <w:numId w:val="22"/>
        </w:numPr>
        <w:tabs>
          <w:tab w:val="left" w:pos="567"/>
        </w:tabs>
        <w:ind w:left="567"/>
        <w:rPr>
          <w:rFonts w:cs="Times New Roman"/>
          <w:b w:val="0"/>
          <w:bCs w:val="0"/>
        </w:rPr>
      </w:pPr>
      <w:r w:rsidRPr="00F54B01">
        <w:rPr>
          <w:rFonts w:cs="Times New Roman"/>
        </w:rPr>
        <w:t>ΠΟΙΟΤΙΚΗ ΚΑΙ ΠΟΣΟΤΙΚΗ</w:t>
      </w:r>
      <w:r w:rsidRPr="00F54B01">
        <w:rPr>
          <w:rFonts w:cs="Times New Roman"/>
          <w:spacing w:val="-4"/>
        </w:rPr>
        <w:t xml:space="preserve"> </w:t>
      </w:r>
      <w:r w:rsidRPr="00F54B01">
        <w:rPr>
          <w:rFonts w:cs="Times New Roman"/>
        </w:rPr>
        <w:t>ΣΥΝΘΕΣΗ</w:t>
      </w:r>
    </w:p>
    <w:p w:rsidR="00302B89" w:rsidRPr="00F54B01" w:rsidRDefault="00302B89" w:rsidP="009A7039">
      <w:pPr>
        <w:pStyle w:val="a3"/>
        <w:ind w:left="0"/>
        <w:rPr>
          <w:rFonts w:cs="Times New Roman"/>
          <w:lang w:val="el-GR"/>
        </w:rPr>
      </w:pPr>
    </w:p>
    <w:p w:rsidR="00302B89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Κάθε επικαλυμμένο με λεπτό υμένιο δισκίο περιέχει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τε</w:t>
      </w:r>
      <w:r w:rsidR="00805E71" w:rsidRPr="00F54B01">
        <w:rPr>
          <w:rFonts w:cs="Times New Roman"/>
          <w:lang w:val="el-GR"/>
        </w:rPr>
        <w:t>ν</w:t>
      </w:r>
      <w:r w:rsidRPr="00F54B01">
        <w:rPr>
          <w:rFonts w:cs="Times New Roman"/>
          <w:lang w:val="el-GR"/>
        </w:rPr>
        <w:t>οφοβίρη</w:t>
      </w:r>
      <w:r w:rsidR="00CA6D48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δισοπρόξιλη</w:t>
      </w:r>
      <w:r w:rsidR="00CA6D48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(ως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ηλεκτρική). </w:t>
      </w:r>
    </w:p>
    <w:p w:rsidR="00302B89" w:rsidRPr="00F54B01" w:rsidRDefault="00302B89" w:rsidP="009A7039">
      <w:pPr>
        <w:pStyle w:val="a3"/>
        <w:ind w:left="0"/>
        <w:rPr>
          <w:rFonts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Έκδοχο με γνωστή</w:t>
      </w:r>
      <w:r w:rsidRPr="00F54B01">
        <w:rPr>
          <w:rFonts w:cs="Times New Roman"/>
          <w:spacing w:val="-1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δράση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Κάθε δισκίο περιέχει </w:t>
      </w:r>
      <w:r w:rsidR="00FB72E2">
        <w:rPr>
          <w:rFonts w:cs="Times New Roman"/>
          <w:lang w:val="el-GR"/>
        </w:rPr>
        <w:t>105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</w:t>
      </w:r>
      <w:r w:rsidR="00FB72E2">
        <w:rPr>
          <w:rFonts w:cs="Times New Roman"/>
          <w:lang w:val="el-GR"/>
        </w:rPr>
        <w:t>μονοϋδρικής λακτόζης</w:t>
      </w:r>
      <w:r w:rsidRPr="00F54B01">
        <w:rPr>
          <w:rFonts w:cs="Times New Roman"/>
          <w:lang w:val="el-GR"/>
        </w:rPr>
        <w:t>.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Για τον πλήρη κατάλογο των εκδόχων, βλ. παράγραφο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6.1.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numPr>
          <w:ilvl w:val="0"/>
          <w:numId w:val="22"/>
        </w:numPr>
        <w:tabs>
          <w:tab w:val="left" w:pos="567"/>
        </w:tabs>
        <w:ind w:left="567"/>
        <w:rPr>
          <w:rFonts w:cs="Times New Roman"/>
          <w:b w:val="0"/>
          <w:bCs w:val="0"/>
        </w:rPr>
      </w:pPr>
      <w:r w:rsidRPr="00F54B01">
        <w:rPr>
          <w:rFonts w:cs="Times New Roman"/>
        </w:rPr>
        <w:t>ΦΑΡΜΑΚΟΤΕΧΝΙΚΗ</w:t>
      </w:r>
      <w:r w:rsidRPr="00F54B01">
        <w:rPr>
          <w:rFonts w:cs="Times New Roman"/>
          <w:spacing w:val="-5"/>
        </w:rPr>
        <w:t xml:space="preserve"> </w:t>
      </w:r>
      <w:r w:rsidRPr="00F54B01">
        <w:rPr>
          <w:rFonts w:cs="Times New Roman"/>
        </w:rPr>
        <w:t>ΜΟΡΦΗ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B807B9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Επικαλυμμένο</w:t>
      </w:r>
      <w:r w:rsidR="00302B89" w:rsidRPr="00F54B01">
        <w:rPr>
          <w:rFonts w:cs="Times New Roman"/>
          <w:lang w:val="el-GR"/>
        </w:rPr>
        <w:t xml:space="preserve"> με λεπτό υμένιο δισκίο.</w:t>
      </w:r>
    </w:p>
    <w:p w:rsidR="009D104A" w:rsidRPr="00F54B01" w:rsidRDefault="00302B89" w:rsidP="001E7767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Επικαλυμμένα με λεπτό υμένιο δισκία, ανοικτού γαλάζιου χρώματος και σχήματος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αμυγδάλου, διαστάσεων </w:t>
      </w:r>
      <w:r w:rsidR="00805E71" w:rsidRPr="00F54B01">
        <w:rPr>
          <w:rFonts w:cs="Times New Roman"/>
          <w:lang w:val="el-GR"/>
        </w:rPr>
        <w:t>περίπου 17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mm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x</w:t>
      </w:r>
      <w:r w:rsidRPr="00F54B01">
        <w:rPr>
          <w:rFonts w:cs="Times New Roman"/>
          <w:lang w:val="el-GR"/>
        </w:rPr>
        <w:t xml:space="preserve"> 10,</w:t>
      </w:r>
      <w:r w:rsidR="00805E71" w:rsidRPr="00F54B01">
        <w:rPr>
          <w:rFonts w:cs="Times New Roman"/>
          <w:lang w:val="el-GR"/>
        </w:rPr>
        <w:t xml:space="preserve">5 </w:t>
      </w:r>
      <w:r w:rsidRPr="00F54B01">
        <w:rPr>
          <w:rFonts w:cs="Times New Roman"/>
          <w:spacing w:val="-2"/>
        </w:rPr>
        <w:t>mm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numPr>
          <w:ilvl w:val="0"/>
          <w:numId w:val="22"/>
        </w:numPr>
        <w:tabs>
          <w:tab w:val="left" w:pos="567"/>
        </w:tabs>
        <w:ind w:left="567"/>
        <w:rPr>
          <w:rFonts w:cs="Times New Roman"/>
          <w:b w:val="0"/>
          <w:bCs w:val="0"/>
        </w:rPr>
      </w:pPr>
      <w:r w:rsidRPr="00F54B01">
        <w:rPr>
          <w:rFonts w:cs="Times New Roman"/>
        </w:rPr>
        <w:t>ΚΛΙΝΙΚΕΣ</w:t>
      </w:r>
      <w:r w:rsidRPr="00F54B01">
        <w:rPr>
          <w:rFonts w:cs="Times New Roman"/>
          <w:spacing w:val="-3"/>
        </w:rPr>
        <w:t xml:space="preserve"> </w:t>
      </w:r>
      <w:r w:rsidRPr="00F54B01">
        <w:rPr>
          <w:rFonts w:cs="Times New Roman"/>
        </w:rPr>
        <w:t>ΠΛΗΡΟΦΟΡΙΕΣ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eastAsia="Times New Roman" w:hAnsi="Times New Roman" w:cs="Times New Roman"/>
        </w:rPr>
      </w:pPr>
      <w:r w:rsidRPr="00F54B01">
        <w:rPr>
          <w:rFonts w:ascii="Times New Roman" w:hAnsi="Times New Roman" w:cs="Times New Roman"/>
          <w:b/>
        </w:rPr>
        <w:t>Θεραπευτικές</w:t>
      </w:r>
      <w:r w:rsidRPr="00F54B01">
        <w:rPr>
          <w:rFonts w:ascii="Times New Roman" w:hAnsi="Times New Roman" w:cs="Times New Roman"/>
          <w:b/>
          <w:spacing w:val="-1"/>
        </w:rPr>
        <w:t xml:space="preserve"> </w:t>
      </w:r>
      <w:r w:rsidRPr="00F54B01">
        <w:rPr>
          <w:rFonts w:ascii="Times New Roman" w:hAnsi="Times New Roman" w:cs="Times New Roman"/>
          <w:b/>
        </w:rPr>
        <w:t>ενδείξεις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Λοίμωξη από τον ιό</w:t>
      </w:r>
      <w:r w:rsidRPr="00F54B01">
        <w:rPr>
          <w:rFonts w:ascii="Times New Roman" w:hAnsi="Times New Roman" w:cs="Times New Roman"/>
          <w:i/>
          <w:spacing w:val="-6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HIV</w:t>
      </w:r>
      <w:r w:rsidRPr="00F54B01">
        <w:rPr>
          <w:rFonts w:ascii="Times New Roman" w:hAnsi="Times New Roman" w:cs="Times New Roman"/>
          <w:i/>
          <w:lang w:val="el-GR"/>
        </w:rPr>
        <w:t>-1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Τα </w:t>
      </w:r>
      <w:r w:rsidR="00805E71" w:rsidRPr="00F54B01">
        <w:rPr>
          <w:rFonts w:cs="Times New Roman"/>
        </w:rPr>
        <w:t>AGARDON</w:t>
      </w:r>
      <w:r w:rsidR="00805E7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επικαλυμμένα με λεπτό υμένιο δισκία ενδείκνυνται σε συνδυασμό με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άλλα αντιρετροϊκά φαρμακευτικά προϊόντα για τη θεραπεία των ενηλίκων που έχουν προσβληθεί από τον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8E2BBE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050616" behindDoc="1" locked="0" layoutInCell="1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741045</wp:posOffset>
                </wp:positionV>
                <wp:extent cx="35560" cy="1270"/>
                <wp:effectExtent l="6985" t="7620" r="5080" b="10160"/>
                <wp:wrapNone/>
                <wp:docPr id="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4091" y="1167"/>
                          <a:chExt cx="56" cy="2"/>
                        </a:xfrm>
                      </wpg:grpSpPr>
                      <wps:wsp>
                        <wps:cNvPr id="7" name="Freeform 172"/>
                        <wps:cNvSpPr>
                          <a:spLocks/>
                        </wps:cNvSpPr>
                        <wps:spPr bwMode="auto">
                          <a:xfrm>
                            <a:off x="4091" y="1167"/>
                            <a:ext cx="56" cy="2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56"/>
                              <a:gd name="T2" fmla="+- 0 4146 4091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04.55pt;margin-top:58.35pt;width:2.8pt;height:.1pt;z-index:-265864;mso-position-horizontal-relative:page" coordorigin="4091,1167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">
                <v:shape id="Freeform 172" o:spid="_x0000_s1027" style="position:absolute;left:4091;top:1167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Q0cMA&#10;AADaAAAADwAAAGRycy9kb3ducmV2LnhtbESPW4vCMBSE3wX/QzgL+yKauqCWrmlRQVhBEC/s86E5&#10;vbDNSWmi1n+/EQQfh5n5hllmvWnEjTpXW1YwnUQgiHOray4VXM7bcQzCeWSNjWVS8CAHWTocLDHR&#10;9s5Hup18KQKEXYIKKu/bREqXV2TQTWxLHLzCdgZ9kF0pdYf3ADeN/IqiuTRYc1iosKVNRfnf6WoU&#10;7NcHGvE8Ln5nZfE4HOPZblPvlPr86FffIDz1/h1+tX+0ggU8r4Qb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3Q0cMAAADaAAAADwAAAAAAAAAAAAAAAACYAgAAZHJzL2Rv&#10;d25yZXYueG1sUEsFBgAAAAAEAAQA9QAAAIgDAAAAAA==&#10;" path="m,l55,e" filled="f" strokeweight=".6pt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 w:rsidR="00302B89" w:rsidRPr="00F54B01">
        <w:rPr>
          <w:rFonts w:cs="Times New Roman"/>
          <w:lang w:val="el-GR"/>
        </w:rPr>
        <w:t xml:space="preserve">Στους ενήλικες, η απόδειξη των θετικών επιδράσεων </w:t>
      </w:r>
      <w:r w:rsidR="001E7767" w:rsidRPr="00F54B01">
        <w:rPr>
          <w:rFonts w:cs="Times New Roman"/>
          <w:lang w:val="el-GR"/>
        </w:rPr>
        <w:t>της τενοφοβίρης</w:t>
      </w:r>
      <w:r w:rsidR="00302B89" w:rsidRPr="00F54B01">
        <w:rPr>
          <w:rFonts w:cs="Times New Roman"/>
          <w:lang w:val="el-GR"/>
        </w:rPr>
        <w:t xml:space="preserve"> στη λοίμωξη από τον ιό</w:t>
      </w:r>
      <w:r w:rsidR="00302B89" w:rsidRPr="00F54B01">
        <w:rPr>
          <w:rFonts w:cs="Times New Roman"/>
          <w:spacing w:val="-21"/>
          <w:lang w:val="el-GR"/>
        </w:rPr>
        <w:t xml:space="preserve"> </w:t>
      </w:r>
      <w:r w:rsidR="00302B89" w:rsidRPr="00F54B01">
        <w:rPr>
          <w:rFonts w:cs="Times New Roman"/>
        </w:rPr>
        <w:t>HIV</w:t>
      </w:r>
      <w:r w:rsidR="00302B89" w:rsidRPr="00F54B01">
        <w:rPr>
          <w:rFonts w:cs="Times New Roman"/>
          <w:lang w:val="el-GR"/>
        </w:rPr>
        <w:t>-1 βασίζεται στα αποτελέσματα μίας μελέτης σε πρωτοθεραπευόμενους</w:t>
      </w:r>
      <w:r w:rsidR="00302B89" w:rsidRPr="00F54B01">
        <w:rPr>
          <w:rFonts w:cs="Times New Roman"/>
          <w:spacing w:val="-11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ασθενείς, συμπεριλαμβανομένων ασθενών με υψηλό ιϊκό φορτίο (&gt;100.000 αντίγραφα/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>) και μελέτες</w:t>
      </w:r>
      <w:r w:rsidR="00302B89" w:rsidRPr="00F54B01">
        <w:rPr>
          <w:rFonts w:cs="Times New Roman"/>
          <w:spacing w:val="-2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στις οποίες </w:t>
      </w:r>
      <w:r w:rsidR="001E7767" w:rsidRPr="00F54B01">
        <w:rPr>
          <w:rFonts w:cs="Times New Roman"/>
          <w:lang w:val="el-GR"/>
        </w:rPr>
        <w:t>η τενοφοβίρη</w:t>
      </w:r>
      <w:r w:rsidR="00302B89" w:rsidRPr="00F54B01">
        <w:rPr>
          <w:rFonts w:cs="Times New Roman"/>
          <w:lang w:val="el-GR"/>
        </w:rPr>
        <w:t xml:space="preserve"> προστέθηκε στη σταθερή βασική θεραπεία (κυρίως τριπλό θεραπευτικό σχήμα)</w:t>
      </w:r>
      <w:r w:rsidR="00302B89" w:rsidRPr="00F54B01">
        <w:rPr>
          <w:rFonts w:cs="Times New Roman"/>
          <w:spacing w:val="-28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σε ασθενείς που είχαν ήδη δεχθεί αντιρετροϊκή αγωγή και παρουσίαζαν πρώιμη ιολογική</w:t>
      </w:r>
      <w:r w:rsidR="00302B89" w:rsidRPr="00F54B01">
        <w:rPr>
          <w:rFonts w:cs="Times New Roman"/>
          <w:spacing w:val="-23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αποτυχία</w:t>
      </w:r>
      <w:r w:rsidR="001E7767" w:rsidRPr="00F54B01">
        <w:rPr>
          <w:rFonts w:cs="Times New Roman"/>
          <w:lang w:val="el-GR"/>
        </w:rPr>
        <w:t xml:space="preserve"> </w:t>
      </w:r>
      <w:r w:rsidR="00FB72E2">
        <w:rPr>
          <w:rFonts w:cs="Times New Roman"/>
          <w:lang w:val="el-GR"/>
        </w:rPr>
        <w:t>(&lt;</w:t>
      </w:r>
      <w:r w:rsidR="00302B89" w:rsidRPr="00F54B01">
        <w:rPr>
          <w:rFonts w:cs="Times New Roman"/>
          <w:lang w:val="el-GR"/>
        </w:rPr>
        <w:t>10.000 αντίγραφα/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>, με την πλε</w:t>
      </w:r>
      <w:r w:rsidR="00FB72E2">
        <w:rPr>
          <w:rFonts w:cs="Times New Roman"/>
          <w:lang w:val="el-GR"/>
        </w:rPr>
        <w:t>ιονότητα των ασθενών να έχουν &lt;</w:t>
      </w:r>
      <w:r w:rsidR="00302B89" w:rsidRPr="00F54B01">
        <w:rPr>
          <w:rFonts w:cs="Times New Roman"/>
          <w:lang w:val="el-GR"/>
        </w:rPr>
        <w:t>5.000</w:t>
      </w:r>
      <w:r w:rsidR="00302B89" w:rsidRPr="00F54B01">
        <w:rPr>
          <w:rFonts w:cs="Times New Roman"/>
          <w:spacing w:val="-17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αντίγραφα/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>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jc w:val="both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Τα </w:t>
      </w:r>
      <w:r w:rsidR="003F4B4E">
        <w:rPr>
          <w:rFonts w:cs="Times New Roman"/>
        </w:rPr>
        <w:t>AGARDON</w:t>
      </w:r>
      <w:r w:rsidR="003F4B4E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επικαλυμμένα με λεπτό υμένιο δισκία ενδείκνυνται επίσης για τη θεραπεία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των εφήβων που έχουν προσβληθεί από 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-1, ηλικίας 12 έως &lt;18 ετών, με αντοχή σε </w:t>
      </w:r>
      <w:r w:rsidRPr="00F54B01">
        <w:rPr>
          <w:rFonts w:cs="Times New Roman"/>
        </w:rPr>
        <w:t>NRTI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ή τοξικότητες που αποκλείουν τη χρήση παραγόντων πρώτης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γραμμής.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επιλογή του </w:t>
      </w:r>
      <w:r w:rsidR="003F4B4E">
        <w:rPr>
          <w:rFonts w:cs="Times New Roman"/>
        </w:rPr>
        <w:t>AGARDON</w:t>
      </w:r>
      <w:r w:rsidR="003F4B4E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για τη αγωγή ασθενών με λοίμωξη από 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 οι οποίοι έχουν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λάβει αντιρετροϊκή θεραπεία πρέπει να βασίζεται στην ατομική δοκιμή αντοχής και/ή το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ιστορικό θεραπείας κάθε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ασθενούς.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Λοίμωξη από τον ιό της ηπατίτιδας</w:t>
      </w:r>
      <w:r w:rsidRPr="00F54B01">
        <w:rPr>
          <w:rFonts w:ascii="Times New Roman" w:hAnsi="Times New Roman" w:cs="Times New Roman"/>
          <w:i/>
          <w:spacing w:val="-9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B</w:t>
      </w:r>
    </w:p>
    <w:p w:rsidR="009D104A" w:rsidRPr="00F54B01" w:rsidRDefault="00302B89" w:rsidP="008E2BBE">
      <w:pPr>
        <w:pStyle w:val="a3"/>
        <w:ind w:left="0"/>
        <w:rPr>
          <w:rFonts w:cs="Times New Roman"/>
          <w:sz w:val="21"/>
          <w:szCs w:val="21"/>
          <w:lang w:val="el-GR"/>
        </w:rPr>
      </w:pPr>
      <w:r w:rsidRPr="00F54B01">
        <w:rPr>
          <w:rFonts w:cs="Times New Roman"/>
          <w:lang w:val="el-GR"/>
        </w:rPr>
        <w:t xml:space="preserve">Τα </w:t>
      </w:r>
      <w:r w:rsidR="003F4B4E">
        <w:rPr>
          <w:rFonts w:cs="Times New Roman"/>
        </w:rPr>
        <w:t>AGARDON</w:t>
      </w:r>
      <w:r w:rsidR="003F4B4E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επικαλυμμένα με λεπτό υμένιο δισκία ενδείκνυνται για τη θεραπεία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της χρόνιας ηπατίτιδας </w:t>
      </w:r>
      <w:r w:rsidRPr="00F54B01">
        <w:rPr>
          <w:rFonts w:cs="Times New Roman"/>
        </w:rPr>
        <w:t>B</w:t>
      </w:r>
      <w:r w:rsidRPr="00F54B01">
        <w:rPr>
          <w:rFonts w:cs="Times New Roman"/>
          <w:lang w:val="el-GR"/>
        </w:rPr>
        <w:t xml:space="preserve"> σε ενήλικες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με:</w:t>
      </w:r>
    </w:p>
    <w:p w:rsidR="009D104A" w:rsidRPr="00F54B01" w:rsidRDefault="00302B89" w:rsidP="009A7039">
      <w:pPr>
        <w:pStyle w:val="a4"/>
        <w:numPr>
          <w:ilvl w:val="0"/>
          <w:numId w:val="21"/>
        </w:numPr>
        <w:tabs>
          <w:tab w:val="left" w:pos="567"/>
        </w:tabs>
        <w:ind w:left="567"/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lang w:val="el-GR"/>
        </w:rPr>
        <w:t>αντιρροπούμενη ηπατική νόσο, με ένδειξη ενεργού ιικής αντιγραφής, επίμονα υψηλά</w:t>
      </w:r>
      <w:r w:rsidRPr="00F54B01">
        <w:rPr>
          <w:rFonts w:ascii="Times New Roman" w:hAnsi="Times New Roman" w:cs="Times New Roman"/>
          <w:spacing w:val="-24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επίπεδα αλανίνης αμινοτρανσφεράσης (</w:t>
      </w:r>
      <w:r w:rsidRPr="00F54B01">
        <w:rPr>
          <w:rFonts w:ascii="Times New Roman" w:hAnsi="Times New Roman" w:cs="Times New Roman"/>
        </w:rPr>
        <w:t>ALT</w:t>
      </w:r>
      <w:r w:rsidRPr="00F54B01">
        <w:rPr>
          <w:rFonts w:ascii="Times New Roman" w:hAnsi="Times New Roman" w:cs="Times New Roman"/>
          <w:lang w:val="el-GR"/>
        </w:rPr>
        <w:t>) στον ορό και ιστολογική ένδειξη ενεργού</w:t>
      </w:r>
      <w:r w:rsidRPr="00F54B01">
        <w:rPr>
          <w:rFonts w:ascii="Times New Roman" w:hAnsi="Times New Roman" w:cs="Times New Roman"/>
          <w:spacing w:val="-18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φλεγμονής και/ή ίνωσης (βλ. παράγραφο</w:t>
      </w:r>
      <w:r w:rsidRPr="00F54B01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5.1).</w:t>
      </w:r>
    </w:p>
    <w:p w:rsidR="009D104A" w:rsidRPr="00F54B01" w:rsidRDefault="00302B89" w:rsidP="009A7039">
      <w:pPr>
        <w:pStyle w:val="a4"/>
        <w:numPr>
          <w:ilvl w:val="0"/>
          <w:numId w:val="21"/>
        </w:numPr>
        <w:tabs>
          <w:tab w:val="left" w:pos="567"/>
        </w:tabs>
        <w:ind w:left="567"/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lang w:val="el-GR"/>
        </w:rPr>
        <w:t xml:space="preserve">ένδειξη ιού της ηπατίτιδας </w:t>
      </w:r>
      <w:r w:rsidRPr="00F54B01">
        <w:rPr>
          <w:rFonts w:ascii="Times New Roman" w:hAnsi="Times New Roman" w:cs="Times New Roman"/>
        </w:rPr>
        <w:t>B</w:t>
      </w:r>
      <w:r w:rsidRPr="00F54B01">
        <w:rPr>
          <w:rFonts w:ascii="Times New Roman" w:hAnsi="Times New Roman" w:cs="Times New Roman"/>
          <w:lang w:val="el-GR"/>
        </w:rPr>
        <w:t xml:space="preserve"> με αντοχή </w:t>
      </w:r>
      <w:r w:rsidR="003F4B4E">
        <w:rPr>
          <w:rFonts w:ascii="Times New Roman" w:hAnsi="Times New Roman" w:cs="Times New Roman"/>
          <w:lang w:val="el-GR"/>
        </w:rPr>
        <w:t>στ</w:t>
      </w:r>
      <w:r w:rsidR="00CA6D48">
        <w:rPr>
          <w:rFonts w:ascii="Times New Roman" w:hAnsi="Times New Roman" w:cs="Times New Roman"/>
          <w:lang w:val="el-GR"/>
        </w:rPr>
        <w:t>η</w:t>
      </w:r>
      <w:r w:rsidR="003F4B4E">
        <w:rPr>
          <w:rFonts w:ascii="Times New Roman" w:hAnsi="Times New Roman" w:cs="Times New Roman"/>
          <w:lang w:val="el-GR"/>
        </w:rPr>
        <w:t xml:space="preserve"> </w:t>
      </w:r>
      <w:r w:rsidR="00643ECB" w:rsidRPr="00FB72E2">
        <w:rPr>
          <w:rFonts w:ascii="Times New Roman" w:hAnsi="Times New Roman" w:cs="Times New Roman"/>
          <w:lang w:val="el-GR"/>
        </w:rPr>
        <w:t>λαμιβουδίνη</w:t>
      </w:r>
      <w:r w:rsidRPr="00F54B01">
        <w:rPr>
          <w:rFonts w:ascii="Times New Roman" w:hAnsi="Times New Roman" w:cs="Times New Roman"/>
          <w:lang w:val="el-GR"/>
        </w:rPr>
        <w:t xml:space="preserve"> (βλ. παραγράφους 4.8 και</w:t>
      </w:r>
      <w:r w:rsidRPr="00F54B0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5.1).</w:t>
      </w:r>
    </w:p>
    <w:p w:rsidR="009D104A" w:rsidRPr="00F54B01" w:rsidRDefault="00302B89" w:rsidP="009A7039">
      <w:pPr>
        <w:pStyle w:val="a4"/>
        <w:numPr>
          <w:ilvl w:val="0"/>
          <w:numId w:val="21"/>
        </w:numPr>
        <w:tabs>
          <w:tab w:val="left" w:pos="567"/>
        </w:tabs>
        <w:ind w:left="567"/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lang w:val="el-GR"/>
        </w:rPr>
        <w:t>μη αντιρροπούμενη ηπατική νόσο (βλ. παραγράφους 4.4, 4.8 και</w:t>
      </w:r>
      <w:r w:rsidRPr="00F54B01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5.1).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8E2BBE">
      <w:pPr>
        <w:pStyle w:val="a3"/>
        <w:ind w:left="0"/>
        <w:rPr>
          <w:rFonts w:cs="Times New Roman"/>
          <w:sz w:val="21"/>
          <w:szCs w:val="21"/>
          <w:lang w:val="el-GR"/>
        </w:rPr>
      </w:pPr>
      <w:r w:rsidRPr="00F54B01">
        <w:rPr>
          <w:rFonts w:cs="Times New Roman"/>
          <w:lang w:val="el-GR"/>
        </w:rPr>
        <w:t xml:space="preserve">Τα </w:t>
      </w:r>
      <w:r w:rsidR="003F4B4E">
        <w:rPr>
          <w:rFonts w:cs="Times New Roman"/>
        </w:rPr>
        <w:t>AGARDON</w:t>
      </w:r>
      <w:r w:rsidR="003F4B4E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επικαλυμμένα με λεπτό υμένιο δισκία ενδείκνυνται για τη θεραπεία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της χρόνιας ηπατίτιδας </w:t>
      </w:r>
      <w:r w:rsidRPr="00F54B01">
        <w:rPr>
          <w:rFonts w:cs="Times New Roman"/>
        </w:rPr>
        <w:t>B</w:t>
      </w:r>
      <w:r w:rsidRPr="00F54B01">
        <w:rPr>
          <w:rFonts w:cs="Times New Roman"/>
          <w:lang w:val="el-GR"/>
        </w:rPr>
        <w:t xml:space="preserve"> σε εφήβους ηλικίας 12 έως &lt;18 ετών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>με:</w:t>
      </w:r>
    </w:p>
    <w:p w:rsidR="009D104A" w:rsidRPr="00F54B01" w:rsidRDefault="00302B89" w:rsidP="009A7039">
      <w:pPr>
        <w:pStyle w:val="a4"/>
        <w:numPr>
          <w:ilvl w:val="0"/>
          <w:numId w:val="21"/>
        </w:numPr>
        <w:tabs>
          <w:tab w:val="left" w:pos="567"/>
        </w:tabs>
        <w:ind w:left="567"/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lang w:val="el-GR"/>
        </w:rPr>
        <w:t xml:space="preserve">αντιρροπούμενη ηπατική νόσο και ένδειξη ανοσολογικής ενεργού νόσου δηλ. </w:t>
      </w:r>
      <w:r w:rsidR="003F4B4E" w:rsidRPr="00F54B01">
        <w:rPr>
          <w:rFonts w:ascii="Times New Roman" w:hAnsi="Times New Roman" w:cs="Times New Roman"/>
          <w:lang w:val="el-GR"/>
        </w:rPr>
        <w:t>ενεργού</w:t>
      </w:r>
      <w:r w:rsidR="003F4B4E" w:rsidRPr="003F4B4E">
        <w:rPr>
          <w:rFonts w:ascii="Times New Roman" w:hAnsi="Times New Roman" w:cs="Times New Roman"/>
          <w:spacing w:val="-20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ιικής αντιγραφής, επίμονα υψηλά επίπεδα </w:t>
      </w:r>
      <w:r w:rsidRPr="00F54B01">
        <w:rPr>
          <w:rFonts w:ascii="Times New Roman" w:hAnsi="Times New Roman" w:cs="Times New Roman"/>
        </w:rPr>
        <w:t>ALT</w:t>
      </w:r>
      <w:r w:rsidRPr="00F54B01">
        <w:rPr>
          <w:rFonts w:ascii="Times New Roman" w:hAnsi="Times New Roman" w:cs="Times New Roman"/>
          <w:lang w:val="el-GR"/>
        </w:rPr>
        <w:t xml:space="preserve"> στον ορό και ιστολογική ένδειξη ενεργού</w:t>
      </w:r>
      <w:r w:rsidRPr="00F54B01">
        <w:rPr>
          <w:rFonts w:ascii="Times New Roman" w:hAnsi="Times New Roman" w:cs="Times New Roman"/>
          <w:spacing w:val="-30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φλεγμονής </w:t>
      </w:r>
      <w:r w:rsidRPr="00F54B01">
        <w:rPr>
          <w:rFonts w:ascii="Times New Roman" w:hAnsi="Times New Roman" w:cs="Times New Roman"/>
          <w:lang w:val="el-GR"/>
        </w:rPr>
        <w:lastRenderedPageBreak/>
        <w:t>και/ή ίνωσης (βλ. παραγράφους 4.4, 4.8 και</w:t>
      </w:r>
      <w:r w:rsidRPr="00F54B0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5.1).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</w:rPr>
      </w:pPr>
      <w:r w:rsidRPr="00F54B01">
        <w:rPr>
          <w:rFonts w:ascii="Times New Roman" w:hAnsi="Times New Roman" w:cs="Times New Roman"/>
          <w:b/>
        </w:rPr>
        <w:t>Δοσολογία και τρόπος χορήγησης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αγωγή πρέπει να χορηγηθεί από γιατρό εξειδικευμένο στη θεραπεία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 λοιμώξεων και/ή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τη θεραπεία της χρόνιας ηπατίτιδας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Β.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Δοσολογία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Ενήλικες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συνιστώμενη δόση του </w:t>
      </w:r>
      <w:r w:rsidR="003F4B4E">
        <w:rPr>
          <w:rFonts w:cs="Times New Roman"/>
        </w:rPr>
        <w:t>AGARDON</w:t>
      </w:r>
      <w:r w:rsidR="003F4B4E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για τη θεραπεία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ή τη θεραπεία της χρόνιας ηπατίτιδας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Β είναι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(ένα δισκίο) μία φορά την ημέρα, λαμβανόμενο από του στόματος μαζί με την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τροφή.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Χρόνια ηπατίτιδα</w:t>
      </w:r>
      <w:r w:rsidRPr="00F54B01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B</w:t>
      </w:r>
    </w:p>
    <w:p w:rsidR="009D104A" w:rsidRPr="00F54B01" w:rsidRDefault="00302B89" w:rsidP="00FB72E2">
      <w:pPr>
        <w:pStyle w:val="a3"/>
        <w:ind w:left="0"/>
        <w:rPr>
          <w:rFonts w:cs="Times New Roman"/>
          <w:sz w:val="21"/>
          <w:szCs w:val="21"/>
          <w:lang w:val="el-GR"/>
        </w:rPr>
      </w:pPr>
      <w:r w:rsidRPr="00F54B01">
        <w:rPr>
          <w:rFonts w:cs="Times New Roman"/>
          <w:lang w:val="el-GR"/>
        </w:rPr>
        <w:t>Η βέλτιστη διάρκεια της θεραπείας είναι άγνωστη. Η διακοπή της θεραπείας μπορεί να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εξεταστεί ως εξής:</w:t>
      </w:r>
    </w:p>
    <w:p w:rsidR="009D104A" w:rsidRPr="00FB72E2" w:rsidRDefault="00302B89" w:rsidP="009A7039">
      <w:pPr>
        <w:pStyle w:val="a4"/>
        <w:numPr>
          <w:ilvl w:val="0"/>
          <w:numId w:val="20"/>
        </w:numPr>
        <w:tabs>
          <w:tab w:val="left" w:pos="567"/>
        </w:tabs>
        <w:ind w:left="567"/>
        <w:rPr>
          <w:rFonts w:ascii="Times New Roman" w:eastAsia="Times New Roman" w:hAnsi="Times New Roman" w:cs="Times New Roman"/>
          <w:lang w:val="el-GR"/>
        </w:rPr>
      </w:pPr>
      <w:r w:rsidRPr="00FB72E2">
        <w:rPr>
          <w:rFonts w:ascii="Times New Roman" w:hAnsi="Times New Roman" w:cs="Times New Roman"/>
          <w:lang w:val="el-GR"/>
        </w:rPr>
        <w:t xml:space="preserve">Σε </w:t>
      </w:r>
      <w:r w:rsidRPr="00FB72E2">
        <w:rPr>
          <w:rFonts w:ascii="Times New Roman" w:hAnsi="Times New Roman" w:cs="Times New Roman"/>
        </w:rPr>
        <w:t>HBeAg</w:t>
      </w:r>
      <w:r w:rsidRPr="00FB72E2">
        <w:rPr>
          <w:rFonts w:ascii="Times New Roman" w:hAnsi="Times New Roman" w:cs="Times New Roman"/>
          <w:lang w:val="el-GR"/>
        </w:rPr>
        <w:t xml:space="preserve"> θετικούς ασθενείς χωρίς κίρρωση, η θεραπεία πρέπει να χορηγείται για</w:t>
      </w:r>
      <w:r w:rsidRPr="00FB72E2">
        <w:rPr>
          <w:rFonts w:ascii="Times New Roman" w:hAnsi="Times New Roman" w:cs="Times New Roman"/>
          <w:spacing w:val="-29"/>
          <w:lang w:val="el-GR"/>
        </w:rPr>
        <w:t xml:space="preserve"> </w:t>
      </w:r>
      <w:r w:rsidR="00CA6D48">
        <w:rPr>
          <w:rFonts w:ascii="Times New Roman" w:hAnsi="Times New Roman" w:cs="Times New Roman"/>
          <w:lang w:val="el-GR"/>
        </w:rPr>
        <w:t>τουλάχιστον 6-</w:t>
      </w:r>
      <w:r w:rsidRPr="00FB72E2">
        <w:rPr>
          <w:rFonts w:ascii="Times New Roman" w:hAnsi="Times New Roman" w:cs="Times New Roman"/>
          <w:lang w:val="el-GR"/>
        </w:rPr>
        <w:t xml:space="preserve">12 μήνες αφού επιβεβαιωθεί η </w:t>
      </w:r>
      <w:r w:rsidRPr="00FB72E2">
        <w:rPr>
          <w:rFonts w:ascii="Times New Roman" w:hAnsi="Times New Roman" w:cs="Times New Roman"/>
        </w:rPr>
        <w:t>HBe</w:t>
      </w:r>
      <w:r w:rsidRPr="00FB72E2">
        <w:rPr>
          <w:rFonts w:ascii="Times New Roman" w:hAnsi="Times New Roman" w:cs="Times New Roman"/>
          <w:lang w:val="el-GR"/>
        </w:rPr>
        <w:t xml:space="preserve"> ορομετατροπή (</w:t>
      </w:r>
      <w:r w:rsidRPr="00FB72E2">
        <w:rPr>
          <w:rFonts w:ascii="Times New Roman" w:hAnsi="Times New Roman" w:cs="Times New Roman"/>
        </w:rPr>
        <w:t>HBeAg</w:t>
      </w:r>
      <w:r w:rsidRPr="00FB72E2">
        <w:rPr>
          <w:rFonts w:ascii="Times New Roman" w:hAnsi="Times New Roman" w:cs="Times New Roman"/>
          <w:lang w:val="el-GR"/>
        </w:rPr>
        <w:t xml:space="preserve"> αρνητικοποίηση και </w:t>
      </w:r>
      <w:r w:rsidRPr="00FB72E2">
        <w:rPr>
          <w:rFonts w:ascii="Times New Roman" w:hAnsi="Times New Roman" w:cs="Times New Roman"/>
        </w:rPr>
        <w:t>HBV</w:t>
      </w:r>
      <w:r w:rsidRPr="00FB72E2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B72E2">
        <w:rPr>
          <w:rFonts w:ascii="Times New Roman" w:hAnsi="Times New Roman" w:cs="Times New Roman"/>
        </w:rPr>
        <w:t>DNA</w:t>
      </w:r>
      <w:r w:rsidRPr="00FB72E2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B72E2">
        <w:rPr>
          <w:rFonts w:ascii="Times New Roman" w:hAnsi="Times New Roman" w:cs="Times New Roman"/>
          <w:lang w:val="el-GR"/>
        </w:rPr>
        <w:t>αρνητικοποίηση με αντι-</w:t>
      </w:r>
      <w:r w:rsidRPr="00FB72E2">
        <w:rPr>
          <w:rFonts w:ascii="Times New Roman" w:hAnsi="Times New Roman" w:cs="Times New Roman"/>
        </w:rPr>
        <w:t>HBe</w:t>
      </w:r>
      <w:r w:rsidRPr="00FB72E2">
        <w:rPr>
          <w:rFonts w:ascii="Times New Roman" w:hAnsi="Times New Roman" w:cs="Times New Roman"/>
          <w:lang w:val="el-GR"/>
        </w:rPr>
        <w:t xml:space="preserve"> ανίχνευση) ή μέχρι την </w:t>
      </w:r>
      <w:r w:rsidRPr="00FB72E2">
        <w:rPr>
          <w:rFonts w:ascii="Times New Roman" w:hAnsi="Times New Roman" w:cs="Times New Roman"/>
        </w:rPr>
        <w:t>HBs</w:t>
      </w:r>
      <w:r w:rsidRPr="00FB72E2">
        <w:rPr>
          <w:rFonts w:ascii="Times New Roman" w:hAnsi="Times New Roman" w:cs="Times New Roman"/>
          <w:lang w:val="el-GR"/>
        </w:rPr>
        <w:t xml:space="preserve"> ορομετατροπή ή μέχρι να</w:t>
      </w:r>
      <w:r w:rsidRPr="00FB72E2">
        <w:rPr>
          <w:rFonts w:ascii="Times New Roman" w:hAnsi="Times New Roman" w:cs="Times New Roman"/>
          <w:spacing w:val="-13"/>
          <w:lang w:val="el-GR"/>
        </w:rPr>
        <w:t xml:space="preserve"> </w:t>
      </w:r>
      <w:r w:rsidRPr="00FB72E2">
        <w:rPr>
          <w:rFonts w:ascii="Times New Roman" w:hAnsi="Times New Roman" w:cs="Times New Roman"/>
          <w:lang w:val="el-GR"/>
        </w:rPr>
        <w:t xml:space="preserve">υπάρξει απώλεια αποτελεσματικότητας (βλ. παράγραφο 4.4). Τα επίπεδα </w:t>
      </w:r>
      <w:r w:rsidRPr="00FB72E2">
        <w:rPr>
          <w:rFonts w:ascii="Times New Roman" w:hAnsi="Times New Roman" w:cs="Times New Roman"/>
        </w:rPr>
        <w:t>ALT</w:t>
      </w:r>
      <w:r w:rsidRPr="00FB72E2">
        <w:rPr>
          <w:rFonts w:ascii="Times New Roman" w:hAnsi="Times New Roman" w:cs="Times New Roman"/>
          <w:lang w:val="el-GR"/>
        </w:rPr>
        <w:t xml:space="preserve"> και </w:t>
      </w:r>
      <w:r w:rsidRPr="00FB72E2">
        <w:rPr>
          <w:rFonts w:ascii="Times New Roman" w:hAnsi="Times New Roman" w:cs="Times New Roman"/>
        </w:rPr>
        <w:t>HBV</w:t>
      </w:r>
      <w:r w:rsidRPr="00FB72E2">
        <w:rPr>
          <w:rFonts w:ascii="Times New Roman" w:hAnsi="Times New Roman" w:cs="Times New Roman"/>
          <w:lang w:val="el-GR"/>
        </w:rPr>
        <w:t xml:space="preserve"> </w:t>
      </w:r>
      <w:r w:rsidRPr="00FB72E2">
        <w:rPr>
          <w:rFonts w:ascii="Times New Roman" w:hAnsi="Times New Roman" w:cs="Times New Roman"/>
          <w:spacing w:val="-2"/>
        </w:rPr>
        <w:t>DNA</w:t>
      </w:r>
      <w:r w:rsidRPr="00FB72E2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B72E2">
        <w:rPr>
          <w:rFonts w:ascii="Times New Roman" w:hAnsi="Times New Roman" w:cs="Times New Roman"/>
          <w:lang w:val="el-GR"/>
        </w:rPr>
        <w:t>ορού πρέπει να παρακολουθούνται τακτικά μετά τη διακοπή της θεραπείας για την</w:t>
      </w:r>
      <w:r w:rsidRPr="00FB72E2">
        <w:rPr>
          <w:rFonts w:ascii="Times New Roman" w:hAnsi="Times New Roman" w:cs="Times New Roman"/>
          <w:spacing w:val="-16"/>
          <w:lang w:val="el-GR"/>
        </w:rPr>
        <w:t xml:space="preserve"> </w:t>
      </w:r>
      <w:r w:rsidRPr="00FB72E2">
        <w:rPr>
          <w:rFonts w:ascii="Times New Roman" w:hAnsi="Times New Roman" w:cs="Times New Roman"/>
          <w:lang w:val="el-GR"/>
        </w:rPr>
        <w:t>ανίχνευση οποιασδήποτε όψιμης ιολογικής</w:t>
      </w:r>
      <w:r w:rsidRPr="00FB72E2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B72E2">
        <w:rPr>
          <w:rFonts w:ascii="Times New Roman" w:hAnsi="Times New Roman" w:cs="Times New Roman"/>
          <w:lang w:val="el-GR"/>
        </w:rPr>
        <w:t>υποτροπής.</w:t>
      </w:r>
    </w:p>
    <w:p w:rsidR="009D104A" w:rsidRPr="00F54B01" w:rsidRDefault="00302B89" w:rsidP="009A7039">
      <w:pPr>
        <w:pStyle w:val="a4"/>
        <w:numPr>
          <w:ilvl w:val="0"/>
          <w:numId w:val="20"/>
        </w:numPr>
        <w:tabs>
          <w:tab w:val="left" w:pos="567"/>
        </w:tabs>
        <w:ind w:left="567"/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lang w:val="el-GR"/>
        </w:rPr>
        <w:t xml:space="preserve">Σε </w:t>
      </w:r>
      <w:r w:rsidRPr="00F54B01">
        <w:rPr>
          <w:rFonts w:ascii="Times New Roman" w:hAnsi="Times New Roman" w:cs="Times New Roman"/>
        </w:rPr>
        <w:t>HBeAg</w:t>
      </w:r>
      <w:r w:rsidRPr="00F54B01">
        <w:rPr>
          <w:rFonts w:ascii="Times New Roman" w:hAnsi="Times New Roman" w:cs="Times New Roman"/>
          <w:lang w:val="el-GR"/>
        </w:rPr>
        <w:t xml:space="preserve"> αρνητικούς ασθενείς χωρίς κίρρωση, η θεραπεία πρέπει να χορηγείται</w:t>
      </w:r>
      <w:r w:rsidRPr="00F54B01">
        <w:rPr>
          <w:rFonts w:ascii="Times New Roman" w:hAnsi="Times New Roman" w:cs="Times New Roman"/>
          <w:spacing w:val="-26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τουλάχιστον μέχρι την </w:t>
      </w:r>
      <w:r w:rsidRPr="00F54B01">
        <w:rPr>
          <w:rFonts w:ascii="Times New Roman" w:hAnsi="Times New Roman" w:cs="Times New Roman"/>
        </w:rPr>
        <w:t>HBs</w:t>
      </w:r>
      <w:r w:rsidRPr="00F54B01">
        <w:rPr>
          <w:rFonts w:ascii="Times New Roman" w:hAnsi="Times New Roman" w:cs="Times New Roman"/>
          <w:lang w:val="el-GR"/>
        </w:rPr>
        <w:t xml:space="preserve"> ορομετατροπή ή μέχρι να υπάρξουν ενδείξεις για</w:t>
      </w:r>
      <w:r w:rsidRPr="00F54B0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απώλεια αποτελεσματικότητας. Σε περίπτωση </w:t>
      </w:r>
      <w:r w:rsidR="00B807B9" w:rsidRPr="00F54B01">
        <w:rPr>
          <w:rFonts w:ascii="Times New Roman" w:hAnsi="Times New Roman" w:cs="Times New Roman"/>
          <w:lang w:val="el-GR"/>
        </w:rPr>
        <w:t>παρατεταμένης</w:t>
      </w:r>
      <w:r w:rsidRPr="00F54B01">
        <w:rPr>
          <w:rFonts w:ascii="Times New Roman" w:hAnsi="Times New Roman" w:cs="Times New Roman"/>
          <w:lang w:val="el-GR"/>
        </w:rPr>
        <w:t xml:space="preserve"> θεραπείας για περισσότερο από 2</w:t>
      </w:r>
      <w:r w:rsidRPr="00F54B01">
        <w:rPr>
          <w:rFonts w:ascii="Times New Roman" w:hAnsi="Times New Roman" w:cs="Times New Roman"/>
          <w:spacing w:val="-16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έτη, συνιστάται τακτική επαναξιολόγηση για να επιβεβαιωθεί ότι η συνέχιση της</w:t>
      </w:r>
      <w:r w:rsidRPr="00F54B01">
        <w:rPr>
          <w:rFonts w:ascii="Times New Roman" w:hAnsi="Times New Roman" w:cs="Times New Roman"/>
          <w:spacing w:val="-18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επιλεγμένης θεραπείας παραμένει κατάλληλη για τον</w:t>
      </w:r>
      <w:r w:rsidRPr="00F54B0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ασθενή.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Παιδιατρικός</w:t>
      </w:r>
      <w:r w:rsidRPr="00F54B01">
        <w:rPr>
          <w:rFonts w:ascii="Times New Roman" w:hAnsi="Times New Roman" w:cs="Times New Roman"/>
          <w:i/>
          <w:spacing w:val="-6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πληθυσμός</w:t>
      </w:r>
    </w:p>
    <w:p w:rsidR="009D104A" w:rsidRPr="00F54B01" w:rsidRDefault="00302B89" w:rsidP="009A7039">
      <w:pPr>
        <w:pStyle w:val="a3"/>
        <w:ind w:left="0"/>
        <w:jc w:val="both"/>
        <w:rPr>
          <w:rFonts w:cs="Times New Roman"/>
          <w:lang w:val="el-GR"/>
        </w:rPr>
      </w:pPr>
      <w:r w:rsidRPr="00FB72E2">
        <w:rPr>
          <w:rFonts w:cs="Times New Roman"/>
        </w:rPr>
        <w:t>HIV</w:t>
      </w:r>
      <w:r w:rsidRPr="00FB72E2">
        <w:rPr>
          <w:rFonts w:cs="Times New Roman"/>
          <w:lang w:val="el-GR"/>
        </w:rPr>
        <w:t>-1: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Σε εφήβους ηλικίας 12 έως &lt;18 ετών και βάρους ≥35 </w:t>
      </w:r>
      <w:r w:rsidRPr="00F54B01">
        <w:rPr>
          <w:rFonts w:cs="Times New Roman"/>
        </w:rPr>
        <w:t>kg</w:t>
      </w:r>
      <w:r w:rsidRPr="00F54B01">
        <w:rPr>
          <w:rFonts w:cs="Times New Roman"/>
          <w:lang w:val="el-GR"/>
        </w:rPr>
        <w:t>, η συνιστώμενη δόση του</w:t>
      </w:r>
      <w:r w:rsidRPr="00F54B01">
        <w:rPr>
          <w:rFonts w:cs="Times New Roman"/>
          <w:spacing w:val="-25"/>
          <w:lang w:val="el-GR"/>
        </w:rPr>
        <w:t xml:space="preserve"> </w:t>
      </w:r>
      <w:r w:rsidR="003F4B4E">
        <w:rPr>
          <w:rFonts w:cs="Times New Roman"/>
        </w:rPr>
        <w:t>AGARDON</w:t>
      </w:r>
      <w:r w:rsidR="003F4B4E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είναι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(ένα δισκίο) μία φορά την ημέρα, λαμβανόμενο από του στόματος μαζί με την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τροφή (βλ. παραγράφους 4.8 και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5.1).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E048DC" w:rsidP="009A7039">
      <w:pPr>
        <w:pStyle w:val="a3"/>
        <w:ind w:left="0"/>
        <w:rPr>
          <w:rFonts w:cs="Times New Roman"/>
          <w:lang w:val="el-GR"/>
        </w:rPr>
      </w:pPr>
      <w:r w:rsidRPr="00EB263F">
        <w:rPr>
          <w:rFonts w:cs="Times New Roman"/>
          <w:lang w:val="el-GR"/>
        </w:rPr>
        <w:t xml:space="preserve">Μειωμένες περιεκτικότητες τενοφοβίρης δισοπρόξιλης χρησιμοποιούνται για τη θεραπεία των παιδιατρικών ασθενών που έχουν προσβληθεί από τον ιό </w:t>
      </w:r>
      <w:r w:rsidRPr="00EB263F">
        <w:rPr>
          <w:rFonts w:cs="Times New Roman"/>
        </w:rPr>
        <w:t>HIV</w:t>
      </w:r>
      <w:r w:rsidRPr="00EB263F">
        <w:rPr>
          <w:rFonts w:cs="Times New Roman"/>
          <w:lang w:val="el-GR"/>
        </w:rPr>
        <w:t xml:space="preserve">-1, ηλικίας 2 έως &lt;12 ετών. Επειδή το </w:t>
      </w:r>
      <w:r w:rsidRPr="00EB263F">
        <w:rPr>
          <w:rFonts w:cs="Times New Roman"/>
        </w:rPr>
        <w:t>AGARDON</w:t>
      </w:r>
      <w:r w:rsidRPr="00EB263F">
        <w:rPr>
          <w:rFonts w:cs="Times New Roman"/>
          <w:lang w:val="el-GR"/>
        </w:rPr>
        <w:t xml:space="preserve"> είναι διαθέσιμο μόνο ως 245 </w:t>
      </w:r>
      <w:r w:rsidRPr="00EB263F">
        <w:rPr>
          <w:rFonts w:cs="Times New Roman"/>
        </w:rPr>
        <w:t>mg</w:t>
      </w:r>
      <w:r w:rsidRPr="00EB263F">
        <w:rPr>
          <w:rFonts w:cs="Times New Roman"/>
          <w:lang w:val="el-GR"/>
        </w:rPr>
        <w:t xml:space="preserve"> επικαλυμμένα δισκία με λεπτό υμένιο, δεν είναι κατάλληλο για χρήση σε παιδιατρικούς ασθενείς ηλικίας 2 έως &lt;12 ετών. </w:t>
      </w:r>
      <w:r w:rsidR="00EB263F">
        <w:rPr>
          <w:rFonts w:cs="Times New Roman"/>
          <w:lang w:val="el-GR"/>
        </w:rPr>
        <w:t>Πρέπει να γίνεται έλεγχος για τη διαθεσιμότητα άλλων κατάλληλων μορφών.</w:t>
      </w:r>
      <w:r w:rsidRPr="00F54B01">
        <w:rPr>
          <w:rFonts w:cs="Times New Roman"/>
          <w:lang w:val="el-GR"/>
        </w:rPr>
        <w:t xml:space="preserve"> 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ασφάλεια και η αποτελεσματικότητα </w:t>
      </w:r>
      <w:r w:rsidR="00E048DC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σε παιδιά ηλικίας κάτω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των 2 ετών που έχουν προσβληθεί από 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 δεν έχουν ακόμα τεκμηριωθεί. Δεν</w:t>
      </w:r>
      <w:r w:rsidRPr="00F54B01">
        <w:rPr>
          <w:rFonts w:cs="Times New Roman"/>
          <w:spacing w:val="-9"/>
          <w:lang w:val="el-GR"/>
        </w:rPr>
        <w:t xml:space="preserve"> </w:t>
      </w:r>
      <w:r w:rsidRPr="00F54B01">
        <w:rPr>
          <w:rFonts w:cs="Times New Roman"/>
          <w:lang w:val="el-GR"/>
        </w:rPr>
        <w:t>υπάρχουν διαθέσιμα</w:t>
      </w:r>
      <w:r w:rsidRPr="00F54B01">
        <w:rPr>
          <w:rFonts w:cs="Times New Roman"/>
          <w:spacing w:val="-3"/>
          <w:lang w:val="el-GR"/>
        </w:rPr>
        <w:t xml:space="preserve"> </w:t>
      </w:r>
      <w:r w:rsidRPr="00F54B01">
        <w:rPr>
          <w:rFonts w:cs="Times New Roman"/>
          <w:lang w:val="el-GR"/>
        </w:rPr>
        <w:t>δεδομένα.</w:t>
      </w:r>
    </w:p>
    <w:p w:rsidR="001E7767" w:rsidRPr="00F54B01" w:rsidRDefault="001E7767" w:rsidP="009A7039">
      <w:pPr>
        <w:pStyle w:val="a3"/>
        <w:ind w:left="0"/>
        <w:rPr>
          <w:rFonts w:cs="Times New Roman"/>
          <w:i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  <w:lang w:val="el-GR"/>
        </w:rPr>
        <w:t xml:space="preserve">Χρόνια ηπατίτιδα </w:t>
      </w:r>
      <w:r w:rsidRPr="00F54B01">
        <w:rPr>
          <w:rFonts w:cs="Times New Roman"/>
          <w:i/>
        </w:rPr>
        <w:t>B</w:t>
      </w:r>
      <w:r w:rsidRPr="00F54B01">
        <w:rPr>
          <w:rFonts w:cs="Times New Roman"/>
          <w:i/>
          <w:lang w:val="el-GR"/>
        </w:rPr>
        <w:t xml:space="preserve">: </w:t>
      </w:r>
      <w:r w:rsidRPr="00F54B01">
        <w:rPr>
          <w:rFonts w:cs="Times New Roman"/>
          <w:lang w:val="el-GR"/>
        </w:rPr>
        <w:t xml:space="preserve">Σε εφήβους ηλικίας 12 έως &lt;18 ετών και βάρους ≥35 </w:t>
      </w:r>
      <w:r w:rsidRPr="00F54B01">
        <w:rPr>
          <w:rFonts w:cs="Times New Roman"/>
        </w:rPr>
        <w:t>kg</w:t>
      </w:r>
      <w:r w:rsidRPr="00F54B01">
        <w:rPr>
          <w:rFonts w:cs="Times New Roman"/>
          <w:lang w:val="el-GR"/>
        </w:rPr>
        <w:t>, η συνιστώμενη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δόση του </w:t>
      </w:r>
      <w:r w:rsidR="00E048DC">
        <w:rPr>
          <w:rFonts w:cs="Times New Roman"/>
        </w:rPr>
        <w:t>AGARDON</w:t>
      </w:r>
      <w:r w:rsidR="00E048DC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είναι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(ένα δισκίο) μία φορά την ημέρα, λαμβανόμενο από του στόματος μαζί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με την τροφή (βλ. παραγράφους 4.8 και 5.1). Η βέλτιστη διάρκεια της θεραπείας είναι επί του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παρόντος άγνωστη.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ασφάλεια και η αποτελεσματικότητα </w:t>
      </w:r>
      <w:r w:rsidR="00E048DC">
        <w:rPr>
          <w:rFonts w:cs="Times New Roman"/>
          <w:lang w:val="el-GR"/>
        </w:rPr>
        <w:t>της τενοφοβίρης δισοπρόξιλης</w:t>
      </w:r>
      <w:r w:rsidR="00E048DC" w:rsidRPr="00BE66FE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σε παιδιά με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χρόνια ηπατίτιδα Β ηλικίας 2 έως &lt;12 ετών ή που ζυγίζουν &lt;35 </w:t>
      </w:r>
      <w:r w:rsidRPr="00F54B01">
        <w:rPr>
          <w:rFonts w:cs="Times New Roman"/>
        </w:rPr>
        <w:t>kg</w:t>
      </w:r>
      <w:r w:rsidRPr="00F54B01">
        <w:rPr>
          <w:rFonts w:cs="Times New Roman"/>
          <w:lang w:val="el-GR"/>
        </w:rPr>
        <w:t xml:space="preserve"> δεν έχουν ακόμα τεκμηριωθεί.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Δεν υπάρχουν διαθέσιμα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>δεδομένα.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Δόση που</w:t>
      </w:r>
      <w:r w:rsidRPr="00F54B01">
        <w:rPr>
          <w:rFonts w:ascii="Times New Roman" w:hAnsi="Times New Roman" w:cs="Times New Roman"/>
          <w:i/>
          <w:spacing w:val="-1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παραλείφθηκε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Εάν ένας ασθενής παραλείψει κάποια δόση του </w:t>
      </w:r>
      <w:r w:rsidR="00E048DC">
        <w:rPr>
          <w:rFonts w:cs="Times New Roman"/>
        </w:rPr>
        <w:t>AGARDON</w:t>
      </w:r>
      <w:r w:rsidR="00E048DC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εντός 12 ωρών από την κανονική ώρα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λήψης της δόσης, ο ασθενής πρέπει να πάρει το </w:t>
      </w:r>
      <w:r w:rsidR="00E048DC">
        <w:rPr>
          <w:rFonts w:cs="Times New Roman"/>
        </w:rPr>
        <w:t>AGARDON</w:t>
      </w:r>
      <w:r w:rsidR="00E048DC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μαζί με τροφή όσο το δυνατό γρηγορότερα και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να συνεχίσει το κανονικό του δοσολογικό πρόγραμμα. Εάν ένας ασθενής παραλείψει κάποια δόση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του </w:t>
      </w:r>
      <w:r w:rsidR="00E048DC">
        <w:rPr>
          <w:rFonts w:cs="Times New Roman"/>
        </w:rPr>
        <w:t>AGARDON</w:t>
      </w:r>
      <w:r w:rsidR="00E048DC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για περισσότερο από 12 ώρες και πλησιάζει η ώρα για την επόμενη δόση, ο ασθενής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δεν</w:t>
      </w:r>
      <w:r w:rsidR="00E048DC" w:rsidRPr="00E048DC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πρέπει να πάρει τη δόση που παρέλειψε, αλλά απλά να συνεχίσει το κανονικό δοσολογικό</w:t>
      </w:r>
      <w:r w:rsidRPr="00F54B01">
        <w:rPr>
          <w:rFonts w:cs="Times New Roman"/>
          <w:spacing w:val="-31"/>
          <w:lang w:val="el-GR"/>
        </w:rPr>
        <w:t xml:space="preserve"> </w:t>
      </w:r>
      <w:r w:rsidRPr="00F54B01">
        <w:rPr>
          <w:rFonts w:cs="Times New Roman"/>
          <w:lang w:val="el-GR"/>
        </w:rPr>
        <w:t>πρόγραμμα.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Εάν ο ασθενής κάνει εμετό εντός 1 ώρας από τη λήψη του </w:t>
      </w:r>
      <w:r w:rsidR="00E048DC">
        <w:rPr>
          <w:rFonts w:cs="Times New Roman"/>
        </w:rPr>
        <w:t>AGARDON</w:t>
      </w:r>
      <w:r w:rsidRPr="00F54B01">
        <w:rPr>
          <w:rFonts w:cs="Times New Roman"/>
          <w:lang w:val="el-GR"/>
        </w:rPr>
        <w:t>, πρέπει να πάρει ένα άλλο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δισκίο. Εάν ο ασθενής κάνει εμετό αφού περάσει περισσότερο από 1 ώρα μετά τη λήψη του </w:t>
      </w:r>
      <w:r w:rsidR="00E048DC">
        <w:rPr>
          <w:rFonts w:cs="Times New Roman"/>
        </w:rPr>
        <w:t>AGARDON</w:t>
      </w:r>
      <w:r w:rsidRPr="00F54B01">
        <w:rPr>
          <w:rFonts w:cs="Times New Roman"/>
          <w:lang w:val="el-GR"/>
        </w:rPr>
        <w:t>,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δεν χρειάζεται να πάρει άλλη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δόση.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E048DC" w:rsidRPr="00BE66FE" w:rsidRDefault="00302B89" w:rsidP="009A7039">
      <w:pPr>
        <w:rPr>
          <w:rFonts w:ascii="Times New Roman" w:hAnsi="Times New Roman" w:cs="Times New Roman"/>
          <w:i/>
          <w:lang w:val="el-GR"/>
        </w:rPr>
      </w:pPr>
      <w:r w:rsidRPr="00F54B01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u w:val="single" w:color="000000"/>
          <w:lang w:val="el-GR"/>
        </w:rPr>
        <w:t>Ειδικοί</w:t>
      </w:r>
      <w:r w:rsidRPr="00F54B01">
        <w:rPr>
          <w:rFonts w:ascii="Times New Roman" w:hAnsi="Times New Roman" w:cs="Times New Roman"/>
          <w:i/>
          <w:spacing w:val="-2"/>
          <w:u w:val="single" w:color="000000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u w:val="single" w:color="000000"/>
          <w:lang w:val="el-GR"/>
        </w:rPr>
        <w:t>πληθυσμο</w:t>
      </w:r>
      <w:r w:rsidRPr="00F54B01">
        <w:rPr>
          <w:rFonts w:ascii="Times New Roman" w:hAnsi="Times New Roman" w:cs="Times New Roman"/>
          <w:i/>
          <w:lang w:val="el-GR"/>
        </w:rPr>
        <w:t xml:space="preserve">ί 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Ηλικιωμένοι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Δεν υπάρχουν διαθέσιμα στοιχεία βάσει των οποίων να προταθεί δόση για ασθενείς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ηλικίας μεγαλύτερης των 65 ετών (βλ. παράγραφο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Νεφρική</w:t>
      </w:r>
      <w:r w:rsidRPr="00F54B01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δυσλειτουργία</w:t>
      </w:r>
    </w:p>
    <w:p w:rsidR="009D104A" w:rsidRPr="00F54B01" w:rsidRDefault="00E048DC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Η τενοφοβίρη</w:t>
      </w:r>
      <w:r w:rsidR="00302B89" w:rsidRPr="00F54B01">
        <w:rPr>
          <w:rFonts w:cs="Times New Roman"/>
          <w:lang w:val="el-GR"/>
        </w:rPr>
        <w:t xml:space="preserve"> α</w:t>
      </w:r>
      <w:r w:rsidR="008E2A52">
        <w:rPr>
          <w:rFonts w:cs="Times New Roman"/>
          <w:lang w:val="el-GR"/>
        </w:rPr>
        <w:t>πομ</w:t>
      </w:r>
      <w:r w:rsidR="00302B89" w:rsidRPr="00F54B01">
        <w:rPr>
          <w:rFonts w:cs="Times New Roman"/>
          <w:lang w:val="el-GR"/>
        </w:rPr>
        <w:t xml:space="preserve">ακρύνεται με νεφρική απέκκριση και η έκθεση </w:t>
      </w:r>
      <w:r>
        <w:rPr>
          <w:rFonts w:cs="Times New Roman"/>
          <w:lang w:val="el-GR"/>
        </w:rPr>
        <w:t>στην τενοφοβίρη</w:t>
      </w:r>
      <w:r w:rsidR="00302B89" w:rsidRPr="00F54B01">
        <w:rPr>
          <w:rFonts w:cs="Times New Roman"/>
          <w:lang w:val="el-GR"/>
        </w:rPr>
        <w:t xml:space="preserve"> αυξάνει σε</w:t>
      </w:r>
      <w:r w:rsidR="00302B89" w:rsidRPr="00F54B01">
        <w:rPr>
          <w:rFonts w:cs="Times New Roman"/>
          <w:spacing w:val="-27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ασθενείς με νεφρική</w:t>
      </w:r>
      <w:r w:rsidR="00302B89" w:rsidRPr="00F54B01">
        <w:rPr>
          <w:rFonts w:cs="Times New Roman"/>
          <w:spacing w:val="-5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δυσλειτουργία.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Ενήλικες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Υπάρχουν περιορισμένα δεδομένα για την ασφάλεια και αποτελεσματικότητα </w:t>
      </w:r>
      <w:r w:rsidR="009E0B8D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σε ενήλικες ασθενείς με μέτρια και σοβαρή νεφρική δυσλειτουργία (κάθαρση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κρεατινίνης</w:t>
      </w:r>
      <w:r w:rsidR="009E0B8D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&lt;50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>) και τα μακροπρόθεσμα δεδομένα ασφάλειας δεν έχουν αξιολογηθεί για ήπια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νεφρική δυσλειτουργία (κάθαρση κρεατινίνης 50-80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>). Ως εκ τούτου, σε ενήλικες ασθενείς με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νεφρική δυσλειτουργία </w:t>
      </w:r>
      <w:r w:rsidR="009E0B8D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 xml:space="preserve"> πρέπει να χρησιμοποιείται μόνο εάν τα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ενδεχόμενα οφέλη από την θεραπεία θεωρείται ότι υπερσκελίζουν τους ενδεχόμενους κινδύνους. </w:t>
      </w:r>
      <w:r w:rsidR="009E0B8D">
        <w:rPr>
          <w:rFonts w:cs="Times New Roman"/>
          <w:lang w:val="el-GR"/>
        </w:rPr>
        <w:t>Προσαρμογή του διαστήματος μεταξύ των δόσεων</w:t>
      </w:r>
      <w:r w:rsidRPr="00F54B01">
        <w:rPr>
          <w:rFonts w:cs="Times New Roman"/>
          <w:lang w:val="el-GR"/>
        </w:rPr>
        <w:t xml:space="preserve"> συνιστάται για ενήλικες ασθενείς με κάθαρση κρεατινίνης &lt;50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Ήπια νεφρική δυσλειτουργία (κάθαρση κρεατινίνης 50-80</w:t>
      </w:r>
      <w:r w:rsidRPr="00F54B01">
        <w:rPr>
          <w:rFonts w:ascii="Times New Roman" w:hAnsi="Times New Roman" w:cs="Times New Roman"/>
          <w:i/>
          <w:spacing w:val="-1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ml</w:t>
      </w:r>
      <w:r w:rsidRPr="00F54B01">
        <w:rPr>
          <w:rFonts w:ascii="Times New Roman" w:hAnsi="Times New Roman" w:cs="Times New Roman"/>
          <w:i/>
          <w:lang w:val="el-GR"/>
        </w:rPr>
        <w:t>/</w:t>
      </w:r>
      <w:r w:rsidRPr="00F54B01">
        <w:rPr>
          <w:rFonts w:ascii="Times New Roman" w:hAnsi="Times New Roman" w:cs="Times New Roman"/>
          <w:i/>
        </w:rPr>
        <w:t>min</w:t>
      </w:r>
      <w:r w:rsidRPr="00F54B01">
        <w:rPr>
          <w:rFonts w:ascii="Times New Roman" w:hAnsi="Times New Roman" w:cs="Times New Roman"/>
          <w:i/>
          <w:lang w:val="el-GR"/>
        </w:rPr>
        <w:t>)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Περιορισμένα δεδομένα </w:t>
      </w:r>
      <w:r w:rsidRPr="00F54B01">
        <w:rPr>
          <w:rFonts w:cs="Times New Roman"/>
          <w:spacing w:val="-2"/>
          <w:lang w:val="el-GR"/>
        </w:rPr>
        <w:t xml:space="preserve">από </w:t>
      </w:r>
      <w:r w:rsidRPr="00F54B01">
        <w:rPr>
          <w:rFonts w:cs="Times New Roman"/>
          <w:lang w:val="el-GR"/>
        </w:rPr>
        <w:t xml:space="preserve">κλινικές μελέτες υποστηρίζουν την εφάπαξ δόση 245 </w:t>
      </w:r>
      <w:r w:rsidRPr="00F54B01">
        <w:rPr>
          <w:rFonts w:cs="Times New Roman"/>
        </w:rPr>
        <w:t>mg</w:t>
      </w:r>
      <w:r w:rsidRPr="00F54B01">
        <w:rPr>
          <w:rFonts w:cs="Times New Roman"/>
          <w:spacing w:val="-16"/>
          <w:lang w:val="el-GR"/>
        </w:rPr>
        <w:t xml:space="preserve"> </w:t>
      </w:r>
      <w:r w:rsidR="009E0B8D">
        <w:rPr>
          <w:rFonts w:cs="Times New Roman"/>
          <w:lang w:val="el-GR"/>
        </w:rPr>
        <w:t>τενοφοβίρης δισοπρόξιλης</w:t>
      </w:r>
      <w:r w:rsidRPr="00F54B01">
        <w:rPr>
          <w:rFonts w:cs="Times New Roman"/>
          <w:lang w:val="el-GR"/>
        </w:rPr>
        <w:t xml:space="preserve"> ημερησίως σε ασθενείς με ήπια νεφρική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δυσλειτουργία.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Μέτρια νεφρική δυσλειτουργία (κάθαρση κρεατινίνης 30-49</w:t>
      </w:r>
      <w:r w:rsidRPr="00F54B01">
        <w:rPr>
          <w:rFonts w:ascii="Times New Roman" w:hAnsi="Times New Roman" w:cs="Times New Roman"/>
          <w:i/>
          <w:spacing w:val="-15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ml</w:t>
      </w:r>
      <w:r w:rsidRPr="00F54B01">
        <w:rPr>
          <w:rFonts w:ascii="Times New Roman" w:hAnsi="Times New Roman" w:cs="Times New Roman"/>
          <w:i/>
          <w:lang w:val="el-GR"/>
        </w:rPr>
        <w:t>/</w:t>
      </w:r>
      <w:r w:rsidRPr="00F54B01">
        <w:rPr>
          <w:rFonts w:ascii="Times New Roman" w:hAnsi="Times New Roman" w:cs="Times New Roman"/>
          <w:i/>
        </w:rPr>
        <w:t>min</w:t>
      </w:r>
      <w:r w:rsidRPr="00F54B01">
        <w:rPr>
          <w:rFonts w:ascii="Times New Roman" w:hAnsi="Times New Roman" w:cs="Times New Roman"/>
          <w:i/>
          <w:lang w:val="el-GR"/>
        </w:rPr>
        <w:t>)</w:t>
      </w:r>
    </w:p>
    <w:p w:rsidR="009D104A" w:rsidRPr="00F54B01" w:rsidRDefault="00662A04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Αν η χορήγηση μικρότερης δόσης δεν είναι εφικτή</w:t>
      </w:r>
      <w:r w:rsidR="00302B89" w:rsidRPr="00F54B01">
        <w:rPr>
          <w:rFonts w:cs="Times New Roman"/>
          <w:lang w:val="el-GR"/>
        </w:rPr>
        <w:t>, μπορούν να χρησιμοποιηθούν παρατεταμένα</w:t>
      </w:r>
      <w:r w:rsidR="00302B89" w:rsidRPr="00F54B01">
        <w:rPr>
          <w:rFonts w:cs="Times New Roman"/>
          <w:spacing w:val="-13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δοσολογικά μεσοδιαστήματα με χρήση των 245 </w:t>
      </w:r>
      <w:r w:rsidR="00302B89" w:rsidRPr="00F54B01">
        <w:rPr>
          <w:rFonts w:cs="Times New Roman"/>
        </w:rPr>
        <w:t>mg</w:t>
      </w:r>
      <w:r w:rsidR="00302B89" w:rsidRPr="00F54B01">
        <w:rPr>
          <w:rFonts w:cs="Times New Roman"/>
          <w:lang w:val="el-GR"/>
        </w:rPr>
        <w:t xml:space="preserve"> επικαλυμμένων με λεπτό υμένιο δισκίων. Μπορεί</w:t>
      </w:r>
      <w:r w:rsidR="00302B89" w:rsidRPr="00F54B01">
        <w:rPr>
          <w:rFonts w:cs="Times New Roman"/>
          <w:spacing w:val="-24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να χρησιμοποιηθεί η χορήγηση 245 </w:t>
      </w:r>
      <w:r w:rsidR="00302B89" w:rsidRPr="00F54B01">
        <w:rPr>
          <w:rFonts w:cs="Times New Roman"/>
        </w:rPr>
        <w:t>mg</w:t>
      </w:r>
      <w:r w:rsidR="00302B89" w:rsidRPr="00F54B01">
        <w:rPr>
          <w:rFonts w:cs="Times New Roman"/>
          <w:lang w:val="el-GR"/>
        </w:rPr>
        <w:t xml:space="preserve"> </w:t>
      </w:r>
      <w:r>
        <w:rPr>
          <w:rFonts w:cs="Times New Roman"/>
          <w:lang w:val="el-GR"/>
        </w:rPr>
        <w:t>τενοφοβίρης δισοπρόξιλης</w:t>
      </w:r>
      <w:r w:rsidR="00302B89" w:rsidRPr="00F54B01">
        <w:rPr>
          <w:rFonts w:cs="Times New Roman"/>
          <w:lang w:val="el-GR"/>
        </w:rPr>
        <w:t xml:space="preserve"> κάθε 48 ώρες με βάση</w:t>
      </w:r>
      <w:r w:rsidR="00302B89" w:rsidRPr="00F54B01">
        <w:rPr>
          <w:rFonts w:cs="Times New Roman"/>
          <w:spacing w:val="-22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τη διαμόρφωση των φαρμακοκινητικών δεδομένων από τη χορήγηση μονήρους δόσης σε</w:t>
      </w:r>
      <w:r w:rsidR="00302B89" w:rsidRPr="00F54B01">
        <w:rPr>
          <w:rFonts w:cs="Times New Roman"/>
          <w:spacing w:val="-12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άτομα </w:t>
      </w:r>
      <w:r w:rsidR="00302B89" w:rsidRPr="00F54B01">
        <w:rPr>
          <w:rFonts w:cs="Times New Roman"/>
        </w:rPr>
        <w:t>HIV</w:t>
      </w:r>
      <w:r w:rsidR="00302B89" w:rsidRPr="00F54B01">
        <w:rPr>
          <w:rFonts w:cs="Times New Roman"/>
          <w:lang w:val="el-GR"/>
        </w:rPr>
        <w:t xml:space="preserve"> αρνητικά και χωρίς </w:t>
      </w:r>
      <w:r w:rsidR="00302B89" w:rsidRPr="00F54B01">
        <w:rPr>
          <w:rFonts w:cs="Times New Roman"/>
        </w:rPr>
        <w:t>HBV</w:t>
      </w:r>
      <w:r w:rsidR="00302B89" w:rsidRPr="00F54B01">
        <w:rPr>
          <w:rFonts w:cs="Times New Roman"/>
          <w:lang w:val="el-GR"/>
        </w:rPr>
        <w:t xml:space="preserve"> λοίμωξη με ποικίλους βαθμούς νεφρικής</w:t>
      </w:r>
      <w:r w:rsidR="00302B89" w:rsidRPr="00F54B01">
        <w:rPr>
          <w:rFonts w:cs="Times New Roman"/>
          <w:spacing w:val="-21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δυσλειτουργίας,</w:t>
      </w:r>
      <w:r w:rsidR="009E0B8D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συμπεριλαμβανομένης της νεφρικής νόσου τελικού σταδίου η οποία χρειάζεται αιμοκάθαρση,</w:t>
      </w:r>
      <w:r w:rsidR="00302B89" w:rsidRPr="00F54B01">
        <w:rPr>
          <w:rFonts w:cs="Times New Roman"/>
          <w:spacing w:val="-24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αλλά</w:t>
      </w:r>
      <w:r w:rsidR="009E0B8D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δεν έχει επιβεβαιωθεί σε κλινικές μελέτες. Ως εκ τούτου, η κλινική ανταπόκριση στην αγωγή και</w:t>
      </w:r>
      <w:r w:rsidR="00302B89" w:rsidRPr="00F54B01">
        <w:rPr>
          <w:rFonts w:cs="Times New Roman"/>
          <w:spacing w:val="-31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η νεφρική λειτουργία πρέπει να παρακολουθούνται στενά σε αυτούς τους ασθενείς</w:t>
      </w:r>
      <w:r w:rsidR="00302B89" w:rsidRPr="00F54B01">
        <w:rPr>
          <w:rFonts w:cs="Times New Roman"/>
          <w:spacing w:val="-13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(βλ. παραγράφους 4.4 και</w:t>
      </w:r>
      <w:r w:rsidR="00302B89" w:rsidRPr="00F54B01">
        <w:rPr>
          <w:rFonts w:cs="Times New Roman"/>
          <w:spacing w:val="-4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5.2).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9620C" w:rsidRDefault="00302B89" w:rsidP="009A7039">
      <w:pPr>
        <w:rPr>
          <w:rFonts w:ascii="Times New Roman" w:hAnsi="Times New Roman" w:cs="Times New Roman"/>
          <w:i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 xml:space="preserve">Σοβαρή νεφρική δυσλειτουργία (κάθαρση κρεατινίνης &lt;30 </w:t>
      </w:r>
      <w:r w:rsidRPr="00F54B01">
        <w:rPr>
          <w:rFonts w:ascii="Times New Roman" w:hAnsi="Times New Roman" w:cs="Times New Roman"/>
          <w:i/>
        </w:rPr>
        <w:t>ml</w:t>
      </w:r>
      <w:r w:rsidRPr="00F54B01">
        <w:rPr>
          <w:rFonts w:ascii="Times New Roman" w:hAnsi="Times New Roman" w:cs="Times New Roman"/>
          <w:i/>
          <w:lang w:val="el-GR"/>
        </w:rPr>
        <w:t>/</w:t>
      </w:r>
      <w:r w:rsidRPr="00F54B01">
        <w:rPr>
          <w:rFonts w:ascii="Times New Roman" w:hAnsi="Times New Roman" w:cs="Times New Roman"/>
          <w:i/>
        </w:rPr>
        <w:t>min</w:t>
      </w:r>
      <w:r w:rsidRPr="00F54B01">
        <w:rPr>
          <w:rFonts w:ascii="Times New Roman" w:hAnsi="Times New Roman" w:cs="Times New Roman"/>
          <w:i/>
          <w:lang w:val="el-GR"/>
        </w:rPr>
        <w:t>) και ασθενείς υπό</w:t>
      </w:r>
      <w:r w:rsidRPr="00F54B01">
        <w:rPr>
          <w:rFonts w:ascii="Times New Roman" w:hAnsi="Times New Roman" w:cs="Times New Roman"/>
          <w:i/>
          <w:spacing w:val="5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 xml:space="preserve">αιμοκάθαρση </w:t>
      </w:r>
    </w:p>
    <w:p w:rsidR="009D104A" w:rsidRPr="00F54B01" w:rsidRDefault="0099620C" w:rsidP="009A7039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Αν η χορήγηση μικρότερης δόσης δεν είναι εφικτή</w:t>
      </w:r>
      <w:r w:rsidR="00302B89" w:rsidRPr="00F54B01">
        <w:rPr>
          <w:rFonts w:ascii="Times New Roman" w:hAnsi="Times New Roman" w:cs="Times New Roman"/>
          <w:lang w:val="el-GR"/>
        </w:rPr>
        <w:t xml:space="preserve"> και χωρίς διαθέσιμη εναλλακτική θεραπεία, μπορούν</w:t>
      </w:r>
      <w:r w:rsidR="00302B89" w:rsidRPr="00F54B01">
        <w:rPr>
          <w:rFonts w:ascii="Times New Roman" w:hAnsi="Times New Roman" w:cs="Times New Roman"/>
          <w:spacing w:val="-11"/>
          <w:lang w:val="el-GR"/>
        </w:rPr>
        <w:t xml:space="preserve"> </w:t>
      </w:r>
      <w:r w:rsidR="00302B89" w:rsidRPr="00F54B01">
        <w:rPr>
          <w:rFonts w:ascii="Times New Roman" w:hAnsi="Times New Roman" w:cs="Times New Roman"/>
          <w:lang w:val="el-GR"/>
        </w:rPr>
        <w:t xml:space="preserve">να χρησιμοποιηθούν παρατεταμένα δοσολογικά μεσοδιαστήματα με χρήση των 245 </w:t>
      </w:r>
      <w:r w:rsidR="00302B89" w:rsidRPr="00F54B01">
        <w:rPr>
          <w:rFonts w:ascii="Times New Roman" w:hAnsi="Times New Roman" w:cs="Times New Roman"/>
        </w:rPr>
        <w:t>mg</w:t>
      </w:r>
      <w:r w:rsidR="00302B89" w:rsidRPr="00F54B01">
        <w:rPr>
          <w:rFonts w:ascii="Times New Roman" w:hAnsi="Times New Roman" w:cs="Times New Roman"/>
          <w:spacing w:val="-23"/>
          <w:lang w:val="el-GR"/>
        </w:rPr>
        <w:t xml:space="preserve"> </w:t>
      </w:r>
      <w:r w:rsidR="00302B89" w:rsidRPr="00F54B01">
        <w:rPr>
          <w:rFonts w:ascii="Times New Roman" w:hAnsi="Times New Roman" w:cs="Times New Roman"/>
          <w:lang w:val="el-GR"/>
        </w:rPr>
        <w:t>επικαλυμμένων με λεπτό υμένιο δισκίων, ως</w:t>
      </w:r>
      <w:r w:rsidR="00302B89" w:rsidRPr="00F54B01">
        <w:rPr>
          <w:rFonts w:ascii="Times New Roman" w:hAnsi="Times New Roman" w:cs="Times New Roman"/>
          <w:spacing w:val="-13"/>
          <w:lang w:val="el-GR"/>
        </w:rPr>
        <w:t xml:space="preserve"> </w:t>
      </w:r>
      <w:r w:rsidR="00302B89" w:rsidRPr="00F54B01">
        <w:rPr>
          <w:rFonts w:ascii="Times New Roman" w:hAnsi="Times New Roman" w:cs="Times New Roman"/>
          <w:lang w:val="el-GR"/>
        </w:rPr>
        <w:t>εξής:</w:t>
      </w:r>
    </w:p>
    <w:p w:rsidR="009D104A" w:rsidRPr="00F54B01" w:rsidRDefault="00302B89" w:rsidP="00037759">
      <w:pPr>
        <w:pStyle w:val="a3"/>
        <w:ind w:left="567"/>
        <w:rPr>
          <w:rFonts w:cs="Times New Roman"/>
          <w:lang w:val="el-GR"/>
        </w:rPr>
      </w:pPr>
      <w:r w:rsidRPr="00037759">
        <w:rPr>
          <w:rFonts w:cs="Times New Roman"/>
          <w:u w:val="single"/>
          <w:lang w:val="el-GR"/>
        </w:rPr>
        <w:t>Σοβαρή νεφρική δυσλειτουργία: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</w:t>
      </w:r>
      <w:r w:rsidR="0099620C">
        <w:rPr>
          <w:rFonts w:cs="Times New Roman"/>
          <w:lang w:val="el-GR"/>
        </w:rPr>
        <w:t>τενοφοβίρης δισοπρόξιλης</w:t>
      </w:r>
      <w:r w:rsidRPr="00F54B01">
        <w:rPr>
          <w:rFonts w:cs="Times New Roman"/>
          <w:lang w:val="el-GR"/>
        </w:rPr>
        <w:t xml:space="preserve"> μπορούν να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χορηγούνται κάθε 72-96 ώρες (δοσολογία δύο φορές την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εβδομάδα).</w:t>
      </w:r>
    </w:p>
    <w:p w:rsidR="009D104A" w:rsidRPr="00F54B01" w:rsidRDefault="00302B89" w:rsidP="00037759">
      <w:pPr>
        <w:pStyle w:val="a3"/>
        <w:ind w:left="567"/>
        <w:rPr>
          <w:rFonts w:cs="Times New Roman"/>
          <w:lang w:val="el-GR"/>
        </w:rPr>
      </w:pPr>
      <w:r w:rsidRPr="00037759">
        <w:rPr>
          <w:rFonts w:cs="Times New Roman"/>
          <w:u w:val="single"/>
          <w:lang w:val="el-GR"/>
        </w:rPr>
        <w:t>Ασθενείς υπό αιμοκάθαρση: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</w:t>
      </w:r>
      <w:r w:rsidR="0099620C">
        <w:rPr>
          <w:rFonts w:cs="Times New Roman"/>
          <w:lang w:val="el-GR"/>
        </w:rPr>
        <w:t>τενοφοβίρης δισοπρόξιλης</w:t>
      </w:r>
      <w:r w:rsidRPr="00F54B01">
        <w:rPr>
          <w:rFonts w:cs="Times New Roman"/>
          <w:lang w:val="el-GR"/>
        </w:rPr>
        <w:t xml:space="preserve"> μπορούν να χορηγούνται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κάθε 7 ημέρες μετά από την ολοκλήρωση μιας συνεδρίας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αιμοκάθαρσης*.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Αυτές οι αναπροσαρμογές του δοσολογικού μεσοδιαστήματος δεν έχουν επιβεβαιωθεί σε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κλινικές μελέτες. Οι προσομοιώσεις καταδεικνύουν ότι το παρατεταμένο δοσολογικό μεσοδιάστημα με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χρήση </w:t>
      </w:r>
      <w:r w:rsidR="0099620C">
        <w:rPr>
          <w:rFonts w:cs="Times New Roman"/>
          <w:lang w:val="el-GR"/>
        </w:rPr>
        <w:t>τενοφοβίρης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επικαλυμμένων με λεπτό υμένιο δισκίων δεν είναι ιδανικό και θα μπορούσε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να έχει ως αποτέλεσμα αυξημένη τοξικότητα και ενδεχομένως ανεπαρκή ανταπόκριση. Ως εκ τούτου,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η κλινική ανταπόκριση στην θεραπεία και η νεφρική λειτουργία πρέπει να παρακολουθούνται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στενά (βλ. παραγράφους 4.4 και</w:t>
      </w:r>
      <w:r w:rsidRPr="00F54B01">
        <w:rPr>
          <w:rFonts w:cs="Times New Roman"/>
          <w:spacing w:val="-5"/>
          <w:lang w:val="el-GR"/>
        </w:rPr>
        <w:t xml:space="preserve"> </w:t>
      </w:r>
      <w:r w:rsidRPr="00F54B01">
        <w:rPr>
          <w:rFonts w:cs="Times New Roman"/>
          <w:lang w:val="el-GR"/>
        </w:rPr>
        <w:t>5.2).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* Γενικά</w:t>
      </w:r>
      <w:r w:rsidR="00AA45B9">
        <w:rPr>
          <w:rFonts w:cs="Times New Roman"/>
          <w:lang w:val="el-GR"/>
        </w:rPr>
        <w:t>,</w:t>
      </w:r>
      <w:r w:rsidRPr="00F54B01">
        <w:rPr>
          <w:rFonts w:cs="Times New Roman"/>
          <w:lang w:val="el-GR"/>
        </w:rPr>
        <w:t xml:space="preserve"> μία φορά εβδομαδιαίως, υπολογίζοντας τρεις συνεδρίες αιμοκάθαρσης την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εβδομάδα, διάρκειας περίπου 4 ωρών η καθεμία ή μετά από 12 ώρες συνολικής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αιμοκάθαρσης.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Δεν μπορούν να δοθούν οδηγίες για ασθενείς που δεν υποβάλλονται σε αιμοκάθαρση, με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κάθαρση </w:t>
      </w:r>
      <w:r w:rsidRPr="00F54B01">
        <w:rPr>
          <w:rFonts w:cs="Times New Roman"/>
          <w:lang w:val="el-GR"/>
        </w:rPr>
        <w:lastRenderedPageBreak/>
        <w:t>κρεατινίνης &lt;10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Παιδιατρικοί</w:t>
      </w:r>
      <w:r w:rsidRPr="00F54B01">
        <w:rPr>
          <w:rFonts w:cs="Times New Roman"/>
          <w:spacing w:val="-4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ασθενείς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χρήση </w:t>
      </w:r>
      <w:r w:rsidR="0099620C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δεν συνιστάται σε παιδιατρικούς ασθενείς με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νεφρική δυσλειτουργία (βλ. παράγραφο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Ηπατική</w:t>
      </w:r>
      <w:r w:rsidRPr="00F54B01">
        <w:rPr>
          <w:rFonts w:ascii="Times New Roman" w:hAnsi="Times New Roman" w:cs="Times New Roman"/>
          <w:i/>
          <w:spacing w:val="-5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δυσλειτουργία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Δεν απαιτείται αναπροσαρμογή της δόσης σε ασθενείς με ηπατική δυσλειτουργία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(βλ. παραγράφους 4.4 και</w:t>
      </w:r>
      <w:r w:rsidRPr="00F54B01">
        <w:rPr>
          <w:rFonts w:cs="Times New Roman"/>
          <w:spacing w:val="-4"/>
          <w:lang w:val="el-GR"/>
        </w:rPr>
        <w:t xml:space="preserve"> </w:t>
      </w:r>
      <w:r w:rsidRPr="00F54B01">
        <w:rPr>
          <w:rFonts w:cs="Times New Roman"/>
          <w:lang w:val="el-GR"/>
        </w:rPr>
        <w:t>5.2).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jc w:val="both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Αν </w:t>
      </w:r>
      <w:r w:rsidR="0099620C">
        <w:rPr>
          <w:rFonts w:cs="Times New Roman"/>
          <w:lang w:val="el-GR"/>
        </w:rPr>
        <w:t>η τενοφοβίρη</w:t>
      </w:r>
      <w:r w:rsidRPr="00F54B01">
        <w:rPr>
          <w:rFonts w:cs="Times New Roman"/>
          <w:lang w:val="el-GR"/>
        </w:rPr>
        <w:t xml:space="preserve"> διακοπεί σε ασθενείς με χρόνια ηπατίτιδα Β με ή χωρίς συνυπάρχουσα λοίμωξη από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, οι ασθενείς αυτοί πρέπει να παρακολουθούνται στενά για ένδειξη έξαρσης της ηπατίτιδας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(βλ. παράγραφο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Τρόπος</w:t>
      </w:r>
      <w:r w:rsidRPr="00F54B01">
        <w:rPr>
          <w:rFonts w:cs="Times New Roman"/>
          <w:spacing w:val="-1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χορήγησης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Τα δισκία του </w:t>
      </w:r>
      <w:r w:rsidR="0099620C">
        <w:rPr>
          <w:rFonts w:cs="Times New Roman"/>
        </w:rPr>
        <w:t>AGARDON</w:t>
      </w:r>
      <w:r w:rsidR="0099620C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πρέπει να λαμβάνονται μία φορά την ημέρα, από του στόματος μαζί με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την τροφή.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B4601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Γ</w:t>
      </w:r>
      <w:r w:rsidR="00302B89" w:rsidRPr="00F54B01">
        <w:rPr>
          <w:rFonts w:cs="Times New Roman"/>
          <w:lang w:val="el-GR"/>
        </w:rPr>
        <w:t>ια</w:t>
      </w:r>
      <w:r w:rsidR="00302B89" w:rsidRPr="00F54B01">
        <w:rPr>
          <w:rFonts w:cs="Times New Roman"/>
          <w:spacing w:val="-26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ασθενείς με δυσκολία κατάποσης των επικαλυμμένων με λεπτό υμένιο δισκίων, σε</w:t>
      </w:r>
      <w:r w:rsidR="00302B89" w:rsidRPr="00F54B01">
        <w:rPr>
          <w:rFonts w:cs="Times New Roman"/>
          <w:spacing w:val="-2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εξαιρετικές περιπτώσεις, τα </w:t>
      </w:r>
      <w:r>
        <w:rPr>
          <w:rFonts w:cs="Times New Roman"/>
        </w:rPr>
        <w:t>AGARDON</w:t>
      </w:r>
      <w:r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245 </w:t>
      </w:r>
      <w:r w:rsidR="00302B89" w:rsidRPr="00F54B01">
        <w:rPr>
          <w:rFonts w:cs="Times New Roman"/>
        </w:rPr>
        <w:t>mg</w:t>
      </w:r>
      <w:r w:rsidR="00302B89" w:rsidRPr="00F54B01">
        <w:rPr>
          <w:rFonts w:cs="Times New Roman"/>
          <w:lang w:val="el-GR"/>
        </w:rPr>
        <w:t xml:space="preserve"> επικαλυμμένα με λεπτό υμένιο δισκία μπορούν να χορηγηθούν</w:t>
      </w:r>
      <w:r w:rsidR="00302B89" w:rsidRPr="00F54B01">
        <w:rPr>
          <w:rFonts w:cs="Times New Roman"/>
          <w:spacing w:val="-22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μετά από διάλυση του δισκίου σε τουλάχιστον 100 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 xml:space="preserve"> ύδατος, χυμ</w:t>
      </w:r>
      <w:r w:rsidR="00302B89" w:rsidRPr="00F54B01">
        <w:rPr>
          <w:rFonts w:cs="Times New Roman"/>
        </w:rPr>
        <w:t>o</w:t>
      </w:r>
      <w:r w:rsidR="00302B89" w:rsidRPr="00F54B01">
        <w:rPr>
          <w:rFonts w:cs="Times New Roman"/>
          <w:lang w:val="el-GR"/>
        </w:rPr>
        <w:t>ύ πορτοκαλιού ή χυμ</w:t>
      </w:r>
      <w:r w:rsidR="00302B89" w:rsidRPr="00F54B01">
        <w:rPr>
          <w:rFonts w:cs="Times New Roman"/>
        </w:rPr>
        <w:t>o</w:t>
      </w:r>
      <w:r w:rsidR="00302B89" w:rsidRPr="00F54B01">
        <w:rPr>
          <w:rFonts w:cs="Times New Roman"/>
          <w:lang w:val="el-GR"/>
        </w:rPr>
        <w:t>ύ</w:t>
      </w:r>
      <w:r w:rsidR="00302B89" w:rsidRPr="00F54B01">
        <w:rPr>
          <w:rFonts w:cs="Times New Roman"/>
          <w:spacing w:val="-2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σταφυλιού.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</w:rPr>
      </w:pPr>
      <w:r w:rsidRPr="00F54B01">
        <w:rPr>
          <w:rFonts w:ascii="Times New Roman" w:hAnsi="Times New Roman" w:cs="Times New Roman"/>
          <w:b/>
        </w:rPr>
        <w:t>Αντενδείξεις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Υπερευαισθησία στη δραστική ουσία </w:t>
      </w:r>
      <w:r w:rsidR="00AA45B9">
        <w:rPr>
          <w:rFonts w:cs="Times New Roman"/>
          <w:lang w:val="el-GR"/>
        </w:rPr>
        <w:t xml:space="preserve">ή </w:t>
      </w:r>
      <w:r w:rsidRPr="00F54B01">
        <w:rPr>
          <w:rFonts w:cs="Times New Roman"/>
          <w:lang w:val="el-GR"/>
        </w:rPr>
        <w:t>κάποιο από τα έκδοχα που αναφέρονται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στην παράγραφο 6.1.</w:t>
      </w:r>
    </w:p>
    <w:p w:rsidR="001E7767" w:rsidRPr="00F54B01" w:rsidRDefault="001E7767" w:rsidP="009A7039">
      <w:pPr>
        <w:pStyle w:val="a3"/>
        <w:ind w:left="0"/>
        <w:rPr>
          <w:rFonts w:cs="Times New Roman"/>
          <w:lang w:val="el-GR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  <w:lang w:val="el-GR"/>
        </w:rPr>
      </w:pPr>
      <w:r w:rsidRPr="00F54B01">
        <w:rPr>
          <w:rFonts w:ascii="Times New Roman" w:hAnsi="Times New Roman" w:cs="Times New Roman"/>
          <w:b/>
          <w:lang w:val="el-GR"/>
        </w:rPr>
        <w:t>Ειδικές προειδοποιήσεις και προφυλάξεις κατά τη χρήση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Γενικά</w:t>
      </w:r>
    </w:p>
    <w:p w:rsidR="009D104A" w:rsidRPr="00F54B01" w:rsidRDefault="00302B89" w:rsidP="009A7039">
      <w:pPr>
        <w:jc w:val="both"/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lang w:val="el-GR"/>
        </w:rPr>
        <w:t xml:space="preserve">Δοκιμασία αντισωμάτων </w:t>
      </w:r>
      <w:r w:rsidRPr="00F54B01">
        <w:rPr>
          <w:rFonts w:ascii="Times New Roman" w:hAnsi="Times New Roman" w:cs="Times New Roman"/>
          <w:spacing w:val="-2"/>
        </w:rPr>
        <w:t>HIV</w:t>
      </w:r>
      <w:r w:rsidRPr="00F54B01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πρέπει να παρέχεται σε όλους τους ασθενείς με λοίμωξη από</w:t>
      </w:r>
      <w:r w:rsidRPr="00F54B01">
        <w:rPr>
          <w:rFonts w:ascii="Times New Roman" w:hAnsi="Times New Roman" w:cs="Times New Roman"/>
          <w:spacing w:val="-15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τον ιό </w:t>
      </w:r>
      <w:r w:rsidRPr="00F54B01">
        <w:rPr>
          <w:rFonts w:ascii="Times New Roman" w:hAnsi="Times New Roman" w:cs="Times New Roman"/>
        </w:rPr>
        <w:t>HBV</w:t>
      </w:r>
      <w:r w:rsidRPr="00F54B01">
        <w:rPr>
          <w:rFonts w:ascii="Times New Roman" w:hAnsi="Times New Roman" w:cs="Times New Roman"/>
          <w:lang w:val="el-GR"/>
        </w:rPr>
        <w:t xml:space="preserve"> πριν από την έναρξη της θεραπείας με </w:t>
      </w:r>
      <w:r w:rsidR="003B4601">
        <w:rPr>
          <w:rFonts w:ascii="Times New Roman" w:hAnsi="Times New Roman" w:cs="Times New Roman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lang w:val="el-GR"/>
        </w:rPr>
        <w:t xml:space="preserve"> (βλέπε</w:t>
      </w:r>
      <w:r w:rsidRPr="00F54B01">
        <w:rPr>
          <w:rFonts w:ascii="Times New Roman" w:hAnsi="Times New Roman" w:cs="Times New Roman"/>
          <w:spacing w:val="-25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παρακάτω </w:t>
      </w:r>
      <w:r w:rsidR="002A3C5B">
        <w:rPr>
          <w:rFonts w:ascii="Times New Roman" w:hAnsi="Times New Roman" w:cs="Times New Roman"/>
          <w:lang w:val="el-GR"/>
        </w:rPr>
        <w:t>«</w:t>
      </w:r>
      <w:r w:rsidRPr="00F54B01">
        <w:rPr>
          <w:rFonts w:ascii="Times New Roman" w:hAnsi="Times New Roman" w:cs="Times New Roman"/>
          <w:i/>
          <w:lang w:val="el-GR"/>
        </w:rPr>
        <w:t xml:space="preserve">Συνυπάρχουσα λοίμωξη από </w:t>
      </w:r>
      <w:r w:rsidRPr="00F54B01">
        <w:rPr>
          <w:rFonts w:ascii="Times New Roman" w:hAnsi="Times New Roman" w:cs="Times New Roman"/>
          <w:i/>
        </w:rPr>
        <w:t>HIV</w:t>
      </w:r>
      <w:r w:rsidRPr="00F54B01">
        <w:rPr>
          <w:rFonts w:ascii="Times New Roman" w:hAnsi="Times New Roman" w:cs="Times New Roman"/>
          <w:i/>
          <w:lang w:val="el-GR"/>
        </w:rPr>
        <w:t>-1 και ηπατίτιδα</w:t>
      </w:r>
      <w:r w:rsidRPr="00F54B01">
        <w:rPr>
          <w:rFonts w:ascii="Times New Roman" w:hAnsi="Times New Roman" w:cs="Times New Roman"/>
          <w:i/>
          <w:spacing w:val="-15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B</w:t>
      </w:r>
      <w:r w:rsidR="002A3C5B">
        <w:rPr>
          <w:rFonts w:ascii="Times New Roman" w:hAnsi="Times New Roman" w:cs="Times New Roman"/>
          <w:i/>
          <w:lang w:val="el-GR"/>
        </w:rPr>
        <w:t>»</w:t>
      </w:r>
      <w:r w:rsidRPr="00F54B01">
        <w:rPr>
          <w:rFonts w:ascii="Times New Roman" w:hAnsi="Times New Roman" w:cs="Times New Roman"/>
          <w:lang w:val="el-GR"/>
        </w:rPr>
        <w:t>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</w:rPr>
        <w:t>HIV</w:t>
      </w:r>
      <w:r w:rsidRPr="00F54B01">
        <w:rPr>
          <w:rFonts w:ascii="Times New Roman" w:hAnsi="Times New Roman" w:cs="Times New Roman"/>
          <w:i/>
          <w:lang w:val="el-GR"/>
        </w:rPr>
        <w:t>-1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Αν και η αποτελεσματική ιολογική καταστολή με αντιρετροϊική θεραπεία έχει αποδειχθεί ότι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μειώνει σημαντικά τον κίνδυνο μετάδοσης του ιού με σεξουαλική επαφή, δεν μπορεί να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αποκλειστεί υπολειπόμενος κίνδυνος. Θα πρέπει να λαμβάνονται προφυλάξεις σύμφωνα με τις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εθνικές κατευθυντήριες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οδηγίες.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Χρόνια ηπατίτιδα</w:t>
      </w:r>
      <w:r w:rsidRPr="00F54B01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B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Οι ασθενείς πρέπει να πληροφορούνται ότι </w:t>
      </w:r>
      <w:r w:rsidR="00AF77BB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 xml:space="preserve"> δεν έχει αποδειχθεί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ότι αποτρέπει τον κίνδυνο μετάδοσης του </w:t>
      </w:r>
      <w:r w:rsidRPr="00F54B01">
        <w:rPr>
          <w:rFonts w:cs="Times New Roman"/>
          <w:spacing w:val="-2"/>
        </w:rPr>
        <w:t>HBV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σε άλλους μέσω σεξουαλικής επαφής ή μόλυνσης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μέσω του αίματος. Θα πρέπει να εξακολουθήσουν να λαμβάνονται κατάλληλες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προφυλάξεις.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Συγχορήγηση άλλων φαρμακευτικών</w:t>
      </w:r>
      <w:r w:rsidRPr="00F54B01">
        <w:rPr>
          <w:rFonts w:cs="Times New Roman"/>
          <w:spacing w:val="-13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προϊόντων</w:t>
      </w:r>
    </w:p>
    <w:p w:rsidR="009D104A" w:rsidRPr="00F54B01" w:rsidRDefault="00302B89" w:rsidP="009A7039">
      <w:pPr>
        <w:pStyle w:val="a4"/>
        <w:numPr>
          <w:ilvl w:val="0"/>
          <w:numId w:val="20"/>
        </w:numPr>
        <w:tabs>
          <w:tab w:val="left" w:pos="567"/>
        </w:tabs>
        <w:ind w:left="567"/>
        <w:rPr>
          <w:rFonts w:ascii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lang w:val="el-GR"/>
        </w:rPr>
        <w:t xml:space="preserve">Το </w:t>
      </w:r>
      <w:r w:rsidR="00AF77BB">
        <w:rPr>
          <w:rFonts w:ascii="Times New Roman" w:hAnsi="Times New Roman" w:cs="Times New Roman"/>
        </w:rPr>
        <w:t>AGARDON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δεν πρέπει να συγχορηγείται με άλλα φαρμακευτικά προϊόντα που περιέχουν </w:t>
      </w:r>
      <w:r w:rsidR="00AF77BB">
        <w:rPr>
          <w:rFonts w:ascii="Times New Roman" w:hAnsi="Times New Roman" w:cs="Times New Roman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lang w:val="el-GR"/>
        </w:rPr>
        <w:t>.</w:t>
      </w:r>
    </w:p>
    <w:p w:rsidR="009D104A" w:rsidRPr="00F54B01" w:rsidRDefault="00302B89" w:rsidP="009A7039">
      <w:pPr>
        <w:pStyle w:val="a4"/>
        <w:numPr>
          <w:ilvl w:val="0"/>
          <w:numId w:val="20"/>
        </w:numPr>
        <w:tabs>
          <w:tab w:val="left" w:pos="567"/>
        </w:tabs>
        <w:ind w:left="567"/>
        <w:rPr>
          <w:rFonts w:ascii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lang w:val="el-GR"/>
        </w:rPr>
        <w:t xml:space="preserve">Το </w:t>
      </w:r>
      <w:r w:rsidR="00AF77BB">
        <w:rPr>
          <w:rFonts w:ascii="Times New Roman" w:hAnsi="Times New Roman" w:cs="Times New Roman"/>
        </w:rPr>
        <w:t>AGARDON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δεν πρέπει να συγχορηγείται με </w:t>
      </w:r>
      <w:r w:rsidR="00AA45B9">
        <w:rPr>
          <w:rFonts w:ascii="Times New Roman" w:hAnsi="Times New Roman" w:cs="Times New Roman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lang w:val="el-GR"/>
        </w:rPr>
        <w:t>.</w:t>
      </w:r>
    </w:p>
    <w:p w:rsidR="009D104A" w:rsidRPr="00F54B01" w:rsidRDefault="00302B89" w:rsidP="009A7039">
      <w:pPr>
        <w:pStyle w:val="a4"/>
        <w:numPr>
          <w:ilvl w:val="0"/>
          <w:numId w:val="20"/>
        </w:numPr>
        <w:tabs>
          <w:tab w:val="left" w:pos="567"/>
        </w:tabs>
        <w:ind w:left="567"/>
        <w:rPr>
          <w:rFonts w:ascii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lang w:val="el-GR"/>
        </w:rPr>
        <w:t>Η συγχορήγηση τ</w:t>
      </w:r>
      <w:r w:rsidR="00AA45B9">
        <w:rPr>
          <w:rFonts w:ascii="Times New Roman" w:hAnsi="Times New Roman" w:cs="Times New Roman"/>
          <w:lang w:val="el-GR"/>
        </w:rPr>
        <w:t>ης</w:t>
      </w:r>
      <w:r w:rsidRPr="00F54B01">
        <w:rPr>
          <w:rFonts w:ascii="Times New Roman" w:hAnsi="Times New Roman" w:cs="Times New Roman"/>
          <w:lang w:val="el-GR"/>
        </w:rPr>
        <w:t xml:space="preserve"> </w:t>
      </w:r>
      <w:r w:rsidR="00AF77BB">
        <w:rPr>
          <w:rFonts w:ascii="Times New Roman" w:hAnsi="Times New Roman" w:cs="Times New Roman"/>
          <w:lang w:val="el-GR"/>
        </w:rPr>
        <w:t>τενοφοβίρης δισοπρόξιλης</w:t>
      </w:r>
      <w:r w:rsidRPr="00F54B01">
        <w:rPr>
          <w:rFonts w:ascii="Times New Roman" w:hAnsi="Times New Roman" w:cs="Times New Roman"/>
          <w:lang w:val="el-GR"/>
        </w:rPr>
        <w:t xml:space="preserve"> με </w:t>
      </w:r>
      <w:r w:rsidR="00AA45B9" w:rsidRPr="00AA45B9">
        <w:rPr>
          <w:rFonts w:ascii="Times New Roman" w:hAnsi="Times New Roman" w:cs="Times New Roman"/>
          <w:lang w:val="el-GR"/>
        </w:rPr>
        <w:t>διδανοσίνη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δεν συνιστάται. Η συγχορήγηση </w:t>
      </w:r>
      <w:r w:rsidR="00AF77BB">
        <w:rPr>
          <w:rFonts w:ascii="Times New Roman" w:hAnsi="Times New Roman" w:cs="Times New Roman"/>
          <w:lang w:val="el-GR"/>
        </w:rPr>
        <w:t>τενοφοβίρης δισοπρόξιλης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με </w:t>
      </w:r>
      <w:r w:rsidR="00AA45B9" w:rsidRPr="00AA45B9">
        <w:rPr>
          <w:rFonts w:ascii="Times New Roman" w:hAnsi="Times New Roman" w:cs="Times New Roman"/>
          <w:lang w:val="el-GR"/>
        </w:rPr>
        <w:t>διδανοσίνη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οδηγεί σε κατά 40-60% αυξημένη συστηματική έκθεση </w:t>
      </w:r>
      <w:r w:rsidR="00AF77BB" w:rsidRPr="00F54B01">
        <w:rPr>
          <w:rFonts w:ascii="Times New Roman" w:hAnsi="Times New Roman" w:cs="Times New Roman"/>
          <w:lang w:val="el-GR"/>
        </w:rPr>
        <w:t>στ</w:t>
      </w:r>
      <w:r w:rsidR="00AA45B9">
        <w:rPr>
          <w:rFonts w:ascii="Times New Roman" w:hAnsi="Times New Roman" w:cs="Times New Roman"/>
          <w:lang w:val="el-GR"/>
        </w:rPr>
        <w:t>η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="00AA45B9" w:rsidRPr="00AA45B9">
        <w:rPr>
          <w:rFonts w:ascii="Times New Roman" w:hAnsi="Times New Roman" w:cs="Times New Roman"/>
          <w:lang w:val="el-GR"/>
        </w:rPr>
        <w:t>διδανοσίνη</w:t>
      </w:r>
      <w:r w:rsidRPr="00F54B01">
        <w:rPr>
          <w:rFonts w:ascii="Times New Roman" w:hAnsi="Times New Roman" w:cs="Times New Roman"/>
          <w:lang w:val="el-GR"/>
        </w:rPr>
        <w:t xml:space="preserve">, που μπορεί να αυξήσει τον κίνδυνο ανεπιθύμητων ενεργειών συσχετιζόμενων με </w:t>
      </w:r>
      <w:r w:rsidR="00AF77BB" w:rsidRPr="00F54B01">
        <w:rPr>
          <w:rFonts w:ascii="Times New Roman" w:hAnsi="Times New Roman" w:cs="Times New Roman"/>
          <w:lang w:val="el-GR"/>
        </w:rPr>
        <w:t>τ</w:t>
      </w:r>
      <w:r w:rsidR="00AA45B9">
        <w:rPr>
          <w:rFonts w:ascii="Times New Roman" w:hAnsi="Times New Roman" w:cs="Times New Roman"/>
          <w:lang w:val="el-GR"/>
        </w:rPr>
        <w:t>η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="00AA45B9" w:rsidRPr="00AA45B9">
        <w:rPr>
          <w:rFonts w:ascii="Times New Roman" w:hAnsi="Times New Roman" w:cs="Times New Roman"/>
          <w:lang w:val="el-GR"/>
        </w:rPr>
        <w:t>διδανοσίνη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(βλ. παράγραφο 4.5). Σπάνια, έχουν αναφερθεί παγκρεατίτιδα και γαλακτική οξέωση, ενίοτε μοιραία. Η συγχορήγηση τ</w:t>
      </w:r>
      <w:r w:rsidR="00AA45B9">
        <w:rPr>
          <w:rFonts w:ascii="Times New Roman" w:hAnsi="Times New Roman" w:cs="Times New Roman"/>
          <w:lang w:val="el-GR"/>
        </w:rPr>
        <w:t>ης</w:t>
      </w:r>
      <w:r w:rsidRPr="00F54B01">
        <w:rPr>
          <w:rFonts w:ascii="Times New Roman" w:hAnsi="Times New Roman" w:cs="Times New Roman"/>
          <w:lang w:val="el-GR"/>
        </w:rPr>
        <w:t xml:space="preserve"> </w:t>
      </w:r>
      <w:r w:rsidR="00AF77BB">
        <w:rPr>
          <w:rFonts w:ascii="Times New Roman" w:hAnsi="Times New Roman" w:cs="Times New Roman"/>
          <w:lang w:val="el-GR"/>
        </w:rPr>
        <w:t>τενοφοβίρης δισοπρόξιλης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με </w:t>
      </w:r>
      <w:r w:rsidR="00AA45B9" w:rsidRPr="00AA45B9">
        <w:rPr>
          <w:rFonts w:ascii="Times New Roman" w:hAnsi="Times New Roman" w:cs="Times New Roman"/>
          <w:lang w:val="el-GR"/>
        </w:rPr>
        <w:t>διδανοσίνη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σε δόση 400 mg ημερησίως συσχετίστηκε με σημαντική μείωση του αριθμού κυττάρων CD4, πιθανώς λόγω </w:t>
      </w:r>
      <w:r w:rsidR="00AA45B9">
        <w:rPr>
          <w:rFonts w:ascii="Times New Roman" w:hAnsi="Times New Roman" w:cs="Times New Roman"/>
          <w:lang w:val="el-GR"/>
        </w:rPr>
        <w:t>ενδοκυττάριας αλληλεπίδρασης εξ</w:t>
      </w:r>
      <w:r w:rsidRPr="00F54B01">
        <w:rPr>
          <w:rFonts w:ascii="Times New Roman" w:hAnsi="Times New Roman" w:cs="Times New Roman"/>
          <w:lang w:val="el-GR"/>
        </w:rPr>
        <w:t xml:space="preserve">αιτίας της οποίας αυξήθηκε </w:t>
      </w:r>
      <w:r w:rsidR="00AA45B9">
        <w:rPr>
          <w:rFonts w:ascii="Times New Roman" w:hAnsi="Times New Roman" w:cs="Times New Roman"/>
          <w:lang w:val="el-GR"/>
        </w:rPr>
        <w:t>η</w:t>
      </w:r>
      <w:r w:rsidR="00AF77BB" w:rsidRPr="00F54B01">
        <w:rPr>
          <w:rFonts w:ascii="Times New Roman" w:hAnsi="Times New Roman" w:cs="Times New Roman"/>
          <w:lang w:val="el-GR"/>
        </w:rPr>
        <w:t xml:space="preserve"> φωσφορυλιωμέν</w:t>
      </w:r>
      <w:r w:rsidR="00AA45B9">
        <w:rPr>
          <w:rFonts w:ascii="Times New Roman" w:hAnsi="Times New Roman" w:cs="Times New Roman"/>
          <w:lang w:val="el-GR"/>
        </w:rPr>
        <w:t>η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(δηλ. η δραστική) </w:t>
      </w:r>
      <w:r w:rsidR="00AA45B9" w:rsidRPr="00AA45B9">
        <w:rPr>
          <w:rFonts w:ascii="Times New Roman" w:hAnsi="Times New Roman" w:cs="Times New Roman"/>
          <w:lang w:val="el-GR"/>
        </w:rPr>
        <w:t>διδανοσίνη</w:t>
      </w:r>
      <w:r w:rsidRPr="00F54B01">
        <w:rPr>
          <w:rFonts w:ascii="Times New Roman" w:hAnsi="Times New Roman" w:cs="Times New Roman"/>
          <w:lang w:val="el-GR"/>
        </w:rPr>
        <w:t xml:space="preserve">. Μια μειωμένη δόση των 250 mg </w:t>
      </w:r>
      <w:r w:rsidR="00AA45B9" w:rsidRPr="00AA45B9">
        <w:rPr>
          <w:rFonts w:ascii="Times New Roman" w:hAnsi="Times New Roman" w:cs="Times New Roman"/>
          <w:lang w:val="el-GR"/>
        </w:rPr>
        <w:t>διδανοσίνη</w:t>
      </w:r>
      <w:r w:rsidR="00AA45B9">
        <w:rPr>
          <w:rFonts w:ascii="Times New Roman" w:hAnsi="Times New Roman" w:cs="Times New Roman"/>
          <w:lang w:val="el-GR"/>
        </w:rPr>
        <w:t>ς</w:t>
      </w:r>
      <w:r w:rsidR="00AF77B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συγχορηγούμενης με θεραπεία </w:t>
      </w:r>
      <w:r w:rsidR="00AF77BB">
        <w:rPr>
          <w:rFonts w:ascii="Times New Roman" w:hAnsi="Times New Roman" w:cs="Times New Roman"/>
          <w:lang w:val="el-GR"/>
        </w:rPr>
        <w:t>τενοφοβίρη</w:t>
      </w:r>
      <w:r w:rsidR="00AA45B9">
        <w:rPr>
          <w:rFonts w:ascii="Times New Roman" w:hAnsi="Times New Roman" w:cs="Times New Roman"/>
          <w:lang w:val="el-GR"/>
        </w:rPr>
        <w:t>ς</w:t>
      </w:r>
      <w:r w:rsidR="00AF77BB">
        <w:rPr>
          <w:rFonts w:ascii="Times New Roman" w:hAnsi="Times New Roman" w:cs="Times New Roman"/>
          <w:lang w:val="el-GR"/>
        </w:rPr>
        <w:t xml:space="preserve"> δισοπρόξιλη</w:t>
      </w:r>
      <w:r w:rsidR="00AA45B9">
        <w:rPr>
          <w:rFonts w:ascii="Times New Roman" w:hAnsi="Times New Roman" w:cs="Times New Roman"/>
          <w:lang w:val="el-GR"/>
        </w:rPr>
        <w:t>ς</w:t>
      </w:r>
      <w:r w:rsidRPr="00F54B01">
        <w:rPr>
          <w:rFonts w:ascii="Times New Roman" w:hAnsi="Times New Roman" w:cs="Times New Roman"/>
          <w:lang w:val="el-GR"/>
        </w:rPr>
        <w:t xml:space="preserve"> συσχετίστηκε με αναφορές υψηλού ποσοστού ιολογικής </w:t>
      </w:r>
      <w:r w:rsidRPr="00F54B01">
        <w:rPr>
          <w:rFonts w:ascii="Times New Roman" w:hAnsi="Times New Roman" w:cs="Times New Roman"/>
          <w:lang w:val="el-GR"/>
        </w:rPr>
        <w:lastRenderedPageBreak/>
        <w:t>αποτυχίας με τους διάφορους συνδυασμούς που δοκιμάστηκαν για τη θεραπεία της λοίμωξης από τον ιό HIV-1.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Θεραπεία τριπλού συνδυασμού με</w:t>
      </w:r>
      <w:r w:rsidRPr="00F54B01">
        <w:rPr>
          <w:rFonts w:cs="Times New Roman"/>
          <w:spacing w:val="-24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νουκλεοσίδια/νουκλεοτίδια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Έχουν υπάρξει αναφορές με υψηλό ποσοστό ιολογικής αποτυχίας και ανάπτυξης αντοχής σε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πρώιμο στάδιο σε ασθενείς με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, όταν </w:t>
      </w:r>
      <w:r w:rsidR="00AF77BB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 xml:space="preserve"> συνδυάστηκε με </w:t>
      </w:r>
      <w:r w:rsidR="00643ECB" w:rsidRPr="00FB72E2">
        <w:rPr>
          <w:rFonts w:cs="Times New Roman"/>
          <w:lang w:val="el-GR"/>
        </w:rPr>
        <w:t>λαμιβουδίνη</w:t>
      </w:r>
      <w:r w:rsidR="00AF77BB"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</w:t>
      </w:r>
      <w:r w:rsidR="00AA45B9" w:rsidRPr="00AA45B9">
        <w:rPr>
          <w:rFonts w:cs="Times New Roman"/>
          <w:lang w:val="el-GR"/>
        </w:rPr>
        <w:t>αβακαβίρη</w:t>
      </w:r>
      <w:r w:rsidRPr="00F54B01">
        <w:rPr>
          <w:rFonts w:cs="Times New Roman"/>
          <w:lang w:val="el-GR"/>
        </w:rPr>
        <w:t xml:space="preserve">, όπως επίσης και με </w:t>
      </w:r>
      <w:r w:rsidR="00643ECB" w:rsidRPr="00FB72E2">
        <w:rPr>
          <w:rFonts w:cs="Times New Roman"/>
          <w:lang w:val="el-GR"/>
        </w:rPr>
        <w:t>λαμιβουδίνη</w:t>
      </w:r>
      <w:r w:rsidR="00AF77BB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</w:t>
      </w:r>
      <w:r w:rsidR="00AA45B9" w:rsidRPr="00AA45B9">
        <w:rPr>
          <w:rFonts w:cs="Times New Roman"/>
          <w:lang w:val="el-GR"/>
        </w:rPr>
        <w:t>διδανοσίνη</w:t>
      </w:r>
      <w:r w:rsidR="00AF77BB" w:rsidRPr="00F54B01">
        <w:rPr>
          <w:rFonts w:cs="Times New Roman"/>
          <w:lang w:val="el-GR"/>
        </w:rPr>
        <w:t xml:space="preserve"> </w:t>
      </w:r>
      <w:r w:rsidR="000D7225">
        <w:rPr>
          <w:rFonts w:cs="Times New Roman"/>
          <w:lang w:val="el-GR"/>
        </w:rPr>
        <w:t>ως θεραπευτικό σχήμα εφ</w:t>
      </w:r>
      <w:r w:rsidRPr="00F54B01">
        <w:rPr>
          <w:rFonts w:cs="Times New Roman"/>
          <w:lang w:val="el-GR"/>
        </w:rPr>
        <w:t>άπαξ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>ημερησίως.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Επιδράσεις στους νεφρούς και τα οστά στον ενήλικο</w:t>
      </w:r>
      <w:r w:rsidRPr="00F54B01">
        <w:rPr>
          <w:rFonts w:cs="Times New Roman"/>
          <w:spacing w:val="-18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πληθυσμό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Επιδράσεις στους</w:t>
      </w:r>
      <w:r w:rsidRPr="00F54B01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νεφρούς</w:t>
      </w:r>
    </w:p>
    <w:p w:rsidR="009D104A" w:rsidRPr="00F54B01" w:rsidRDefault="00AA45B9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Η </w:t>
      </w:r>
      <w:r w:rsidR="00AF77BB">
        <w:rPr>
          <w:rFonts w:cs="Times New Roman"/>
          <w:lang w:val="el-GR"/>
        </w:rPr>
        <w:t>τενοφοβίρη</w:t>
      </w:r>
      <w:r w:rsidR="00302B89" w:rsidRPr="00F54B01">
        <w:rPr>
          <w:rFonts w:cs="Times New Roman"/>
          <w:lang w:val="el-GR"/>
        </w:rPr>
        <w:t xml:space="preserve"> απεκκρίνεται κυρίως μέσω των νεφρών. Νεφρική έκπτωση, νεφρική</w:t>
      </w:r>
      <w:r w:rsidR="00302B89" w:rsidRPr="00F54B01">
        <w:rPr>
          <w:rFonts w:cs="Times New Roman"/>
          <w:spacing w:val="-2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δυσλειτουργία, αυξημένη κρεατινίνη, υποφωσφαταιμία και κεντρική σωληναριοπάθεια (συμπεριλαμβανομένου</w:t>
      </w:r>
      <w:r w:rsidR="00302B89" w:rsidRPr="00F54B01">
        <w:rPr>
          <w:rFonts w:cs="Times New Roman"/>
          <w:spacing w:val="-26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του συνδρόμου </w:t>
      </w:r>
      <w:r w:rsidR="00302B89" w:rsidRPr="00F54B01">
        <w:rPr>
          <w:rFonts w:cs="Times New Roman"/>
        </w:rPr>
        <w:t>Fanconi</w:t>
      </w:r>
      <w:r w:rsidR="00302B89" w:rsidRPr="00F54B01">
        <w:rPr>
          <w:rFonts w:cs="Times New Roman"/>
          <w:lang w:val="el-GR"/>
        </w:rPr>
        <w:t xml:space="preserve">), έχουν αναφερθεί στην κλινική πράξη με τη χρήση </w:t>
      </w:r>
      <w:r w:rsidR="00AF77BB">
        <w:rPr>
          <w:rFonts w:cs="Times New Roman"/>
          <w:lang w:val="el-GR"/>
        </w:rPr>
        <w:t>της τενοφοβίρης δισοπρόξιλης</w:t>
      </w:r>
      <w:r w:rsidR="00302B89" w:rsidRPr="00F54B01">
        <w:rPr>
          <w:rFonts w:cs="Times New Roman"/>
          <w:lang w:val="el-GR"/>
        </w:rPr>
        <w:t xml:space="preserve"> (βλ. παράγραφο</w:t>
      </w:r>
      <w:r w:rsidR="00302B89" w:rsidRPr="00F54B01">
        <w:rPr>
          <w:rFonts w:cs="Times New Roman"/>
          <w:spacing w:val="-4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4.8).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Νεφρική</w:t>
      </w:r>
      <w:r w:rsidRPr="00F54B01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παρακολούθηση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Συνιστάται ο υπολογισμός της κάθαρσης κρεατινίνης σε όλους τους ασθενείς πριν την έναρξη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της αγωγής με </w:t>
      </w:r>
      <w:r w:rsidR="00AF77BB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όπως επίσης και η παρακολούθηση της νεφρικής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λειτουργίας (κάθαρση κρεατινίνης και φώσφορος ορού) μετά από δύο έως τέσσερις εβδομάδες αγωγής, μετά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από τρεις μήνες αγωγής και στη συνέχεια κάθε τρεις έως έξι μήνες σε ασθενείς χωρίς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νεφρικούς παράγοντες κινδύνου. Για ασθενείς σε κίνδυνο για νεφρική δυσλειτουργία, απαιτείται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συχνότερη παρακολούθηση της νεφρικής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>λειτουργίας.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Νεφρική</w:t>
      </w:r>
      <w:r w:rsidRPr="00F54B01">
        <w:rPr>
          <w:rFonts w:ascii="Times New Roman" w:hAnsi="Times New Roman" w:cs="Times New Roman"/>
          <w:i/>
          <w:spacing w:val="-4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διαχείριση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Αν ο φώσφορος ορού είναι &lt;1,5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dl</w:t>
      </w:r>
      <w:r w:rsidRPr="00F54B01">
        <w:rPr>
          <w:rFonts w:cs="Times New Roman"/>
          <w:lang w:val="el-GR"/>
        </w:rPr>
        <w:t xml:space="preserve"> (0,48 </w:t>
      </w:r>
      <w:r w:rsidRPr="00F54B01">
        <w:rPr>
          <w:rFonts w:cs="Times New Roman"/>
        </w:rPr>
        <w:t>mmol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l</w:t>
      </w:r>
      <w:r w:rsidRPr="00F54B01">
        <w:rPr>
          <w:rFonts w:cs="Times New Roman"/>
          <w:lang w:val="el-GR"/>
        </w:rPr>
        <w:t>) ή αν η κάθαρση κρεατινίνης έχει ελαττωθεί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σε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&lt;50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 σε κάθε ενήλικα ασθενή που λαμβάνει </w:t>
      </w:r>
      <w:r w:rsidR="00AF77BB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, η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νεφρική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λειτουργία θα πρέπει να επανεξεταστεί εντός μιας εβδομάδας, συμπεριλαμβανομένων και</w:t>
      </w:r>
      <w:r w:rsidRPr="00F54B01">
        <w:rPr>
          <w:rFonts w:cs="Times New Roman"/>
          <w:spacing w:val="-30"/>
          <w:lang w:val="el-GR"/>
        </w:rPr>
        <w:t xml:space="preserve"> </w:t>
      </w:r>
      <w:r w:rsidRPr="00F54B01">
        <w:rPr>
          <w:rFonts w:cs="Times New Roman"/>
          <w:lang w:val="el-GR"/>
        </w:rPr>
        <w:t>μετρήσεων των συγκεντρώσεων γλυκόζης αίματος, καλίου αίματος και γλυκόζης ούρων (βλ. παράγραφο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4.8, κεντρική σωληναριοπάθεια). Θα πρέπει επίσης να εξετάζεται η διακοπή της θεραπείας με </w:t>
      </w:r>
      <w:r w:rsidR="00AF77BB">
        <w:rPr>
          <w:rFonts w:cs="Times New Roman"/>
          <w:lang w:val="el-GR"/>
        </w:rPr>
        <w:t>την τενοφοβίρη δισοπρόξιλη</w:t>
      </w:r>
      <w:r w:rsidRPr="00F54B01">
        <w:rPr>
          <w:rFonts w:cs="Times New Roman"/>
          <w:lang w:val="el-GR"/>
        </w:rPr>
        <w:t xml:space="preserve"> σε ενήλικες ασθενείς με κάθαρση κρεατινίνης &lt;50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 ή μείωση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του φωσφόρου ορού σε &lt;1,0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dl</w:t>
      </w:r>
      <w:r w:rsidRPr="00F54B01">
        <w:rPr>
          <w:rFonts w:cs="Times New Roman"/>
          <w:lang w:val="el-GR"/>
        </w:rPr>
        <w:t xml:space="preserve"> (0,32 </w:t>
      </w:r>
      <w:r w:rsidRPr="00F54B01">
        <w:rPr>
          <w:rFonts w:cs="Times New Roman"/>
        </w:rPr>
        <w:t>mmol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l</w:t>
      </w:r>
      <w:r w:rsidRPr="00F54B01">
        <w:rPr>
          <w:rFonts w:cs="Times New Roman"/>
          <w:lang w:val="el-GR"/>
        </w:rPr>
        <w:t xml:space="preserve">). Η διακοπή της θεραπείας με </w:t>
      </w:r>
      <w:r w:rsidR="00AF77BB">
        <w:rPr>
          <w:rFonts w:cs="Times New Roman"/>
          <w:lang w:val="el-GR"/>
        </w:rPr>
        <w:t>τενοφοβίρη δισοπρόξιλη</w:t>
      </w:r>
      <w:r w:rsidR="00AF77BB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θα πρέπει επίσης να ληφθεί υπόψη στην περίπτωση προοδευτικής μείωσης της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νεφρικής λειτουργίας όταν δεν έχει αναγνωριστεί κάποια άλλη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αιτία.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Συγχορήγηση και κίνδυνος νεφρικής</w:t>
      </w:r>
      <w:r w:rsidRPr="00F54B01">
        <w:rPr>
          <w:rFonts w:ascii="Times New Roman" w:hAnsi="Times New Roman" w:cs="Times New Roman"/>
          <w:i/>
          <w:spacing w:val="-8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τοξικότητας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χρήση </w:t>
      </w:r>
      <w:r w:rsidR="00AF77BB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πρέπει να αποφεύγεται με συγχορήγηση ή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πρόσφατη χρήση νεφροτοξικού φαρμακευτικού προϊόντος (π.χ. αμινογλυκοσίδες, </w:t>
      </w:r>
      <w:r w:rsidR="00AA45B9" w:rsidRPr="00AA45B9">
        <w:rPr>
          <w:rFonts w:cs="Times New Roman"/>
          <w:lang w:val="el-GR"/>
        </w:rPr>
        <w:t>αμφοτερικίνη Β</w:t>
      </w:r>
      <w:r w:rsidRPr="00F54B01">
        <w:rPr>
          <w:rFonts w:cs="Times New Roman"/>
          <w:lang w:val="el-GR"/>
        </w:rPr>
        <w:t>,</w:t>
      </w:r>
      <w:r w:rsidRPr="00F54B01">
        <w:rPr>
          <w:rFonts w:cs="Times New Roman"/>
          <w:spacing w:val="-19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φοσκαρνέτη</w:t>
      </w:r>
      <w:r w:rsidRPr="00F54B01">
        <w:rPr>
          <w:rFonts w:cs="Times New Roman"/>
          <w:lang w:val="el-GR"/>
        </w:rPr>
        <w:t xml:space="preserve">, </w:t>
      </w:r>
      <w:r w:rsidR="00AA45B9" w:rsidRPr="00AA45B9">
        <w:rPr>
          <w:rFonts w:cs="Times New Roman"/>
          <w:lang w:val="el-GR"/>
        </w:rPr>
        <w:t>γκανσικλοβίρη</w:t>
      </w:r>
      <w:r w:rsidRPr="00F54B01">
        <w:rPr>
          <w:rFonts w:cs="Times New Roman"/>
          <w:lang w:val="el-GR"/>
        </w:rPr>
        <w:t xml:space="preserve">, </w:t>
      </w:r>
      <w:r w:rsidR="00AA45B9" w:rsidRPr="00AA45B9">
        <w:rPr>
          <w:rFonts w:cs="Times New Roman"/>
          <w:lang w:val="el-GR"/>
        </w:rPr>
        <w:t>πενταμιδίνη</w:t>
      </w:r>
      <w:r w:rsidRPr="00F54B01">
        <w:rPr>
          <w:rFonts w:cs="Times New Roman"/>
          <w:lang w:val="el-GR"/>
        </w:rPr>
        <w:t xml:space="preserve">, </w:t>
      </w:r>
      <w:r w:rsidR="00AA45B9" w:rsidRPr="00AA45B9">
        <w:rPr>
          <w:rFonts w:cs="Times New Roman"/>
          <w:lang w:val="el-GR"/>
        </w:rPr>
        <w:t>βανκομυκίνη</w:t>
      </w:r>
      <w:r w:rsidRPr="00F54B01">
        <w:rPr>
          <w:rFonts w:cs="Times New Roman"/>
          <w:lang w:val="el-GR"/>
        </w:rPr>
        <w:t xml:space="preserve">, </w:t>
      </w:r>
      <w:r w:rsidR="00AA45B9" w:rsidRPr="00AA45B9">
        <w:rPr>
          <w:rFonts w:cs="Times New Roman"/>
          <w:lang w:val="el-GR"/>
        </w:rPr>
        <w:t>σιδοφοβίρη</w:t>
      </w:r>
      <w:r w:rsidRPr="00F54B01">
        <w:rPr>
          <w:rFonts w:cs="Times New Roman"/>
          <w:lang w:val="el-GR"/>
        </w:rPr>
        <w:t xml:space="preserve"> ή </w:t>
      </w:r>
      <w:r w:rsidR="00AA45B9" w:rsidRPr="00AA45B9">
        <w:rPr>
          <w:rFonts w:cs="Times New Roman"/>
          <w:lang w:val="el-GR"/>
        </w:rPr>
        <w:t>ιντερλευκίνη</w:t>
      </w:r>
      <w:r w:rsidRPr="00F54B01">
        <w:rPr>
          <w:rFonts w:cs="Times New Roman"/>
          <w:lang w:val="el-GR"/>
        </w:rPr>
        <w:t>-2). Αν η ταυτόχρονη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χορήγηση </w:t>
      </w:r>
      <w:r w:rsidR="00217AEB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με νεφροτοξικές ουσίες είναι αναπόφευκτη, η νεφρική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λειτουργία πρέπει να παρακολουθείται</w:t>
      </w:r>
      <w:r w:rsidRPr="00F54B01">
        <w:rPr>
          <w:rFonts w:cs="Times New Roman"/>
          <w:spacing w:val="-10"/>
          <w:lang w:val="el-GR"/>
        </w:rPr>
        <w:t xml:space="preserve"> </w:t>
      </w:r>
      <w:r w:rsidRPr="00F54B01">
        <w:rPr>
          <w:rFonts w:cs="Times New Roman"/>
          <w:lang w:val="el-GR"/>
        </w:rPr>
        <w:t>εβδομαδιαία.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Περιπτώσεις οξείας νεφρικής ανεπάρκειας μετά την έναρξη υψηλής δόσης ή πολλαπλών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>μη στεροειδών αντιφλεγμονωδών φαρμάκων (ΜΣΑΦ) έχουν αναφερθεί σε ασθενείς οι οποίοι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έλαβαν θεραπεία με </w:t>
      </w:r>
      <w:r w:rsidR="00217AEB">
        <w:rPr>
          <w:rFonts w:cs="Times New Roman"/>
          <w:lang w:val="el-GR"/>
        </w:rPr>
        <w:t>τενοφοβίρη δισοπρόξιλη</w:t>
      </w:r>
      <w:r w:rsidR="00217AEB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και με παράγοντες κινδύνου για νεφρική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δυσλειτουργία. Εάν </w:t>
      </w:r>
      <w:r w:rsidR="00217AEB">
        <w:rPr>
          <w:rFonts w:cs="Times New Roman"/>
          <w:lang w:val="el-GR"/>
        </w:rPr>
        <w:t>η τενοφοβίρη δισοπρόξιλη</w:t>
      </w:r>
      <w:r w:rsidR="00217AEB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συγχορηγείται με ένα ΜΣΑΦ, η νεφρική λειτουργία θα πρέπει</w:t>
      </w:r>
      <w:r w:rsidRPr="00F54B01">
        <w:rPr>
          <w:rFonts w:cs="Times New Roman"/>
          <w:spacing w:val="-33"/>
          <w:lang w:val="el-GR"/>
        </w:rPr>
        <w:t xml:space="preserve"> </w:t>
      </w:r>
      <w:r w:rsidRPr="00F54B01">
        <w:rPr>
          <w:rFonts w:cs="Times New Roman"/>
          <w:lang w:val="el-GR"/>
        </w:rPr>
        <w:t>να παρακολουθείται</w:t>
      </w:r>
      <w:r w:rsidRPr="00F54B01">
        <w:rPr>
          <w:rFonts w:cs="Times New Roman"/>
          <w:spacing w:val="-9"/>
          <w:lang w:val="el-GR"/>
        </w:rPr>
        <w:t xml:space="preserve"> </w:t>
      </w:r>
      <w:r w:rsidRPr="00F54B01">
        <w:rPr>
          <w:rFonts w:cs="Times New Roman"/>
          <w:lang w:val="el-GR"/>
        </w:rPr>
        <w:t>επαρκώς.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Υψηλότερος κίνδυνος νεφρικής δυσλειτουργίας έχει αναφερθεί σε ασθενείς που έλαβαν</w:t>
      </w:r>
      <w:r w:rsidRPr="00F54B01">
        <w:rPr>
          <w:rFonts w:cs="Times New Roman"/>
          <w:spacing w:val="-27"/>
          <w:lang w:val="el-GR"/>
        </w:rPr>
        <w:t xml:space="preserve"> </w:t>
      </w:r>
      <w:r w:rsidR="00217AEB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σε συνδυασμό με αναστολέα πρωτεάσης ενισχυμένο με </w:t>
      </w:r>
      <w:r w:rsidR="00203833" w:rsidRPr="00203833">
        <w:rPr>
          <w:rFonts w:cs="Times New Roman"/>
          <w:lang w:val="el-GR"/>
        </w:rPr>
        <w:t>ριτοναβίρη</w:t>
      </w:r>
      <w:r w:rsidRPr="00F54B01">
        <w:rPr>
          <w:rFonts w:cs="Times New Roman"/>
          <w:lang w:val="el-GR"/>
        </w:rPr>
        <w:t xml:space="preserve"> ή</w:t>
      </w:r>
      <w:r w:rsidRPr="00F54B01">
        <w:rPr>
          <w:rFonts w:cs="Times New Roman"/>
          <w:spacing w:val="-34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κοβισιστάτη</w:t>
      </w:r>
      <w:r w:rsidRPr="00F54B01">
        <w:rPr>
          <w:rFonts w:cs="Times New Roman"/>
          <w:lang w:val="el-GR"/>
        </w:rPr>
        <w:t>. Απαιτείται στενή παρακολούθηση της νεφρικής λειτουργίας σε αυτούς τους ασθενείς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(βλ. παράγραφο 4.5). Σε ασθενείς με νεφρικούς παράγοντες κινδύνου, η συγχορήγηση </w:t>
      </w:r>
      <w:r w:rsidR="001A75D4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με ενισχυμένο αναστολέα πρωτεάσης θα πρέπει να αξιολογείται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>προσεκτικά.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1A75D4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Η τενοφοβίρη δισοπρόξιλη</w:t>
      </w:r>
      <w:r w:rsidR="00302B89" w:rsidRPr="00F54B01">
        <w:rPr>
          <w:rFonts w:cs="Times New Roman"/>
          <w:lang w:val="el-GR"/>
        </w:rPr>
        <w:t xml:space="preserve"> δεν έχει κλινικά αξιολογηθεί σε ασθενείς που</w:t>
      </w:r>
      <w:r w:rsidR="00302B89" w:rsidRPr="00F54B01">
        <w:rPr>
          <w:rFonts w:cs="Times New Roman"/>
          <w:spacing w:val="-16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λαμβάνουν φαρμακευτικά προϊόντα τα οποία εκκρίνονται από την ίδια νεφρική οδό, συμπεριλαμβανομένων</w:t>
      </w:r>
      <w:r w:rsidR="00302B89" w:rsidRPr="00F54B01">
        <w:rPr>
          <w:rFonts w:cs="Times New Roman"/>
          <w:spacing w:val="-22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των μεταφερουσών πρωτεϊνών </w:t>
      </w:r>
      <w:r w:rsidR="008E2BBE" w:rsidRPr="008E2BBE">
        <w:rPr>
          <w:rFonts w:cs="Times New Roman"/>
          <w:lang w:val="el-GR"/>
        </w:rPr>
        <w:t>ανθρώπινο</w:t>
      </w:r>
      <w:r w:rsidR="008E2BBE">
        <w:rPr>
          <w:rFonts w:cs="Times New Roman"/>
          <w:lang w:val="el-GR"/>
        </w:rPr>
        <w:t>ι</w:t>
      </w:r>
      <w:r w:rsidR="008E2BBE" w:rsidRPr="008E2BBE">
        <w:rPr>
          <w:rFonts w:cs="Times New Roman"/>
          <w:lang w:val="el-GR"/>
        </w:rPr>
        <w:t xml:space="preserve"> μεταφορείς οργανικών ανιόντων </w:t>
      </w:r>
      <w:r w:rsidR="008E2BBE">
        <w:rPr>
          <w:rFonts w:cs="Times New Roman"/>
          <w:lang w:val="el-GR"/>
        </w:rPr>
        <w:t>(</w:t>
      </w:r>
      <w:r w:rsidR="00302B89" w:rsidRPr="00F54B01">
        <w:rPr>
          <w:rFonts w:cs="Times New Roman"/>
          <w:i/>
        </w:rPr>
        <w:t>human</w:t>
      </w:r>
      <w:r w:rsidR="00302B89" w:rsidRPr="00F54B01">
        <w:rPr>
          <w:rFonts w:cs="Times New Roman"/>
          <w:i/>
          <w:lang w:val="el-GR"/>
        </w:rPr>
        <w:t xml:space="preserve"> </w:t>
      </w:r>
      <w:r w:rsidR="00302B89" w:rsidRPr="00F54B01">
        <w:rPr>
          <w:rFonts w:cs="Times New Roman"/>
          <w:i/>
        </w:rPr>
        <w:t>organic</w:t>
      </w:r>
      <w:r w:rsidR="00302B89" w:rsidRPr="00F54B01">
        <w:rPr>
          <w:rFonts w:cs="Times New Roman"/>
          <w:i/>
          <w:lang w:val="el-GR"/>
        </w:rPr>
        <w:t xml:space="preserve"> </w:t>
      </w:r>
      <w:r w:rsidR="00302B89" w:rsidRPr="00F54B01">
        <w:rPr>
          <w:rFonts w:cs="Times New Roman"/>
          <w:i/>
        </w:rPr>
        <w:t>anion</w:t>
      </w:r>
      <w:r w:rsidR="00302B89" w:rsidRPr="00F54B01">
        <w:rPr>
          <w:rFonts w:cs="Times New Roman"/>
          <w:i/>
          <w:lang w:val="el-GR"/>
        </w:rPr>
        <w:t xml:space="preserve"> </w:t>
      </w:r>
      <w:r w:rsidR="00302B89" w:rsidRPr="00F54B01">
        <w:rPr>
          <w:rFonts w:cs="Times New Roman"/>
          <w:i/>
        </w:rPr>
        <w:t>transporter</w:t>
      </w:r>
      <w:r w:rsidR="008E2BBE">
        <w:rPr>
          <w:rFonts w:cs="Times New Roman"/>
          <w:i/>
          <w:lang w:val="el-GR"/>
        </w:rPr>
        <w:t xml:space="preserve"> - </w:t>
      </w:r>
      <w:r w:rsidR="00302B89" w:rsidRPr="00F54B01">
        <w:rPr>
          <w:rFonts w:cs="Times New Roman"/>
        </w:rPr>
        <w:t>hOAT</w:t>
      </w:r>
      <w:r w:rsidR="00302B89" w:rsidRPr="00F54B01">
        <w:rPr>
          <w:rFonts w:cs="Times New Roman"/>
          <w:lang w:val="el-GR"/>
        </w:rPr>
        <w:t xml:space="preserve">) 1 και 3 ή </w:t>
      </w:r>
      <w:r w:rsidR="00302B89" w:rsidRPr="00F54B01">
        <w:rPr>
          <w:rFonts w:cs="Times New Roman"/>
        </w:rPr>
        <w:t>MRP</w:t>
      </w:r>
      <w:r w:rsidR="00302B89" w:rsidRPr="00F54B01">
        <w:rPr>
          <w:rFonts w:cs="Times New Roman"/>
          <w:lang w:val="el-GR"/>
        </w:rPr>
        <w:t xml:space="preserve"> 4 (π.χ.</w:t>
      </w:r>
      <w:r w:rsidR="00302B89" w:rsidRPr="00F54B01">
        <w:rPr>
          <w:rFonts w:cs="Times New Roman"/>
          <w:spacing w:val="-21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σιδοφοβίρη</w:t>
      </w:r>
      <w:r w:rsidR="00302B89" w:rsidRPr="00F54B01">
        <w:rPr>
          <w:rFonts w:cs="Times New Roman"/>
          <w:lang w:val="el-GR"/>
        </w:rPr>
        <w:t>, ένα γνωστό νεφροτοξικό φαρμακευτικό προϊόν). Αυτές οι νεφρικές μεταφέρουσες</w:t>
      </w:r>
      <w:r w:rsidR="00302B89" w:rsidRPr="00F54B01">
        <w:rPr>
          <w:rFonts w:cs="Times New Roman"/>
          <w:spacing w:val="-7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πρωτεΐνες ενδέχεται να είναι υπεύθυνες για τη σωληναριακή έκκριση και εν μέρει, τη </w:t>
      </w:r>
      <w:r w:rsidR="00302B89" w:rsidRPr="00F54B01">
        <w:rPr>
          <w:rFonts w:cs="Times New Roman"/>
          <w:lang w:val="el-GR"/>
        </w:rPr>
        <w:lastRenderedPageBreak/>
        <w:t>νεφρική απέκκριση</w:t>
      </w:r>
      <w:r w:rsidR="00302B89" w:rsidRPr="00F54B01">
        <w:rPr>
          <w:rFonts w:cs="Times New Roman"/>
          <w:spacing w:val="-25"/>
          <w:lang w:val="el-GR"/>
        </w:rPr>
        <w:t xml:space="preserve"> </w:t>
      </w:r>
      <w:r>
        <w:rPr>
          <w:rFonts w:cs="Times New Roman"/>
          <w:lang w:val="el-GR"/>
        </w:rPr>
        <w:t>της τενοφοβίρης</w:t>
      </w:r>
      <w:r w:rsidR="00302B89" w:rsidRPr="00F54B01">
        <w:rPr>
          <w:rFonts w:cs="Times New Roman"/>
          <w:lang w:val="el-GR"/>
        </w:rPr>
        <w:t xml:space="preserve"> και τ</w:t>
      </w:r>
      <w:r w:rsidR="000D7225">
        <w:rPr>
          <w:rFonts w:cs="Times New Roman"/>
          <w:lang w:val="el-GR"/>
        </w:rPr>
        <w:t>ης</w:t>
      </w:r>
      <w:r w:rsidR="00302B89" w:rsidRPr="00F54B01">
        <w:rPr>
          <w:rFonts w:cs="Times New Roman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σιδοφοβίρη</w:t>
      </w:r>
      <w:r w:rsidR="000D7225">
        <w:rPr>
          <w:rFonts w:cs="Times New Roman"/>
          <w:lang w:val="el-GR"/>
        </w:rPr>
        <w:t>ς</w:t>
      </w:r>
      <w:r w:rsidR="00302B89" w:rsidRPr="00F54B01">
        <w:rPr>
          <w:rFonts w:cs="Times New Roman"/>
          <w:lang w:val="el-GR"/>
        </w:rPr>
        <w:t>. Συνεπώς, η φαρμακοκινητική αυτών των φαρμακευτικών προϊόντων,</w:t>
      </w:r>
      <w:r w:rsidR="00302B89" w:rsidRPr="00F54B01">
        <w:rPr>
          <w:rFonts w:cs="Times New Roman"/>
          <w:spacing w:val="-24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τα οποία εκκρίνονται από την ίδια νεφρική οδό συμπεριλαμβανομένων των μεταφερουσών</w:t>
      </w:r>
      <w:r w:rsidR="00302B89" w:rsidRPr="00F54B01">
        <w:rPr>
          <w:rFonts w:cs="Times New Roman"/>
          <w:spacing w:val="-2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πρωτεϊνών </w:t>
      </w:r>
      <w:r w:rsidR="00302B89" w:rsidRPr="00F54B01">
        <w:rPr>
          <w:rFonts w:cs="Times New Roman"/>
        </w:rPr>
        <w:t>hOAT</w:t>
      </w:r>
      <w:r w:rsidR="00302B89" w:rsidRPr="00F54B01">
        <w:rPr>
          <w:rFonts w:cs="Times New Roman"/>
          <w:lang w:val="el-GR"/>
        </w:rPr>
        <w:t xml:space="preserve"> 1 και 3 ή </w:t>
      </w:r>
      <w:r w:rsidR="00302B89" w:rsidRPr="00F54B01">
        <w:rPr>
          <w:rFonts w:cs="Times New Roman"/>
        </w:rPr>
        <w:t>MRP</w:t>
      </w:r>
      <w:r w:rsidR="00302B89" w:rsidRPr="00F54B01">
        <w:rPr>
          <w:rFonts w:cs="Times New Roman"/>
          <w:lang w:val="el-GR"/>
        </w:rPr>
        <w:t xml:space="preserve"> 4, μπορεί να μεταβληθεί αν χορηγηθούν ταυτόχρονα. Εκτός αν είναι</w:t>
      </w:r>
      <w:r w:rsidR="00302B89" w:rsidRPr="00F54B01">
        <w:rPr>
          <w:rFonts w:cs="Times New Roman"/>
          <w:spacing w:val="-19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απολύτως απαραίτητο, δεν ενδείκνυται η συγχορήγηση αυτών των φαρμακευτικών προϊόντων τα</w:t>
      </w:r>
      <w:r w:rsidR="00302B89" w:rsidRPr="00F54B01">
        <w:rPr>
          <w:rFonts w:cs="Times New Roman"/>
          <w:spacing w:val="-6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οποία απεκκρίνονται από την ίδια νεφρική οδό, αλλά αν είναι αναπόφευκτο, η νεφρική λειτουργία θα</w:t>
      </w:r>
      <w:r w:rsidR="00302B89" w:rsidRPr="00F54B01">
        <w:rPr>
          <w:rFonts w:cs="Times New Roman"/>
          <w:spacing w:val="-2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πρέπει να παρακολουθείται εβδομαδιαία (βλ. παράγραφο</w:t>
      </w:r>
      <w:r w:rsidR="00302B89" w:rsidRPr="00F54B01">
        <w:rPr>
          <w:rFonts w:cs="Times New Roman"/>
          <w:spacing w:val="-11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4.5).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Νεφρική</w:t>
      </w:r>
      <w:r w:rsidRPr="00F54B01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δυσλειτουργία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νεφρική ασφάλεια για </w:t>
      </w:r>
      <w:r w:rsidR="00D475EF">
        <w:rPr>
          <w:rFonts w:cs="Times New Roman"/>
          <w:lang w:val="el-GR"/>
        </w:rPr>
        <w:t>την τενοφοβίρη δισοπρόξιλη</w:t>
      </w:r>
      <w:r w:rsidR="00D475E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έχει μελετηθεί μόνο σε πολύ μικρό</w:t>
      </w:r>
      <w:r w:rsidRPr="00F54B01">
        <w:rPr>
          <w:rFonts w:cs="Times New Roman"/>
          <w:spacing w:val="-31"/>
          <w:lang w:val="el-GR"/>
        </w:rPr>
        <w:t xml:space="preserve"> </w:t>
      </w:r>
      <w:r w:rsidRPr="00F54B01">
        <w:rPr>
          <w:rFonts w:cs="Times New Roman"/>
          <w:lang w:val="el-GR"/>
        </w:rPr>
        <w:t>βαθμό σε ενήλικες ασθενείς με νεφρική δυσλειτουργία (κάθαρση κρεατινίνης &lt; 80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>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Ενήλικες ασ</w:t>
      </w:r>
      <w:r w:rsidR="00203833">
        <w:rPr>
          <w:rFonts w:ascii="Times New Roman" w:hAnsi="Times New Roman" w:cs="Times New Roman"/>
          <w:i/>
          <w:lang w:val="el-GR"/>
        </w:rPr>
        <w:t>θενείς με κάθαρση κρεατινίνης &lt;</w:t>
      </w:r>
      <w:r w:rsidRPr="00F54B01">
        <w:rPr>
          <w:rFonts w:ascii="Times New Roman" w:hAnsi="Times New Roman" w:cs="Times New Roman"/>
          <w:i/>
          <w:lang w:val="el-GR"/>
        </w:rPr>
        <w:t xml:space="preserve">50 </w:t>
      </w:r>
      <w:r w:rsidRPr="00F54B01">
        <w:rPr>
          <w:rFonts w:ascii="Times New Roman" w:hAnsi="Times New Roman" w:cs="Times New Roman"/>
          <w:i/>
        </w:rPr>
        <w:t>ml</w:t>
      </w:r>
      <w:r w:rsidRPr="00F54B01">
        <w:rPr>
          <w:rFonts w:ascii="Times New Roman" w:hAnsi="Times New Roman" w:cs="Times New Roman"/>
          <w:i/>
          <w:lang w:val="el-GR"/>
        </w:rPr>
        <w:t>/</w:t>
      </w:r>
      <w:r w:rsidRPr="00F54B01">
        <w:rPr>
          <w:rFonts w:ascii="Times New Roman" w:hAnsi="Times New Roman" w:cs="Times New Roman"/>
          <w:i/>
        </w:rPr>
        <w:t>min</w:t>
      </w:r>
      <w:r w:rsidRPr="00F54B01">
        <w:rPr>
          <w:rFonts w:ascii="Times New Roman" w:hAnsi="Times New Roman" w:cs="Times New Roman"/>
          <w:i/>
          <w:lang w:val="el-GR"/>
        </w:rPr>
        <w:t>, συμπεριλαμβανομένων ασθενών</w:t>
      </w:r>
      <w:r w:rsidRPr="00F54B01">
        <w:rPr>
          <w:rFonts w:ascii="Times New Roman" w:hAnsi="Times New Roman" w:cs="Times New Roman"/>
          <w:i/>
          <w:spacing w:val="-18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υπό αιμοκάθαρση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Υπάρχουν περιορισμένα δεδομένα για την ασφάλεια και αποτελεσματικότητα </w:t>
      </w:r>
      <w:r w:rsidR="00D475EF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σε ασθενείς με νεφρική δυσλειτουργία. Συνεπώς, </w:t>
      </w:r>
      <w:r w:rsidR="00D475EF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 xml:space="preserve"> πρέπει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να χρησιμοποιείται μόνο εάν τα ενδεχόμενα οφέλη από την θεραπεία θεωρείται ότι υπερσκελίζουν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τους ενδεχόμενους κινδύνους. Σε ασθενείς με σοβαρή νεφρική δυσλειτουργία (κάθαρση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κρεατινίνης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&lt;30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) και σε ασθενείς που απαιτούν αιμοκάθαρση, η χρήση </w:t>
      </w:r>
      <w:r w:rsidR="00D475EF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δεν συνιστάται. Εάν δεν υπάρχει διαθέσιμη εναλλακτική θεραπεία, το δοσολογικό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μεσοδιάστημα πρέπει να αναπροσαρμοστεί και η νεφρική λειτουργία πρέπει να παρακολουθείται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στενά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(βλ. παραγράφους 4.2 και</w:t>
      </w:r>
      <w:r w:rsidRPr="00F54B01">
        <w:rPr>
          <w:rFonts w:cs="Times New Roman"/>
          <w:spacing w:val="-5"/>
          <w:lang w:val="el-GR"/>
        </w:rPr>
        <w:t xml:space="preserve"> </w:t>
      </w:r>
      <w:r w:rsidRPr="00F54B01">
        <w:rPr>
          <w:rFonts w:cs="Times New Roman"/>
          <w:lang w:val="el-GR"/>
        </w:rPr>
        <w:t>5.2).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Επιδράσεις στα</w:t>
      </w:r>
      <w:r w:rsidRPr="00F54B01">
        <w:rPr>
          <w:rFonts w:ascii="Times New Roman" w:hAnsi="Times New Roman" w:cs="Times New Roman"/>
          <w:i/>
          <w:spacing w:val="-1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οστά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Σε ελεγχόμενη κλινική μελέτη διάρκειας 144 εβδομάδων κατά την οποία συγκρίθηκαν </w:t>
      </w:r>
      <w:r w:rsidR="00D475EF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 xml:space="preserve"> με τη </w:t>
      </w:r>
      <w:r w:rsidR="00203833" w:rsidRPr="00203833">
        <w:rPr>
          <w:rFonts w:cs="Times New Roman"/>
          <w:lang w:val="el-GR"/>
        </w:rPr>
        <w:t>σταβουδίνη</w:t>
      </w:r>
      <w:r w:rsidRPr="00F54B01">
        <w:rPr>
          <w:rFonts w:cs="Times New Roman"/>
          <w:lang w:val="el-GR"/>
        </w:rPr>
        <w:t xml:space="preserve"> χορηγούμενα σε συνδυασμό με </w:t>
      </w:r>
      <w:r w:rsidR="00643ECB" w:rsidRPr="00FB72E2">
        <w:rPr>
          <w:rFonts w:cs="Times New Roman"/>
          <w:lang w:val="el-GR"/>
        </w:rPr>
        <w:t>λαμιβουδίνη</w:t>
      </w:r>
      <w:r w:rsidR="00D475E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</w:t>
      </w:r>
      <w:r w:rsidR="00203833" w:rsidRPr="00203833">
        <w:rPr>
          <w:rFonts w:cs="Times New Roman"/>
          <w:lang w:val="el-GR"/>
        </w:rPr>
        <w:t>εφαβιρένζη</w:t>
      </w:r>
      <w:r w:rsidR="00D475EF" w:rsidRPr="00E7353A">
        <w:rPr>
          <w:rFonts w:cs="Times New Roman"/>
          <w:lang w:val="el-GR"/>
        </w:rPr>
        <w:t xml:space="preserve"> </w:t>
      </w:r>
      <w:r w:rsidR="00D475EF"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σε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πρωτοθεραπευόμενους με αντιρετροϊκή θεραπεία ενήλικες ασθενείς με λοίμωξη από τον ιό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, παρατηρήθηκαν μικρές μειώσεις της </w:t>
      </w:r>
      <w:r w:rsidR="00381232" w:rsidRPr="00F54B01">
        <w:rPr>
          <w:rFonts w:cs="Times New Roman"/>
          <w:lang w:val="el-GR"/>
        </w:rPr>
        <w:t>οστικής</w:t>
      </w:r>
      <w:r w:rsidR="00381232">
        <w:rPr>
          <w:rFonts w:cs="Times New Roman"/>
          <w:lang w:val="el-GR"/>
        </w:rPr>
        <w:t xml:space="preserve"> </w:t>
      </w:r>
      <w:r w:rsidR="008E2BBE">
        <w:rPr>
          <w:rFonts w:cs="Times New Roman"/>
          <w:lang w:val="el-GR"/>
        </w:rPr>
        <w:t xml:space="preserve">πυκνότητας </w:t>
      </w:r>
      <w:r w:rsidRPr="00F54B01">
        <w:rPr>
          <w:rFonts w:cs="Times New Roman"/>
          <w:lang w:val="el-GR"/>
        </w:rPr>
        <w:t>(</w:t>
      </w:r>
      <w:r w:rsidR="00381232">
        <w:rPr>
          <w:rFonts w:cs="Times New Roman"/>
          <w:lang w:val="el-GR"/>
        </w:rPr>
        <w:t>ΟΠ</w:t>
      </w:r>
      <w:r w:rsidR="000D7225">
        <w:rPr>
          <w:rFonts w:cs="Times New Roman"/>
          <w:lang w:val="el-GR"/>
        </w:rPr>
        <w:t xml:space="preserve">) στο ισχίο και </w:t>
      </w:r>
      <w:r w:rsidRPr="00F54B01">
        <w:rPr>
          <w:rFonts w:cs="Times New Roman"/>
          <w:lang w:val="el-GR"/>
        </w:rPr>
        <w:t>τη σπονδυλική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στήλη και στις δύο ομάδες θεραπείας. Οι μειώσεις της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στη σπονδυλική στήλη και οι μεταβολές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των βιοχημικών δεικτών των οστών από την έναρξη της μελέτης, ήταν σημαντικά μεγαλύτερες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στην ομάδα θεραπείας με </w:t>
      </w:r>
      <w:r w:rsidR="00D475EF">
        <w:rPr>
          <w:rFonts w:cs="Times New Roman"/>
          <w:lang w:val="el-GR"/>
        </w:rPr>
        <w:t>την τενοφοβίρη δισοπρόξιλη</w:t>
      </w:r>
      <w:r w:rsidR="00D475E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την 144</w:t>
      </w:r>
      <w:r w:rsidRPr="00F54B01">
        <w:rPr>
          <w:rFonts w:cs="Times New Roman"/>
          <w:position w:val="10"/>
          <w:sz w:val="14"/>
          <w:szCs w:val="14"/>
          <w:lang w:val="el-GR"/>
        </w:rPr>
        <w:t xml:space="preserve">η </w:t>
      </w:r>
      <w:r w:rsidR="008E2BBE">
        <w:rPr>
          <w:rFonts w:cs="Times New Roman"/>
          <w:lang w:val="el-GR"/>
        </w:rPr>
        <w:t xml:space="preserve">εβδομάδα. Οι μειώσεις της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spacing w:val="-32"/>
          <w:lang w:val="el-GR"/>
        </w:rPr>
        <w:t xml:space="preserve"> </w:t>
      </w:r>
      <w:r w:rsidRPr="00F54B01">
        <w:rPr>
          <w:rFonts w:cs="Times New Roman"/>
          <w:lang w:val="el-GR"/>
        </w:rPr>
        <w:t>στο ισχίο ήταν σημαντικά μεγαλύτερες στην ομάδα αυτή μέχρι την 96</w:t>
      </w:r>
      <w:r w:rsidRPr="00F54B01">
        <w:rPr>
          <w:rFonts w:cs="Times New Roman"/>
          <w:position w:val="10"/>
          <w:sz w:val="14"/>
          <w:szCs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εβδομάδα. Εν τούτοις, δεν</w:t>
      </w:r>
      <w:r w:rsidRPr="00F54B01">
        <w:rPr>
          <w:rFonts w:cs="Times New Roman"/>
          <w:spacing w:val="-5"/>
          <w:lang w:val="el-GR"/>
        </w:rPr>
        <w:t xml:space="preserve"> </w:t>
      </w:r>
      <w:r w:rsidRPr="00F54B01">
        <w:rPr>
          <w:rFonts w:cs="Times New Roman"/>
          <w:lang w:val="el-GR"/>
        </w:rPr>
        <w:t>υπήρξε αυξημένος κίνδυνος καταγμάτων ή ένδειξη για κλινικά συσχετιζόμενες οστικές διαταραχές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καθ’</w:t>
      </w:r>
      <w:r w:rsidR="00B807B9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όλη την περίοδο των 144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εβδομάδων.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Σε άλλες μελέτες (προοπτικές και συγχρονικές), οι πιο έντονες μειώσεις στην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παρατηρήθηκαν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σε ασθενείς που υποβλήθηκαν σε θεραπεία με </w:t>
      </w:r>
      <w:r w:rsidR="00D475EF">
        <w:rPr>
          <w:rFonts w:cs="Times New Roman"/>
          <w:lang w:val="el-GR"/>
        </w:rPr>
        <w:t>τενοφοβίρη δισοπρόξιλη</w:t>
      </w:r>
      <w:r w:rsidR="00D475E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ως μέρος ενός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>θεραπευτικού σχήματος που περιείχε ενισχυμένο αναστολέα πρωτεάσης. Θα πρέπει να εξετάζονται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εναλλακτικά θεραπευτικά σχήματα για ασθενείς με οστεοπόρωση που διατρέχουν υψηλό κίνδυνο για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κατάγματα.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Οστικές διαταραχές (που συμβάλλουν όχι συχνά σε κατάγματα) μπορεί να σχετίζονται με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κεντρική νεφρική σωληναριοπάθεια (βλ. παράγραφο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4.8).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Επί υπόνοιας ή ανίχνευσης οστικών διαταραχών πρέπει να λαμβάνεται η κατάλληλη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επιστημονική συμβουλή.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Επιδράσεις στους νεφρούς και στα οστά στον παιδιατρικό</w:t>
      </w:r>
      <w:r w:rsidRPr="00F54B01">
        <w:rPr>
          <w:rFonts w:cs="Times New Roman"/>
          <w:spacing w:val="-15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πληθυσμό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Υπάρχουν αβεβαιότητες σε σχέση με τις μακροχρόνιες επιδράσεις της οστικής και της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νεφρικής τοξικότητας. Επιπλέον, η αναστρεψιμότητα της νεφρικής τοξικότητας δεν μπορεί να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επιβεβαιωθεί πλήρως. Συνεπώς, συνιστάται μια διεπιστημονική προσέγγιση για την επαρκή εκτίμηση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κατά περίπτωση της ισορροπίας οφελών/κινδύνων της θεραπείας, την απόφαση της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κατάλληλης παρακολούθησης κατά τη διάρκεια της θεραπείας (συμπεριλαμβανομένης της απόφασης για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την απόσυρση της θεραπείας) και την εξέταση της ανάγκης για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συμπλήρωση.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Επιδράσεις στους</w:t>
      </w:r>
      <w:r w:rsidRPr="00F54B01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νεφρούς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Έχουν αναφερθεί νεφρικές ανεπιθύμητες ενέργειες συμβατές με κεντρική νεφρική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σωληναριοπάθεια σε παιδιατρικούς ασθενείς που έχουν προσβληθεί από 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-1, ηλικίας 2 έως &lt;12 ετών,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στην κλινική 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-104-0352 (βλ. παραγράφους 4.8 και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5.1).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lastRenderedPageBreak/>
        <w:t>Νεφρική</w:t>
      </w:r>
      <w:r w:rsidRPr="00F54B01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παρακολούθηση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Η νεφρική λειτουργία (κάθαρση κρεατινίνης και φωσφόρος ορού) πρέπει να αξιολογείται πριν από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τη θεραπεία και να παρακολουθείται κατά τη διάρκεια της θεραπείας όπως στους ενήλικες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(βλ. παραπάνω).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Νεφρική</w:t>
      </w:r>
      <w:r w:rsidRPr="00F54B01">
        <w:rPr>
          <w:rFonts w:ascii="Times New Roman" w:hAnsi="Times New Roman" w:cs="Times New Roman"/>
          <w:i/>
          <w:spacing w:val="-4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διαχείριση</w:t>
      </w:r>
    </w:p>
    <w:p w:rsidR="00D475EF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Αν ο φώσφορος ορού επιβεβαιωθεί ότι είναι &lt;3,0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dl</w:t>
      </w:r>
      <w:r w:rsidRPr="00F54B01">
        <w:rPr>
          <w:rFonts w:cs="Times New Roman"/>
          <w:lang w:val="el-GR"/>
        </w:rPr>
        <w:t xml:space="preserve"> (0,96 </w:t>
      </w:r>
      <w:r w:rsidRPr="00F54B01">
        <w:rPr>
          <w:rFonts w:cs="Times New Roman"/>
        </w:rPr>
        <w:t>mmol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l</w:t>
      </w:r>
      <w:r w:rsidRPr="00F54B01">
        <w:rPr>
          <w:rFonts w:cs="Times New Roman"/>
          <w:lang w:val="el-GR"/>
        </w:rPr>
        <w:t>) σε κάθε παιδιατρικό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ασθενή που λαμβάνει </w:t>
      </w:r>
      <w:r w:rsidR="00D475E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, η νεφρική λειτουργία θα πρέπει να επανεξεταστεί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εντός μιας εβδομάδας, συμπεριλαμβανομένων και μετρήσεων των συγκεντρώσεων γλυκόζης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αίματος, καλίου αίματος και γλυκόζης ούρων (βλ. παράγραφο 4.8, κεντρική σωληναριοπάθεια). Επί υπόνοιας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ή ανίχνευσης νεφρικών διαταραχών πρέπει να λαμβάνεται η συμβουλή νεφρολόγου προκειμένου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να εξεταστεί η διακοπή της θεραπείας με </w:t>
      </w:r>
      <w:r w:rsidR="00D475E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. </w:t>
      </w:r>
    </w:p>
    <w:p w:rsidR="00D475EF" w:rsidRDefault="00D475EF" w:rsidP="009A7039">
      <w:pPr>
        <w:pStyle w:val="a3"/>
        <w:ind w:left="0"/>
        <w:rPr>
          <w:rFonts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Η διακοπή της θεραπείας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</w:t>
      </w:r>
      <w:r w:rsidR="00D475EF">
        <w:rPr>
          <w:rFonts w:cs="Times New Roman"/>
          <w:lang w:val="el-GR"/>
        </w:rPr>
        <w:t>τενοφοβίρη δισοπρόξιλη</w:t>
      </w:r>
      <w:r w:rsidR="00D475E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θα πρέπει επίσης να ληφθεί υπόψη στην περίπτωση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προοδευτικής μείωσης της νεφρικής λειτουργίας όταν δεν έχει αναγνωριστεί κάποια άλλη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αιτία.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Συγχορήγηση και κίνδυνος νεφρικής</w:t>
      </w:r>
      <w:r w:rsidRPr="00F54B01">
        <w:rPr>
          <w:rFonts w:ascii="Times New Roman" w:hAnsi="Times New Roman" w:cs="Times New Roman"/>
          <w:i/>
          <w:spacing w:val="-8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τοξικότητας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Εφαρμόζονται οι ίδιες συστάσεις όπως και στους ενήλικες (βλ.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παραπάνω).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Νεφρική</w:t>
      </w:r>
      <w:r w:rsidRPr="00F54B01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δυσλειτουργία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χρήση </w:t>
      </w:r>
      <w:r w:rsidR="00D475EF">
        <w:rPr>
          <w:rFonts w:cs="Times New Roman"/>
          <w:lang w:val="el-GR"/>
        </w:rPr>
        <w:t>της τενοφοβίρης δισοπρόξιλης</w:t>
      </w:r>
      <w:r w:rsidR="00D475E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δεν συνιστάται σε παιδιατρικούς ασθενείς με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νεφρική δυσλειτουργία (βλ. παράγραφο 4.2). </w:t>
      </w:r>
      <w:r w:rsidR="00D475EF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 xml:space="preserve"> δεν πρέπει να χορηγηθεί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σε παιδιατρικούς ασθενείς με νεφρική δυσλειτουργία και πρέπει να διακοπεί σε παιδιατρικούς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ασθενείς που αναπτύσσουν νεφρική δυσλειτουργία κατά τη διάρκεια της θεραπείας με </w:t>
      </w:r>
      <w:r w:rsidR="00D475E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.</w:t>
      </w:r>
    </w:p>
    <w:p w:rsidR="001E7767" w:rsidRPr="00F54B01" w:rsidRDefault="001E7767" w:rsidP="009A7039">
      <w:pPr>
        <w:rPr>
          <w:rFonts w:ascii="Times New Roman" w:hAnsi="Times New Roman" w:cs="Times New Roman"/>
          <w:i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Επιδράσεις στα</w:t>
      </w:r>
      <w:r w:rsidRPr="00F54B01">
        <w:rPr>
          <w:rFonts w:ascii="Times New Roman" w:hAnsi="Times New Roman" w:cs="Times New Roman"/>
          <w:i/>
          <w:spacing w:val="-1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οστά</w:t>
      </w:r>
    </w:p>
    <w:p w:rsidR="009D104A" w:rsidRPr="00F54B01" w:rsidRDefault="00D475EF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Η τενοφοβίρη</w:t>
      </w:r>
      <w:r w:rsidR="00302B89" w:rsidRPr="00F54B01">
        <w:rPr>
          <w:rFonts w:cs="Times New Roman"/>
          <w:lang w:val="el-GR"/>
        </w:rPr>
        <w:t xml:space="preserve"> μπορεί να προκαλέσει μείωση της </w:t>
      </w:r>
      <w:r w:rsidR="00381232">
        <w:rPr>
          <w:rFonts w:cs="Times New Roman"/>
          <w:lang w:val="el-GR"/>
        </w:rPr>
        <w:t>ΟΠ</w:t>
      </w:r>
      <w:r w:rsidR="00302B89" w:rsidRPr="00F54B01">
        <w:rPr>
          <w:rFonts w:cs="Times New Roman"/>
          <w:lang w:val="el-GR"/>
        </w:rPr>
        <w:t xml:space="preserve">. Οι επιδράσεις των σχετιζόμενων με </w:t>
      </w:r>
      <w:r>
        <w:rPr>
          <w:rFonts w:cs="Times New Roman"/>
          <w:lang w:val="el-GR"/>
        </w:rPr>
        <w:t>την τενοφοβίρη δισοπρόξιλη</w:t>
      </w:r>
      <w:r w:rsidR="00203833">
        <w:rPr>
          <w:rFonts w:cs="Times New Roman"/>
          <w:lang w:val="el-GR"/>
        </w:rPr>
        <w:t xml:space="preserve"> μεταβολών της </w:t>
      </w:r>
      <w:r w:rsidR="00381232">
        <w:rPr>
          <w:rFonts w:cs="Times New Roman"/>
          <w:lang w:val="el-GR"/>
        </w:rPr>
        <w:t>ΟΠ</w:t>
      </w:r>
      <w:r w:rsidR="00302B89" w:rsidRPr="00F54B01">
        <w:rPr>
          <w:rFonts w:cs="Times New Roman"/>
          <w:lang w:val="el-GR"/>
        </w:rPr>
        <w:t xml:space="preserve"> στη μακροπρόθεσμη υγεία των οστών και ο</w:t>
      </w:r>
      <w:r w:rsidR="00302B89" w:rsidRPr="00F54B01">
        <w:rPr>
          <w:rFonts w:cs="Times New Roman"/>
          <w:spacing w:val="-13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κίνδυνος μελλοντικών καταγμάτων δεν είναι γνωστά επί του παρόντος (βλ. παράγραφο</w:t>
      </w:r>
      <w:r w:rsidR="00302B89" w:rsidRPr="00F54B01">
        <w:rPr>
          <w:rFonts w:cs="Times New Roman"/>
          <w:spacing w:val="-21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5.1).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Επί ανίχνευσης ή υπόνοιας οστικών διαταραχών στους παιδιατρικούς ασθενείς, πρέπει να</w:t>
      </w:r>
      <w:r w:rsidRPr="00F54B01">
        <w:rPr>
          <w:rFonts w:cs="Times New Roman"/>
          <w:spacing w:val="-30"/>
          <w:lang w:val="el-GR"/>
        </w:rPr>
        <w:t xml:space="preserve"> </w:t>
      </w:r>
      <w:r w:rsidRPr="00F54B01">
        <w:rPr>
          <w:rFonts w:cs="Times New Roman"/>
          <w:lang w:val="el-GR"/>
        </w:rPr>
        <w:t>λαμβάνεται η κατάλληλη επιστημονική συμβουλή ενδοκρινολόγου και/ή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νεφρολόγου.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Ηπατική</w:t>
      </w:r>
      <w:r w:rsidRPr="00F54B01">
        <w:rPr>
          <w:rFonts w:cs="Times New Roman"/>
          <w:spacing w:val="-1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νόσος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Τα διαθέσιμα δεδομένα για την ασφάλεια και την αποτελεσματικότητα είναι πολύ περιορισμένα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σε ασθενείς με μεταμόσχευση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ήπατος.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Υπάρχουν περιορισμένα για την ασφάλεια και την αποτελεσματικότητα </w:t>
      </w:r>
      <w:r w:rsidR="00870F04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σε ασθενείς με λοίμωξη από τον ιό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με μη αντιρροπούμενη ηπατική νόσο και σε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όσους έχουν βαθμό &gt;9 στη κατάταξη </w:t>
      </w:r>
      <w:r w:rsidRPr="00F54B01">
        <w:rPr>
          <w:rFonts w:cs="Times New Roman"/>
        </w:rPr>
        <w:t>Child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Pugh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Turcotte</w:t>
      </w:r>
      <w:r w:rsidRPr="00F54B01">
        <w:rPr>
          <w:rFonts w:cs="Times New Roman"/>
          <w:lang w:val="el-GR"/>
        </w:rPr>
        <w:t xml:space="preserve"> (</w:t>
      </w:r>
      <w:r w:rsidRPr="00F54B01">
        <w:rPr>
          <w:rFonts w:cs="Times New Roman"/>
        </w:rPr>
        <w:t>CPT</w:t>
      </w:r>
      <w:r w:rsidRPr="00F54B01">
        <w:rPr>
          <w:rFonts w:cs="Times New Roman"/>
          <w:lang w:val="el-GR"/>
        </w:rPr>
        <w:t>). Αυτοί οι ασθενείς μπορεί να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έχουν αυξημένο κίνδυνο εμφάνισης σοβαρών ηπατικών ή νεφρικών ανεπιθύμητων ενεργειών. Εντούτοις,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οι ηπατοχολικές και νεφρικές παράμετροι πρέπει να παρακολουθούνται στενά σε αυτό των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πληθυσμό ασθενών.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Εξάρσεις</w:t>
      </w:r>
      <w:r w:rsidRPr="00F54B01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ηπατίτιδας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  <w:lang w:val="el-GR"/>
        </w:rPr>
        <w:t xml:space="preserve">Εξάρσεις κατά τη θεραπεία: </w:t>
      </w:r>
      <w:r w:rsidRPr="00F54B01">
        <w:rPr>
          <w:rFonts w:cs="Times New Roman"/>
          <w:lang w:val="el-GR"/>
        </w:rPr>
        <w:t xml:space="preserve">Αυθόρμητες εξάρσεις στη χρόνια ηπατίτιδα </w:t>
      </w:r>
      <w:r w:rsidRPr="00F54B01">
        <w:rPr>
          <w:rFonts w:cs="Times New Roman"/>
        </w:rPr>
        <w:t>B</w:t>
      </w:r>
      <w:r w:rsidRPr="00F54B01">
        <w:rPr>
          <w:rFonts w:cs="Times New Roman"/>
          <w:lang w:val="el-GR"/>
        </w:rPr>
        <w:t xml:space="preserve"> είναι σχετικά συχνές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χαρακτηρίζονται από παροδικές αυξήσεις στην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ορού. Μετά την έναρξη της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αντιρετροϊκής θεραπείας, η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ορού μπορεί να αυξηθεί σε ορισμένους ασθενείς (βλ. παράγραφο 4.8). Σε ασθενείς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αντιρροπούμενη ηπατική νόσο, αυτές οι αυξήσεις στην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ορού γενικά δεν συνοδεύονται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από αύξηση στις συγκεντρώσεις χολερυθρίνης ορού ή στην έλλειψη ηπατικής αντιρρόπησης. Ασθενείς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με κίρρωση μπορεί να διατρέχουν υψηλότερο κίνδυνο για έλλειψη ηπατικής αντιρρόπησης μετά από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μια έξαρση της ηπατίτιδας και συνεπώς, πρέπει να παρακολουθούνται στενά κατά τη διάρκεια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της θεραπείας.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  <w:lang w:val="el-GR"/>
        </w:rPr>
        <w:t xml:space="preserve">Εξάρσεις μετά τη διακοπή της θεραπείας: </w:t>
      </w:r>
      <w:r w:rsidRPr="00F54B01">
        <w:rPr>
          <w:rFonts w:cs="Times New Roman"/>
          <w:lang w:val="el-GR"/>
        </w:rPr>
        <w:t>Οξεία έξαρση της ηπατίτιδας αναφέρθηκε επίσης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σε ασθενείς που είχαν διακόψει τη θεραπεία για ηπατίτιδα </w:t>
      </w:r>
      <w:r w:rsidRPr="00F54B01">
        <w:rPr>
          <w:rFonts w:cs="Times New Roman"/>
        </w:rPr>
        <w:t>B</w:t>
      </w:r>
      <w:r w:rsidRPr="00F54B01">
        <w:rPr>
          <w:rFonts w:cs="Times New Roman"/>
          <w:lang w:val="el-GR"/>
        </w:rPr>
        <w:t>. Οι εξάρσεις μετά τη θεραπεία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συνήθως σχετίζονται με αύξηση του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 xml:space="preserve"> και στην πλειοψηφία τους φαίνεται ότι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είναι αυτοπεριοριζόμενες. Εν τούτοις, έχουν αναφερθεί σοβαρές εξάρσεις, συμπεριλαμβανομένων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και θανάτων. Η ηπατική λειτουργία πρέπει να παρακολουθείται σε επαναλαμβανόμενα διαστήματα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με κλινικό και εργαστηριακό επακόλουθο έλεγχο για τουλάχιστον 6 μήνες μετά τη διακοπή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της θεραπείας για ηπατίτιδα </w:t>
      </w:r>
      <w:r w:rsidRPr="00F54B01">
        <w:rPr>
          <w:rFonts w:cs="Times New Roman"/>
        </w:rPr>
        <w:t>B</w:t>
      </w:r>
      <w:r w:rsidRPr="00F54B01">
        <w:rPr>
          <w:rFonts w:cs="Times New Roman"/>
          <w:lang w:val="el-GR"/>
        </w:rPr>
        <w:t xml:space="preserve">. Εάν χρειάζεται, μπορεί να </w:t>
      </w:r>
      <w:r w:rsidRPr="00F54B01">
        <w:rPr>
          <w:rFonts w:cs="Times New Roman"/>
          <w:lang w:val="el-GR"/>
        </w:rPr>
        <w:lastRenderedPageBreak/>
        <w:t>δικαιολογείται η συνέχιση της θεραπείας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για ηπατίτιδα </w:t>
      </w:r>
      <w:r w:rsidRPr="00F54B01">
        <w:rPr>
          <w:rFonts w:cs="Times New Roman"/>
        </w:rPr>
        <w:t>B</w:t>
      </w:r>
      <w:r w:rsidRPr="00F54B01">
        <w:rPr>
          <w:rFonts w:cs="Times New Roman"/>
          <w:lang w:val="el-GR"/>
        </w:rPr>
        <w:t>. Σε ασθενείς με προχωρημένη ηπατική νόσο ή κίρρωση, δεν συνιστάται η διακοπή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της θεραπείας, εφόσον η έξαρση της ηπατίτιδας μετά τη θεραπεία μπορεί να οδηγήσει σε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έλλειψη ηπατικής</w:t>
      </w:r>
      <w:r w:rsidRPr="00F54B01">
        <w:rPr>
          <w:rFonts w:cs="Times New Roman"/>
          <w:spacing w:val="-4"/>
          <w:lang w:val="el-GR"/>
        </w:rPr>
        <w:t xml:space="preserve"> </w:t>
      </w:r>
      <w:r w:rsidRPr="00F54B01">
        <w:rPr>
          <w:rFonts w:cs="Times New Roman"/>
          <w:lang w:val="el-GR"/>
        </w:rPr>
        <w:t>αντιρρόπησης.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Οι ηπατικές εξάρσεις είναι ιδιαιτέρως σοβαρές και ορισμένες φορές μοιραίες σε ασθενείς με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μη αντιρροπούμενη ηπατική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νόσο.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 xml:space="preserve">Συνυπάρχουσα λοίμωξη από ηπατίτιδα </w:t>
      </w:r>
      <w:r w:rsidRPr="00F54B01">
        <w:rPr>
          <w:rFonts w:ascii="Times New Roman" w:hAnsi="Times New Roman" w:cs="Times New Roman"/>
          <w:i/>
        </w:rPr>
        <w:t>C</w:t>
      </w:r>
      <w:r w:rsidRPr="00F54B01">
        <w:rPr>
          <w:rFonts w:ascii="Times New Roman" w:hAnsi="Times New Roman" w:cs="Times New Roman"/>
          <w:i/>
          <w:lang w:val="el-GR"/>
        </w:rPr>
        <w:t xml:space="preserve"> ή </w:t>
      </w:r>
      <w:r w:rsidRPr="00F54B01">
        <w:rPr>
          <w:rFonts w:ascii="Times New Roman" w:hAnsi="Times New Roman" w:cs="Times New Roman"/>
          <w:i/>
        </w:rPr>
        <w:t>D</w:t>
      </w:r>
      <w:r w:rsidRPr="00F54B01">
        <w:rPr>
          <w:rFonts w:ascii="Times New Roman" w:hAnsi="Times New Roman" w:cs="Times New Roman"/>
          <w:i/>
          <w:lang w:val="el-GR"/>
        </w:rPr>
        <w:t xml:space="preserve">: </w:t>
      </w:r>
      <w:r w:rsidRPr="00F54B01">
        <w:rPr>
          <w:rFonts w:ascii="Times New Roman" w:hAnsi="Times New Roman" w:cs="Times New Roman"/>
          <w:lang w:val="el-GR"/>
        </w:rPr>
        <w:t>Δεν υπάρχουν δεδομένα για την</w:t>
      </w:r>
      <w:r w:rsidRPr="00F54B01">
        <w:rPr>
          <w:rFonts w:ascii="Times New Roman" w:hAnsi="Times New Roman" w:cs="Times New Roman"/>
          <w:spacing w:val="-21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αποτελεσματικότητα </w:t>
      </w:r>
      <w:r w:rsidR="00870F04">
        <w:rPr>
          <w:rFonts w:ascii="Times New Roman" w:hAnsi="Times New Roman" w:cs="Times New Roman"/>
          <w:lang w:val="el-GR"/>
        </w:rPr>
        <w:t>της τενοφοβίρης</w:t>
      </w:r>
      <w:r w:rsidRPr="00F54B01">
        <w:rPr>
          <w:rFonts w:ascii="Times New Roman" w:hAnsi="Times New Roman" w:cs="Times New Roman"/>
          <w:lang w:val="el-GR"/>
        </w:rPr>
        <w:t xml:space="preserve"> σε ασθενείς με συνυπάρχουσα λοίμωξη </w:t>
      </w:r>
      <w:r w:rsidRPr="00F54B01">
        <w:rPr>
          <w:rFonts w:ascii="Times New Roman" w:hAnsi="Times New Roman" w:cs="Times New Roman"/>
          <w:spacing w:val="-2"/>
          <w:lang w:val="el-GR"/>
        </w:rPr>
        <w:t xml:space="preserve">από </w:t>
      </w:r>
      <w:r w:rsidRPr="00F54B01">
        <w:rPr>
          <w:rFonts w:ascii="Times New Roman" w:hAnsi="Times New Roman" w:cs="Times New Roman"/>
          <w:lang w:val="el-GR"/>
        </w:rPr>
        <w:t xml:space="preserve">τον ιό της ηπατίτιδας </w:t>
      </w:r>
      <w:r w:rsidRPr="00F54B01">
        <w:rPr>
          <w:rFonts w:ascii="Times New Roman" w:hAnsi="Times New Roman" w:cs="Times New Roman"/>
        </w:rPr>
        <w:t>C</w:t>
      </w:r>
      <w:r w:rsidRPr="00F54B01">
        <w:rPr>
          <w:rFonts w:ascii="Times New Roman" w:hAnsi="Times New Roman" w:cs="Times New Roman"/>
          <w:lang w:val="el-GR"/>
        </w:rPr>
        <w:t xml:space="preserve"> ή</w:t>
      </w:r>
      <w:r w:rsidRPr="00F54B01">
        <w:rPr>
          <w:rFonts w:ascii="Times New Roman" w:hAnsi="Times New Roman" w:cs="Times New Roman"/>
          <w:spacing w:val="-13"/>
          <w:lang w:val="el-GR"/>
        </w:rPr>
        <w:t xml:space="preserve"> </w:t>
      </w:r>
      <w:r w:rsidRPr="00F54B01">
        <w:rPr>
          <w:rFonts w:ascii="Times New Roman" w:hAnsi="Times New Roman" w:cs="Times New Roman"/>
        </w:rPr>
        <w:t>D</w:t>
      </w:r>
      <w:r w:rsidRPr="00F54B01">
        <w:rPr>
          <w:rFonts w:ascii="Times New Roman" w:hAnsi="Times New Roman"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  <w:lang w:val="el-GR"/>
        </w:rPr>
        <w:t xml:space="preserve">Συνυπάρχουσα λοίμωξη από </w:t>
      </w:r>
      <w:r w:rsidRPr="00F54B01">
        <w:rPr>
          <w:rFonts w:cs="Times New Roman"/>
          <w:i/>
        </w:rPr>
        <w:t>HIV</w:t>
      </w:r>
      <w:r w:rsidRPr="00F54B01">
        <w:rPr>
          <w:rFonts w:cs="Times New Roman"/>
          <w:i/>
          <w:lang w:val="el-GR"/>
        </w:rPr>
        <w:t xml:space="preserve">-1 και ηπατίτιδα </w:t>
      </w:r>
      <w:r w:rsidRPr="00F54B01">
        <w:rPr>
          <w:rFonts w:cs="Times New Roman"/>
          <w:i/>
        </w:rPr>
        <w:t>B</w:t>
      </w:r>
      <w:r w:rsidRPr="00F54B01">
        <w:rPr>
          <w:rFonts w:cs="Times New Roman"/>
          <w:i/>
          <w:lang w:val="el-GR"/>
        </w:rPr>
        <w:t xml:space="preserve">: </w:t>
      </w:r>
      <w:r w:rsidRPr="00F54B01">
        <w:rPr>
          <w:rFonts w:cs="Times New Roman"/>
          <w:lang w:val="el-GR"/>
        </w:rPr>
        <w:t>Λόγω του κινδύνου ανάπτυξης αντοχής του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, </w:t>
      </w:r>
      <w:r w:rsidR="00870F04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 xml:space="preserve"> πρέπει να χρησιμοποιείται μόνο ως μέρος μιας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κατάλληλης συνδυασμένης αντιρετροϊκής αγωγής σε ασθενείς με συνυπάρχουσα λοίμωξη από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τους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ιούς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>. Ασθενείς με προϋπάρχουσα ηπατική δυσλειτουργία, συμπεριλαμβανομένης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>της χρόνιας ενεργού ηπατίτιδας, έχουν αυξημένη συχνότητα εμφάνισης ανωμαλιών στην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ηπατική λειτουργία κατά τη διάρκεια συνδυασμένης αντιρετροϊκής αγωγής (</w:t>
      </w:r>
      <w:r w:rsidRPr="00F54B01">
        <w:rPr>
          <w:rFonts w:cs="Times New Roman"/>
        </w:rPr>
        <w:t>CART</w:t>
      </w:r>
      <w:r w:rsidRPr="00F54B01">
        <w:rPr>
          <w:rFonts w:cs="Times New Roman"/>
          <w:lang w:val="el-GR"/>
        </w:rPr>
        <w:t>) και πρέπει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να παρακολουθούνται σύμφωνα με την καθιερωμένη πρακτική. Σε περίπτωση επιδείνωσης της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ηπατικής νόσου σε αυτή την κατηγορία των ασθενών, πρέπει να εξετάζεται η διακοπή ή η οριστική παύση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>της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θεραπείας. Εν τούτοις, πρέπει να σημειωθεί ότι αυξήσεις στην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μπορεί να αποτελούν μέρος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της κάθαρσης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κατά τη διάρκεια της θεραπείας με </w:t>
      </w:r>
      <w:r w:rsidR="00203833" w:rsidRPr="00203833">
        <w:rPr>
          <w:rFonts w:cs="Times New Roman"/>
          <w:lang w:val="el-GR"/>
        </w:rPr>
        <w:t>τενοφοβίρη</w:t>
      </w:r>
      <w:r w:rsidRPr="00F54B01">
        <w:rPr>
          <w:rFonts w:cs="Times New Roman"/>
          <w:lang w:val="el-GR"/>
        </w:rPr>
        <w:t xml:space="preserve">, βλέπε παραπάνω </w:t>
      </w:r>
      <w:r w:rsidR="00381232" w:rsidRPr="00381232">
        <w:rPr>
          <w:rFonts w:cs="Times New Roman"/>
          <w:i/>
          <w:lang w:val="el-GR"/>
        </w:rPr>
        <w:t>«</w:t>
      </w:r>
      <w:r w:rsidRPr="00F54B01">
        <w:rPr>
          <w:rFonts w:cs="Times New Roman"/>
          <w:i/>
          <w:lang w:val="el-GR"/>
        </w:rPr>
        <w:t>Εξάρσεις</w:t>
      </w:r>
      <w:r w:rsidRPr="00F54B01">
        <w:rPr>
          <w:rFonts w:cs="Times New Roman"/>
          <w:i/>
          <w:spacing w:val="-19"/>
          <w:lang w:val="el-GR"/>
        </w:rPr>
        <w:t xml:space="preserve"> </w:t>
      </w:r>
      <w:r w:rsidRPr="00F54B01">
        <w:rPr>
          <w:rFonts w:cs="Times New Roman"/>
          <w:i/>
          <w:lang w:val="el-GR"/>
        </w:rPr>
        <w:t>ηπατίτιδας</w:t>
      </w:r>
      <w:r w:rsidR="00381232">
        <w:rPr>
          <w:rFonts w:cs="Times New Roman"/>
          <w:i/>
          <w:lang w:val="el-GR"/>
        </w:rPr>
        <w:t>»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Χρήση με συγκεκριμένους αντιικούς παράγοντες για τον ιό της ηπατίτιδας</w:t>
      </w:r>
      <w:r w:rsidRPr="00F54B01">
        <w:rPr>
          <w:rFonts w:cs="Times New Roman"/>
          <w:spacing w:val="-17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</w:rPr>
        <w:t>C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Έχει διαπιστωθεί ότι η συγχορήγηση </w:t>
      </w:r>
      <w:r w:rsidR="00870F04">
        <w:rPr>
          <w:rFonts w:cs="Times New Roman"/>
          <w:lang w:val="el-GR"/>
        </w:rPr>
        <w:t>τενοφοβίρης δισοπρόξιλης</w:t>
      </w:r>
      <w:r w:rsidR="00870F0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</w:t>
      </w:r>
      <w:r w:rsidR="00203833" w:rsidRPr="00203833">
        <w:rPr>
          <w:rFonts w:cs="Times New Roman"/>
          <w:lang w:val="el-GR"/>
        </w:rPr>
        <w:t>λεδιπασβίρη/σοφοσμπουβίρη</w:t>
      </w:r>
      <w:r w:rsidR="0020383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αυξάνει τις συγκεντρώσεις </w:t>
      </w:r>
      <w:r w:rsidR="00870F04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στο πλάσμα, ειδικότερα στην περίπτωση που χρησιμοποιείται μαζί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κάποια αγωγή για τον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που περιέχει </w:t>
      </w:r>
      <w:r w:rsidR="00870F04">
        <w:rPr>
          <w:rFonts w:cs="Times New Roman"/>
          <w:lang w:val="el-GR"/>
        </w:rPr>
        <w:t>τενοφοβίρη δισοπρόξιλη</w:t>
      </w:r>
      <w:r w:rsidR="00870F0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και κάποιον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φαρμακοκινητικό ενισχυτή (</w:t>
      </w:r>
      <w:r w:rsidR="00203833" w:rsidRPr="00203833">
        <w:rPr>
          <w:rFonts w:cs="Times New Roman"/>
          <w:lang w:val="el-GR"/>
        </w:rPr>
        <w:t>ριτοναβίρη</w:t>
      </w:r>
      <w:r w:rsidRPr="00F54B01">
        <w:rPr>
          <w:rFonts w:cs="Times New Roman"/>
          <w:lang w:val="el-GR"/>
        </w:rPr>
        <w:t xml:space="preserve"> ή </w:t>
      </w:r>
      <w:r w:rsidR="00203833" w:rsidRPr="00203833">
        <w:rPr>
          <w:rFonts w:cs="Times New Roman"/>
          <w:lang w:val="el-GR"/>
        </w:rPr>
        <w:t>κοβισιστάτη</w:t>
      </w:r>
      <w:r w:rsidRPr="00F54B01">
        <w:rPr>
          <w:rFonts w:cs="Times New Roman"/>
          <w:lang w:val="el-GR"/>
        </w:rPr>
        <w:t xml:space="preserve">). Δεν έχει αποδειχθεί η ασφάλεια </w:t>
      </w:r>
      <w:r w:rsidR="00870F04">
        <w:rPr>
          <w:rFonts w:cs="Times New Roman"/>
          <w:lang w:val="el-GR"/>
        </w:rPr>
        <w:t>της τενοφοβίρης δισοπρόξιλης</w:t>
      </w:r>
      <w:r w:rsidR="00870F0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στο πλαίσιο της παρουσίας </w:t>
      </w:r>
      <w:r w:rsidR="00203833" w:rsidRPr="00203833">
        <w:rPr>
          <w:rFonts w:cs="Times New Roman"/>
          <w:lang w:val="el-GR"/>
        </w:rPr>
        <w:t>λεδιπασβίρη</w:t>
      </w:r>
      <w:r w:rsidR="00203833">
        <w:rPr>
          <w:rFonts w:cs="Times New Roman"/>
          <w:lang w:val="el-GR"/>
        </w:rPr>
        <w:t>ς</w:t>
      </w:r>
      <w:r w:rsidR="00203833" w:rsidRPr="00203833">
        <w:rPr>
          <w:rFonts w:cs="Times New Roman"/>
          <w:lang w:val="el-GR"/>
        </w:rPr>
        <w:t>/σοφοσμπουβίρη</w:t>
      </w:r>
      <w:r w:rsidR="00203833">
        <w:rPr>
          <w:rFonts w:cs="Times New Roman"/>
          <w:lang w:val="el-GR"/>
        </w:rPr>
        <w:t xml:space="preserve">ς </w:t>
      </w:r>
      <w:r w:rsidRPr="00F54B01">
        <w:rPr>
          <w:rFonts w:cs="Times New Roman"/>
          <w:lang w:val="el-GR"/>
        </w:rPr>
        <w:t>και κάποιου φαρμακοκινητικού ενισχυτή. Θα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πρέπει να λαμβάνονται υπόψη οι πιθανοί κίνδυνοι και τα πιθανά οφέλη που σχετίζονται από τη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συγχορήγηση </w:t>
      </w:r>
      <w:r w:rsidR="00203833" w:rsidRPr="00203833">
        <w:rPr>
          <w:rFonts w:cs="Times New Roman"/>
          <w:lang w:val="el-GR"/>
        </w:rPr>
        <w:t>λεδιπασβίρη/σοφοσμπουβίρη</w:t>
      </w:r>
      <w:r w:rsidR="0020383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</w:t>
      </w:r>
      <w:r w:rsidR="00870F04">
        <w:rPr>
          <w:rFonts w:cs="Times New Roman"/>
          <w:lang w:val="el-GR"/>
        </w:rPr>
        <w:t>τενοφοβίρης δισοπρόξιλης</w:t>
      </w:r>
      <w:r w:rsidR="00870F0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όταν δίνονται σε συνδυασμό με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κάποιον ενισχυμένο αναστολέα πρωτεάσης του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(π.χ. </w:t>
      </w:r>
      <w:r w:rsidR="00203833" w:rsidRPr="00203833">
        <w:rPr>
          <w:rFonts w:cs="Times New Roman"/>
          <w:lang w:val="el-GR"/>
        </w:rPr>
        <w:t>αταζαναβίρη</w:t>
      </w:r>
      <w:r w:rsidRPr="00F54B01">
        <w:rPr>
          <w:rFonts w:cs="Times New Roman"/>
          <w:lang w:val="el-GR"/>
        </w:rPr>
        <w:t xml:space="preserve"> ή </w:t>
      </w:r>
      <w:r w:rsidR="00203833" w:rsidRPr="00203833">
        <w:rPr>
          <w:rFonts w:cs="Times New Roman"/>
          <w:lang w:val="el-GR"/>
        </w:rPr>
        <w:t>δαρουναβίρη</w:t>
      </w:r>
      <w:r w:rsidRPr="00F54B01">
        <w:rPr>
          <w:rFonts w:cs="Times New Roman"/>
          <w:lang w:val="el-GR"/>
        </w:rPr>
        <w:t>), ιδιαίτερα σε ασθενείς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με αυξημένο κίνδυνο νεφρικής δυσλειτουργίας. Οι ασθενείς που λαμβάνουν</w:t>
      </w:r>
      <w:r w:rsidRPr="00F54B01">
        <w:rPr>
          <w:rFonts w:cs="Times New Roman"/>
          <w:spacing w:val="-10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λεδιπασβίρη/σοφοσμπουβίρη</w:t>
      </w:r>
      <w:r w:rsidR="0020383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ταυτόχρονα με </w:t>
      </w:r>
      <w:r w:rsidR="001B2A06">
        <w:rPr>
          <w:rFonts w:cs="Times New Roman"/>
          <w:lang w:val="el-GR"/>
        </w:rPr>
        <w:t>τενοφοβίρη δισοπρόξιλη</w:t>
      </w:r>
      <w:r w:rsidR="001B2A06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και κάποιον ενισχυμένο αναστολέα πρωτεάσης του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lang w:val="el-GR"/>
        </w:rPr>
        <w:t xml:space="preserve"> θα πρέπει να παρακολουθούνται για ανεπιθύμητες ενέργειες που σχετίζονται με </w:t>
      </w:r>
      <w:r w:rsidR="001B2A06">
        <w:rPr>
          <w:rFonts w:cs="Times New Roman"/>
          <w:lang w:val="el-GR"/>
        </w:rPr>
        <w:t>την τενοφοβίρη δισοπρόξιλη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Σωματικό βάρος και μεταβολικές</w:t>
      </w:r>
      <w:r w:rsidRPr="00F54B01">
        <w:rPr>
          <w:rFonts w:cs="Times New Roman"/>
          <w:spacing w:val="-6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παράμετροι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Κατά τη διάρκεια της αντιρετροϊικής θεραπείας ενδέχεται να παρουσιαστεί αύξηση του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σωματικού βάρους καθώς και των επιπέδων των λιπιδίων και της γλυκόζης στο αίμα. Οι αλλαγές αυτές μπορεί,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εν μέρει, να συνδέονται με τον έλεγχο της νόσου και τον τρόπο ζωής. Αναφορικά με τα λιπίδια,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σε ορισμένες περιπτώσεις υπάρχουν ενδείξεις για επίδραση της θεραπείας, ενώ όσον αφορά την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αύξηση του σωματικού βάρους δεν υπάρχουν ισχυρές ενδείξεις που να τη συσχετίζουν με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οποιαδήποτε συγκεκριμένη θεραπεία. Η παρακολούθηση των λιπιδίων και της γλυκόζης στο αίμα πρέπει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να βασίζεται στις καθιερωμένες κατευθυντήριες οδηγίες θεραπείας του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. Οι διαταραχές των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λιπιδίων θα πρέπει να αντιμετωπίζονται όπως ενδείκνυται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κλινικά.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 xml:space="preserve">Μιτοχονδριακή δυσλειτουργία μετά από έκθεση </w:t>
      </w:r>
      <w:r w:rsidRPr="00F54B01">
        <w:rPr>
          <w:rFonts w:cs="Times New Roman"/>
          <w:i/>
          <w:u w:val="single" w:color="000000"/>
        </w:rPr>
        <w:t>in</w:t>
      </w:r>
      <w:r w:rsidRPr="00F54B01">
        <w:rPr>
          <w:rFonts w:cs="Times New Roman"/>
          <w:i/>
          <w:spacing w:val="-13"/>
          <w:u w:val="single" w:color="000000"/>
          <w:lang w:val="el-GR"/>
        </w:rPr>
        <w:t xml:space="preserve"> </w:t>
      </w:r>
      <w:r w:rsidRPr="00F54B01">
        <w:rPr>
          <w:rFonts w:cs="Times New Roman"/>
          <w:i/>
          <w:u w:val="single" w:color="000000"/>
        </w:rPr>
        <w:t>utero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Νουκλεοσ(τ)ιδικά ανάλογα ενδέχεται να επηρεάσουν τη μιτοχονδριακή λειτουργία σε ποικίλο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βαθμό, το οποίο είναι εντονότερο με </w:t>
      </w:r>
      <w:r w:rsidR="00F222EC">
        <w:rPr>
          <w:rFonts w:cs="Times New Roman"/>
          <w:lang w:val="el-GR"/>
        </w:rPr>
        <w:t>τ</w:t>
      </w:r>
      <w:r w:rsidR="00381232">
        <w:rPr>
          <w:rFonts w:cs="Times New Roman"/>
          <w:lang w:val="el-GR"/>
        </w:rPr>
        <w:t>ις</w:t>
      </w:r>
      <w:r w:rsidR="008E2BBE">
        <w:rPr>
          <w:rFonts w:cs="Times New Roman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σταβουδίνη</w:t>
      </w:r>
      <w:r w:rsidRPr="00F54B01">
        <w:rPr>
          <w:rFonts w:cs="Times New Roman"/>
          <w:lang w:val="el-GR"/>
        </w:rPr>
        <w:t xml:space="preserve">, </w:t>
      </w:r>
      <w:r w:rsidR="00AA45B9" w:rsidRPr="00AA45B9">
        <w:rPr>
          <w:rFonts w:cs="Times New Roman"/>
          <w:lang w:val="el-GR"/>
        </w:rPr>
        <w:t>διδανοσίνη</w:t>
      </w:r>
      <w:r w:rsidR="00F222EC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</w:t>
      </w:r>
      <w:r w:rsidR="00203833" w:rsidRPr="00203833">
        <w:rPr>
          <w:rFonts w:cs="Times New Roman"/>
          <w:lang w:val="el-GR"/>
        </w:rPr>
        <w:t>ζιδοβουδίνη</w:t>
      </w:r>
      <w:r w:rsidRPr="00F54B01">
        <w:rPr>
          <w:rFonts w:cs="Times New Roman"/>
          <w:lang w:val="el-GR"/>
        </w:rPr>
        <w:t>. Έχει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αναφερθεί μιτοχονδριακή δυσλειτουργία σε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αρνητικά βρέφη τα οποία είχαν εκτεθεί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utero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lang w:val="el-GR"/>
        </w:rPr>
        <w:t>και/ή μετά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>τη γέννηση σε νουκλεοσιδικά ανάλογα· οι αναφορές αυτές αφορούσαν κυρίως</w:t>
      </w:r>
      <w:r w:rsidR="00381232">
        <w:rPr>
          <w:rFonts w:cs="Times New Roman"/>
          <w:lang w:val="el-GR"/>
        </w:rPr>
        <w:t xml:space="preserve"> σ</w:t>
      </w:r>
      <w:r w:rsidRPr="00F54B01">
        <w:rPr>
          <w:rFonts w:cs="Times New Roman"/>
          <w:lang w:val="el-GR"/>
        </w:rPr>
        <w:t>τη θεραπεία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θεραπευτικά σχήματα που περιείχαν </w:t>
      </w:r>
      <w:r w:rsidR="00203833" w:rsidRPr="00203833">
        <w:rPr>
          <w:rFonts w:cs="Times New Roman"/>
          <w:lang w:val="el-GR"/>
        </w:rPr>
        <w:t>ζιδοβουδίνη</w:t>
      </w:r>
      <w:r w:rsidRPr="00F54B01">
        <w:rPr>
          <w:rFonts w:cs="Times New Roman"/>
          <w:lang w:val="el-GR"/>
        </w:rPr>
        <w:t>. Οι κύριες ανεπιθύμητες ενέργειες οι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οποίες αναφέρθηκαν, είναι αιματολογικές διαταραχές (αναιμία, ουδετεροπενία) και μεταβολικές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>διαταραχές (υψηλό επίπεδο γαλακτικού οξέος στο αίμα, υψηλό επίπεδο λιπάσης στο αίμα). Οι ενέργειες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αυτές συχνά ήταν παροδικές. Έχουν αναφερθεί σπάνια νευρολογικές διαταραχές όψιμης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έναρξης (υπερτονία, σπασμοί, μη φυσιολογική συμπεριφορά). Δεν είναι γνωστό επί του παρόντος, αν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τέτοιες νευρολογικές διαταραχές είναι παροδικές ή μόνιμες. Τα ευρήματα αυτά θα πρέπει να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λαμβάνονται υπόψη για οποιοδήποτε παιδί που εκτέθηκε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utero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lang w:val="el-GR"/>
        </w:rPr>
        <w:t>σε νουκλεοσ(τ)ιδικά ανάλογα, το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οποίο παρουσιάζει σοβαρά κλινικά ευρήματα αγνώστου </w:t>
      </w:r>
      <w:r w:rsidRPr="00F54B01">
        <w:rPr>
          <w:rFonts w:cs="Times New Roman"/>
          <w:lang w:val="el-GR"/>
        </w:rPr>
        <w:lastRenderedPageBreak/>
        <w:t>αιτιολογίας, ιδίως νευρολογικά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ευρήματα.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Τα ευρήματα αυτά δεν επηρεάζουν τις παρούσες εθνικές συστάσεις για τη χρήση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αντιρετροϊκής θεραπείας σε έγκυες γυναίκες, προκειμένου να προληφθεί η κάθετη μετάδοση του ιού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Σύνδρομο επανεργοποίησης του ανοσοποιητικού</w:t>
      </w:r>
      <w:r w:rsidRPr="00F54B01">
        <w:rPr>
          <w:rFonts w:cs="Times New Roman"/>
          <w:spacing w:val="-18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συστήματος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Σε ασθενείς με λοίμωξη από 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 με σοβαρή ανοσολογική ανεπάρκεια ενδέχεται να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εμφανιστεί, κατά την έναρξη της </w:t>
      </w:r>
      <w:r w:rsidRPr="00F54B01">
        <w:rPr>
          <w:rFonts w:cs="Times New Roman"/>
        </w:rPr>
        <w:t>CART</w:t>
      </w:r>
      <w:r w:rsidRPr="00F54B01">
        <w:rPr>
          <w:rFonts w:cs="Times New Roman"/>
          <w:lang w:val="el-GR"/>
        </w:rPr>
        <w:t>, μία φλεγμονώδης αντίδραση σε ασυμπτωματικά ή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>υπολειμματικά ευκαιριακά παθογόνα και να προκληθούν σοβαρές κλινικές καταστάσεις ή επιδείνωση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>των συμπτωμάτων. Τέτοιες αντιδράσεις έχουν τυπικά παρουσιαστεί εντός των πρώτων εβδομάδων</w:t>
      </w:r>
      <w:r w:rsidRPr="00F54B01">
        <w:rPr>
          <w:rFonts w:cs="Times New Roman"/>
          <w:spacing w:val="-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μηνών από την έναρξη της </w:t>
      </w:r>
      <w:r w:rsidRPr="00F54B01">
        <w:rPr>
          <w:rFonts w:cs="Times New Roman"/>
        </w:rPr>
        <w:t>CART</w:t>
      </w:r>
      <w:r w:rsidRPr="00F54B01">
        <w:rPr>
          <w:rFonts w:cs="Times New Roman"/>
          <w:lang w:val="el-GR"/>
        </w:rPr>
        <w:t>. Σχετικά παραδείγματα είναι η αμφιβληστροειδίτιδα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>από κυτταρομεγαλοϊό, γενικευμένες και/ή εστιακές λοιμώξεις από μυκοβακτηρίδια και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πνευμονία οφειλόμενη σε </w:t>
      </w:r>
      <w:r w:rsidRPr="00F54B01">
        <w:rPr>
          <w:rFonts w:cs="Times New Roman"/>
          <w:i/>
        </w:rPr>
        <w:t>Pneumocystis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jirovecii</w:t>
      </w:r>
      <w:r w:rsidRPr="00F54B01">
        <w:rPr>
          <w:rFonts w:cs="Times New Roman"/>
          <w:lang w:val="el-GR"/>
        </w:rPr>
        <w:t>. Θα πρέπει να εκτιμώνται οποιαδήποτε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>φλεγμονώδη συμπτώματα και να ορίζεται θεραπεία, όταν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>απαιτείται.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proofErr w:type="gramStart"/>
      <w:r w:rsidRPr="00F54B01">
        <w:rPr>
          <w:rFonts w:cs="Times New Roman"/>
        </w:rPr>
        <w:t>A</w:t>
      </w:r>
      <w:r w:rsidRPr="00F54B01">
        <w:rPr>
          <w:rFonts w:cs="Times New Roman"/>
          <w:lang w:val="el-GR"/>
        </w:rPr>
        <w:t xml:space="preserve">υτοάνοσες διαταραχές (όπως η νόσος του </w:t>
      </w:r>
      <w:r w:rsidRPr="00F54B01">
        <w:rPr>
          <w:rFonts w:cs="Times New Roman"/>
        </w:rPr>
        <w:t>Graves</w:t>
      </w:r>
      <w:r w:rsidRPr="00F54B01">
        <w:rPr>
          <w:rFonts w:cs="Times New Roman"/>
          <w:lang w:val="el-GR"/>
        </w:rPr>
        <w:t>) έχουν επίσης αναφερθεί ότι συμβαίνουν κατά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τη ρύθμιση της επανεργοποίησης του ανοσοποιητικού συστήματος.</w:t>
      </w:r>
      <w:proofErr w:type="gramEnd"/>
      <w:r w:rsidRPr="00F54B01">
        <w:rPr>
          <w:rFonts w:cs="Times New Roman"/>
          <w:lang w:val="el-GR"/>
        </w:rPr>
        <w:t xml:space="preserve"> Ωστόσο, ο αναφερόμενος χρόνος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έως την έναρξη είναι περισσότερο μεταβλητός και αυτά τα γεγονότα μπορεί να συμβούν πολλούς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μήνες μετά την έναρξη της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θεραπείας.</w:t>
      </w:r>
    </w:p>
    <w:p w:rsidR="001E7767" w:rsidRPr="00F54B01" w:rsidRDefault="001E7767" w:rsidP="009A7039">
      <w:pPr>
        <w:pStyle w:val="a3"/>
        <w:ind w:left="0"/>
        <w:rPr>
          <w:rFonts w:cs="Times New Roman"/>
          <w:u w:val="single" w:color="000000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Οστεονέκρωση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Αναφέρθηκαν περιπτώσεις οστεονέκρωσης, κυρίως σε ασθενείς με προχωρημένη λοίμωξη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και/ή μακράς διάρκειας έκθεση σε </w:t>
      </w:r>
      <w:r w:rsidRPr="00F54B01">
        <w:rPr>
          <w:rFonts w:cs="Times New Roman"/>
        </w:rPr>
        <w:t>CART</w:t>
      </w:r>
      <w:r w:rsidRPr="00F54B01">
        <w:rPr>
          <w:rFonts w:cs="Times New Roman"/>
          <w:lang w:val="el-GR"/>
        </w:rPr>
        <w:t>, αν και η αιτιολογία θεωρείται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>πολυπαραγοντική (συμπεριλαμβάνονται η χρήση κορτικοστεροειδών, η κατανάλωση αλκοόλ, η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>σοβαρή ανοσοκαταστολή, ο υψηλότερος δείκτης μάζας σώματος). Οι ασθενείς θα πρέπει να ζητούν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ιατρική συμβουλή εάν παρουσιάζουν ενοχλήσεις και άλγος στις αρθρώσεις, δυσκαμψία άρθρωσης ή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>δυσκολία στην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κίνηση.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Ηλικιωμένοι</w:t>
      </w:r>
    </w:p>
    <w:p w:rsidR="009D104A" w:rsidRPr="00F54B01" w:rsidRDefault="00F222EC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Η</w:t>
      </w:r>
      <w:r w:rsidRPr="00F222EC">
        <w:rPr>
          <w:rFonts w:cs="Times New Roman"/>
          <w:lang w:val="el-GR"/>
        </w:rPr>
        <w:t xml:space="preserve"> </w:t>
      </w:r>
      <w:r>
        <w:rPr>
          <w:rFonts w:cs="Times New Roman"/>
          <w:lang w:val="el-GR"/>
        </w:rPr>
        <w:t>τενοφοβίρη δισοπρόξιλη</w:t>
      </w:r>
      <w:r w:rsidR="00302B89" w:rsidRPr="00F54B01">
        <w:rPr>
          <w:rFonts w:cs="Times New Roman"/>
          <w:lang w:val="el-GR"/>
        </w:rPr>
        <w:t xml:space="preserve"> δεν έχει μελετηθεί σε ασθενείς ηλικίας άνω των 65 ετών.</w:t>
      </w:r>
      <w:r w:rsidR="00302B89" w:rsidRPr="00F54B01">
        <w:rPr>
          <w:rFonts w:cs="Times New Roman"/>
          <w:spacing w:val="-17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Οι ηλικιωμένοι ασθενείς είναι πιθανότερο να έχουν μειωμένη νεφρική λειτουργία, ως εκ τούτου</w:t>
      </w:r>
      <w:r w:rsidR="00302B89" w:rsidRPr="00F54B01">
        <w:rPr>
          <w:rFonts w:cs="Times New Roman"/>
          <w:spacing w:val="-26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πρέπει να επιδειχθεί προσοχή κατά τη θεραπεία ηλικιωμένων ασθενών με </w:t>
      </w:r>
      <w:r>
        <w:rPr>
          <w:rFonts w:cs="Times New Roman"/>
          <w:lang w:val="el-GR"/>
        </w:rPr>
        <w:t>την τενοφοβίρη δισοπρόξιλη</w:t>
      </w:r>
      <w:r w:rsidR="00302B89"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Τα </w:t>
      </w:r>
      <w:r w:rsidR="00F222EC">
        <w:rPr>
          <w:rFonts w:cs="Times New Roman"/>
        </w:rPr>
        <w:t>AGARDON</w:t>
      </w:r>
      <w:r w:rsidR="00F222EC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επικαλυμμένα με λεπτό υμένιο δισκία περιέχουν μονοϋδρική λακτόζη.</w:t>
      </w:r>
      <w:r w:rsidR="00381232">
        <w:rPr>
          <w:rFonts w:cs="Times New Roman"/>
          <w:lang w:val="el-GR"/>
        </w:rPr>
        <w:t xml:space="preserve"> </w:t>
      </w:r>
      <w:r w:rsidRPr="00F54B01">
        <w:rPr>
          <w:rFonts w:cs="Times New Roman"/>
          <w:spacing w:val="-32"/>
          <w:lang w:val="el-GR"/>
        </w:rPr>
        <w:t xml:space="preserve"> </w:t>
      </w:r>
      <w:r w:rsidR="00381232">
        <w:rPr>
          <w:rFonts w:cs="Times New Roman"/>
          <w:lang w:val="el-GR"/>
        </w:rPr>
        <w:t>Επομ</w:t>
      </w:r>
      <w:r w:rsidRPr="00F54B01">
        <w:rPr>
          <w:rFonts w:cs="Times New Roman"/>
          <w:lang w:val="el-GR"/>
        </w:rPr>
        <w:t>ένως, ασθενείς με σπάνια κληρονομικά νοσήματα δυσανεξίας στη γαλακτόζη, ανεπάρκεια λακτάσης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του </w:t>
      </w:r>
      <w:r w:rsidRPr="00F54B01">
        <w:rPr>
          <w:rFonts w:cs="Times New Roman"/>
        </w:rPr>
        <w:t>Lapp</w:t>
      </w:r>
      <w:r w:rsidRPr="00F54B01">
        <w:rPr>
          <w:rFonts w:cs="Times New Roman"/>
          <w:lang w:val="el-GR"/>
        </w:rPr>
        <w:t xml:space="preserve"> ή δυσαπορρόφηση γλυκόζης-γαλακτόζης δεν πρέπει να λαμβάνουν αυτό το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>φαρμακευτικό προϊόν.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222EC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  <w:lang w:val="el-GR"/>
        </w:rPr>
      </w:pPr>
      <w:r w:rsidRPr="00F222EC">
        <w:rPr>
          <w:rFonts w:ascii="Times New Roman" w:hAnsi="Times New Roman" w:cs="Times New Roman"/>
          <w:b/>
          <w:lang w:val="el-GR"/>
        </w:rPr>
        <w:t>Αλληλεπιδράσεις με άλλα φαρμακευτικά προϊόντα και άλλες μορφές αλληλεπίδρασης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Μελέτες αλληλεπιδράσεων έχουν πραγματοποιηθεί μόνο σε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ενήλικες.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Με βάση τα αποτέλεσμα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vitro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πειραμάτων και τη γνωστή οδό απέκκρισης </w:t>
      </w:r>
      <w:r w:rsidR="00B25E03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>,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η πιθανότητα αλληλεπιδράσεων </w:t>
      </w:r>
      <w:r w:rsidR="00B25E03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με άλλα φαρμακευτικά προϊόντα, με τη μεσολάβηση</w:t>
      </w:r>
      <w:r w:rsidRPr="00F54B01">
        <w:rPr>
          <w:rFonts w:cs="Times New Roman"/>
          <w:spacing w:val="-3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του 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>450, είναι μικρή.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Η συγχορήγηση δεν</w:t>
      </w:r>
      <w:r w:rsidRPr="00F54B01">
        <w:rPr>
          <w:rFonts w:cs="Times New Roman"/>
          <w:spacing w:val="-9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συνιστάται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Το </w:t>
      </w:r>
      <w:r w:rsidR="005B1F0A">
        <w:rPr>
          <w:rFonts w:cs="Times New Roman"/>
        </w:rPr>
        <w:t>AGARDON</w:t>
      </w:r>
      <w:r w:rsidR="005B1F0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δεν πρέπει να συγχορηγείται με άλλα φαρμακευτικά προϊόντα που περιέχουν</w:t>
      </w:r>
      <w:r w:rsidRPr="00F54B01">
        <w:rPr>
          <w:rFonts w:cs="Times New Roman"/>
          <w:spacing w:val="-23"/>
          <w:lang w:val="el-GR"/>
        </w:rPr>
        <w:t xml:space="preserve"> </w:t>
      </w:r>
      <w:r w:rsidR="005B1F0A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Το </w:t>
      </w:r>
      <w:r w:rsidR="005B1F0A">
        <w:rPr>
          <w:rFonts w:cs="Times New Roman"/>
        </w:rPr>
        <w:t>AGARDON</w:t>
      </w:r>
      <w:r w:rsidR="005B1F0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δεν πρέπει να συγχορηγείται με </w:t>
      </w:r>
      <w:r w:rsidR="00AA45B9" w:rsidRPr="00AA45B9">
        <w:rPr>
          <w:rFonts w:cs="Times New Roman"/>
          <w:lang w:val="el-GR"/>
        </w:rPr>
        <w:t>αδεφοβίρη διπιβοξίλη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5B1F0A" w:rsidRDefault="00AA45B9" w:rsidP="009A7039">
      <w:pPr>
        <w:rPr>
          <w:rFonts w:ascii="Times New Roman" w:eastAsia="Times New Roman" w:hAnsi="Times New Roman" w:cs="Times New Roman"/>
          <w:lang w:val="el-GR"/>
        </w:rPr>
      </w:pPr>
      <w:r w:rsidRPr="00AA45B9">
        <w:rPr>
          <w:rFonts w:ascii="Times New Roman" w:hAnsi="Times New Roman" w:cs="Times New Roman"/>
          <w:i/>
          <w:lang w:val="el-GR"/>
        </w:rPr>
        <w:t>Διδανοσίνη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συγχορήγηση </w:t>
      </w:r>
      <w:r w:rsidR="005B1F0A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με </w:t>
      </w:r>
      <w:r w:rsidR="00AA45B9" w:rsidRPr="00AA45B9">
        <w:rPr>
          <w:rFonts w:cs="Times New Roman"/>
          <w:lang w:val="el-GR"/>
        </w:rPr>
        <w:t>διδανοσίνη</w:t>
      </w:r>
      <w:r w:rsidR="005B1F0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δεν συνιστάται (βλ. παράγραφο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4.4 και Πίνακα 1).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Φαρμακευτικά προϊόντα που απεκκρίνονται από τη νεφρική</w:t>
      </w:r>
      <w:r w:rsidRPr="00F54B01">
        <w:rPr>
          <w:rFonts w:ascii="Times New Roman" w:hAnsi="Times New Roman" w:cs="Times New Roman"/>
          <w:i/>
          <w:spacing w:val="-5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οδό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Εφόσον </w:t>
      </w:r>
      <w:r w:rsidR="005B1F0A">
        <w:rPr>
          <w:rFonts w:cs="Times New Roman"/>
          <w:lang w:val="el-GR"/>
        </w:rPr>
        <w:t>η τενοφοβίρη</w:t>
      </w:r>
      <w:r w:rsidRPr="00F54B01">
        <w:rPr>
          <w:rFonts w:cs="Times New Roman"/>
          <w:lang w:val="el-GR"/>
        </w:rPr>
        <w:t xml:space="preserve"> απεκκρίνεται κυρίως από τους νεφρούς, η συγχορήγηση </w:t>
      </w:r>
      <w:r w:rsidR="005B1F0A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με φαρμακευτικά προϊόντα που ελαττώνουν τη νεφρική λειτουργία ή ανταγωνίζονται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για </w:t>
      </w:r>
      <w:r w:rsidRPr="00F54B01">
        <w:rPr>
          <w:rFonts w:cs="Times New Roman"/>
          <w:lang w:val="el-GR"/>
        </w:rPr>
        <w:lastRenderedPageBreak/>
        <w:t xml:space="preserve">ενεργό σωληναριακή απέκκριση μέσω των μεταφερουσών πρωτεϊνών </w:t>
      </w:r>
      <w:r w:rsidRPr="00F54B01">
        <w:rPr>
          <w:rFonts w:cs="Times New Roman"/>
        </w:rPr>
        <w:t>hOAT</w:t>
      </w:r>
      <w:r w:rsidRPr="00F54B01">
        <w:rPr>
          <w:rFonts w:cs="Times New Roman"/>
          <w:lang w:val="el-GR"/>
        </w:rPr>
        <w:t xml:space="preserve"> 1, </w:t>
      </w:r>
      <w:r w:rsidRPr="00F54B01">
        <w:rPr>
          <w:rFonts w:cs="Times New Roman"/>
        </w:rPr>
        <w:t>hOAT</w:t>
      </w:r>
      <w:r w:rsidRPr="00F54B01">
        <w:rPr>
          <w:rFonts w:cs="Times New Roman"/>
          <w:lang w:val="el-GR"/>
        </w:rPr>
        <w:t xml:space="preserve"> 3 ή </w:t>
      </w:r>
      <w:r w:rsidRPr="00F54B01">
        <w:rPr>
          <w:rFonts w:cs="Times New Roman"/>
        </w:rPr>
        <w:t>MRP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4 (π.χ. </w:t>
      </w:r>
      <w:r w:rsidR="00AA45B9" w:rsidRPr="00AA45B9">
        <w:rPr>
          <w:rFonts w:cs="Times New Roman"/>
          <w:lang w:val="el-GR"/>
        </w:rPr>
        <w:t>σιδοφοβίρη</w:t>
      </w:r>
      <w:r w:rsidRPr="00F54B01">
        <w:rPr>
          <w:rFonts w:cs="Times New Roman"/>
          <w:lang w:val="el-GR"/>
        </w:rPr>
        <w:t xml:space="preserve">) μπορεί να αυξήσει τις συγκεντρώσεις </w:t>
      </w:r>
      <w:r w:rsidR="005B1F0A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και/ή των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συγχορηγούμενων φαρμακευτικών προϊόντων στον</w:t>
      </w:r>
      <w:r w:rsidRPr="00F54B01">
        <w:rPr>
          <w:rFonts w:cs="Times New Roman"/>
          <w:spacing w:val="-9"/>
          <w:lang w:val="el-GR"/>
        </w:rPr>
        <w:t xml:space="preserve"> </w:t>
      </w:r>
      <w:r w:rsidRPr="00F54B01">
        <w:rPr>
          <w:rFonts w:cs="Times New Roman"/>
          <w:lang w:val="el-GR"/>
        </w:rPr>
        <w:t>ορό.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χρήση </w:t>
      </w:r>
      <w:r w:rsidR="005B1F0A">
        <w:rPr>
          <w:rFonts w:cs="Times New Roman"/>
          <w:lang w:val="el-GR"/>
        </w:rPr>
        <w:t>της τενοφοβίρης δισοπρόξιλης</w:t>
      </w:r>
      <w:r w:rsidR="005B1F0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πρέπει να αποφεύγεται με συγχορήγηση ή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πρόσφατη χρήση νεφροτοξικού φαρμακευτικού προϊόντος. Ορισμένα παραδείγματα συμπεριλαμβάνουν,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αλλά χωρίς να περιορίζονται σε αυτά, αμινογλυκοσίδες, </w:t>
      </w:r>
      <w:r w:rsidR="00AA45B9" w:rsidRPr="00AA45B9">
        <w:rPr>
          <w:rFonts w:cs="Times New Roman"/>
          <w:lang w:val="el-GR"/>
        </w:rPr>
        <w:t>αμφοτερικίνη Β</w:t>
      </w:r>
      <w:r w:rsidRPr="00F54B01">
        <w:rPr>
          <w:rFonts w:cs="Times New Roman"/>
          <w:lang w:val="el-GR"/>
        </w:rPr>
        <w:t xml:space="preserve">, </w:t>
      </w:r>
      <w:r w:rsidR="00AA45B9" w:rsidRPr="00AA45B9">
        <w:rPr>
          <w:rFonts w:cs="Times New Roman"/>
          <w:lang w:val="el-GR"/>
        </w:rPr>
        <w:t>φοσκαρνέτη</w:t>
      </w:r>
      <w:r w:rsidRPr="00F54B01">
        <w:rPr>
          <w:rFonts w:cs="Times New Roman"/>
          <w:lang w:val="el-GR"/>
        </w:rPr>
        <w:t>,</w:t>
      </w:r>
      <w:r w:rsidRPr="00F54B01">
        <w:rPr>
          <w:rFonts w:cs="Times New Roman"/>
          <w:spacing w:val="-14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γκανσικλοβίρη</w:t>
      </w:r>
      <w:r w:rsidRPr="00F54B01">
        <w:rPr>
          <w:rFonts w:cs="Times New Roman"/>
          <w:lang w:val="el-GR"/>
        </w:rPr>
        <w:t xml:space="preserve">, </w:t>
      </w:r>
      <w:r w:rsidR="00AA45B9" w:rsidRPr="00AA45B9">
        <w:rPr>
          <w:rFonts w:cs="Times New Roman"/>
          <w:lang w:val="el-GR"/>
        </w:rPr>
        <w:t>πενταμιδίνη</w:t>
      </w:r>
      <w:r w:rsidRPr="00F54B01">
        <w:rPr>
          <w:rFonts w:cs="Times New Roman"/>
          <w:lang w:val="el-GR"/>
        </w:rPr>
        <w:t xml:space="preserve">, </w:t>
      </w:r>
      <w:r w:rsidR="00AA45B9" w:rsidRPr="00AA45B9">
        <w:rPr>
          <w:rFonts w:cs="Times New Roman"/>
          <w:lang w:val="el-GR"/>
        </w:rPr>
        <w:t>βανκομυκίνη</w:t>
      </w:r>
      <w:r w:rsidRPr="00F54B01">
        <w:rPr>
          <w:rFonts w:cs="Times New Roman"/>
          <w:lang w:val="el-GR"/>
        </w:rPr>
        <w:t xml:space="preserve">, </w:t>
      </w:r>
      <w:r w:rsidR="00AA45B9" w:rsidRPr="00AA45B9">
        <w:rPr>
          <w:rFonts w:cs="Times New Roman"/>
          <w:lang w:val="el-GR"/>
        </w:rPr>
        <w:t>σιδοφοβίρη</w:t>
      </w:r>
      <w:r w:rsidRPr="00F54B01">
        <w:rPr>
          <w:rFonts w:cs="Times New Roman"/>
          <w:lang w:val="el-GR"/>
        </w:rPr>
        <w:t xml:space="preserve"> ή </w:t>
      </w:r>
      <w:r w:rsidR="00AA45B9" w:rsidRPr="00AA45B9">
        <w:rPr>
          <w:rFonts w:cs="Times New Roman"/>
          <w:lang w:val="el-GR"/>
        </w:rPr>
        <w:t>ιντερλευκίνη</w:t>
      </w:r>
      <w:r w:rsidRPr="00F54B01">
        <w:rPr>
          <w:rFonts w:cs="Times New Roman"/>
          <w:lang w:val="el-GR"/>
        </w:rPr>
        <w:t>-2 (βλ. παράγραφο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Δεδομένου ότι το </w:t>
      </w:r>
      <w:r w:rsidR="00203833" w:rsidRPr="00203833">
        <w:rPr>
          <w:rFonts w:cs="Times New Roman"/>
          <w:lang w:val="el-GR"/>
        </w:rPr>
        <w:t>τακρόλιμους</w:t>
      </w:r>
      <w:r w:rsidRPr="00F54B01">
        <w:rPr>
          <w:rFonts w:cs="Times New Roman"/>
          <w:lang w:val="el-GR"/>
        </w:rPr>
        <w:t xml:space="preserve"> μπορεί να επηρεάσει τη νεφρική λειτουργία, συνιστάται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στενή παρακολούθηση, όταν συγχορηγείται με </w:t>
      </w:r>
      <w:r w:rsidR="005B1F0A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Άλλες</w:t>
      </w:r>
      <w:r w:rsidRPr="00F54B01">
        <w:rPr>
          <w:rFonts w:cs="Times New Roman"/>
          <w:spacing w:val="-10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αλληλεπιδράσεις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Οι αλληλεπιδράσεις μεταξύ </w:t>
      </w:r>
      <w:r w:rsidR="005B1F0A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και άλλων φαρμακευτικών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προϊόντων παρατίθενται στον Πίνακα 1 παρακάτω (η αύξηση υποδεικνύεται ως «↑», η μείωση ως «↓»,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καμία μεταβολή ως «↔», δύο φορές ημερησίως ως «</w:t>
      </w:r>
      <w:r w:rsidRPr="00F54B01">
        <w:rPr>
          <w:rFonts w:cs="Times New Roman"/>
        </w:rPr>
        <w:t>b</w:t>
      </w:r>
      <w:r w:rsidRPr="00F54B01">
        <w:rPr>
          <w:rFonts w:cs="Times New Roman"/>
          <w:lang w:val="el-GR"/>
        </w:rPr>
        <w:t>.</w:t>
      </w:r>
      <w:r w:rsidRPr="00F54B01">
        <w:rPr>
          <w:rFonts w:cs="Times New Roman"/>
        </w:rPr>
        <w:t>i</w:t>
      </w:r>
      <w:r w:rsidRPr="00F54B01">
        <w:rPr>
          <w:rFonts w:cs="Times New Roman"/>
          <w:lang w:val="el-GR"/>
        </w:rPr>
        <w:t>.</w:t>
      </w:r>
      <w:r w:rsidRPr="00F54B01">
        <w:rPr>
          <w:rFonts w:cs="Times New Roman"/>
        </w:rPr>
        <w:t>d</w:t>
      </w:r>
      <w:r w:rsidRPr="00F54B01">
        <w:rPr>
          <w:rFonts w:cs="Times New Roman"/>
          <w:lang w:val="el-GR"/>
        </w:rPr>
        <w:t>.» και μία φορά ημερησίως ως «</w:t>
      </w:r>
      <w:r w:rsidRPr="00F54B01">
        <w:rPr>
          <w:rFonts w:cs="Times New Roman"/>
        </w:rPr>
        <w:t>q</w:t>
      </w:r>
      <w:r w:rsidRPr="00F54B01">
        <w:rPr>
          <w:rFonts w:cs="Times New Roman"/>
          <w:lang w:val="el-GR"/>
        </w:rPr>
        <w:t>.</w:t>
      </w:r>
      <w:r w:rsidRPr="00F54B01">
        <w:rPr>
          <w:rFonts w:cs="Times New Roman"/>
        </w:rPr>
        <w:t>d</w:t>
      </w:r>
      <w:r w:rsidRPr="00F54B01">
        <w:rPr>
          <w:rFonts w:cs="Times New Roman"/>
          <w:lang w:val="el-GR"/>
        </w:rPr>
        <w:t>.»).</w:t>
      </w:r>
    </w:p>
    <w:p w:rsidR="001E7767" w:rsidRPr="00F54B01" w:rsidRDefault="001E7767" w:rsidP="009A7039">
      <w:pPr>
        <w:pStyle w:val="1"/>
        <w:ind w:left="0" w:firstLine="0"/>
        <w:rPr>
          <w:rFonts w:cs="Times New Roman"/>
          <w:lang w:val="el-GR"/>
        </w:rPr>
      </w:pPr>
    </w:p>
    <w:p w:rsidR="009D104A" w:rsidRPr="00203833" w:rsidRDefault="00302B89" w:rsidP="00FB72E2">
      <w:pPr>
        <w:rPr>
          <w:rFonts w:ascii="Times New Roman" w:hAnsi="Times New Roman" w:cs="Times New Roman"/>
          <w:b/>
          <w:bCs/>
          <w:lang w:val="el-GR"/>
        </w:rPr>
      </w:pPr>
      <w:r w:rsidRPr="00203833">
        <w:rPr>
          <w:rFonts w:ascii="Times New Roman" w:hAnsi="Times New Roman" w:cs="Times New Roman"/>
          <w:lang w:val="el-GR"/>
        </w:rPr>
        <w:t xml:space="preserve">Πίνακας 1: Αλληλεπιδράσεις μεταξύ </w:t>
      </w:r>
      <w:r w:rsidR="005B1F0A" w:rsidRPr="00203833">
        <w:rPr>
          <w:rFonts w:ascii="Times New Roman" w:hAnsi="Times New Roman" w:cs="Times New Roman"/>
          <w:lang w:val="el-GR"/>
        </w:rPr>
        <w:t>της τενοφοβίρης δισοπρόξιλης</w:t>
      </w:r>
      <w:r w:rsidRPr="00203833">
        <w:rPr>
          <w:rFonts w:ascii="Times New Roman" w:hAnsi="Times New Roman" w:cs="Times New Roman"/>
          <w:lang w:val="el-GR"/>
        </w:rPr>
        <w:t xml:space="preserve"> και</w:t>
      </w:r>
      <w:r w:rsidRPr="00203833">
        <w:rPr>
          <w:rFonts w:ascii="Times New Roman" w:hAnsi="Times New Roman" w:cs="Times New Roman"/>
          <w:spacing w:val="-22"/>
          <w:lang w:val="el-GR"/>
        </w:rPr>
        <w:t xml:space="preserve"> </w:t>
      </w:r>
      <w:r w:rsidRPr="00203833">
        <w:rPr>
          <w:rFonts w:ascii="Times New Roman" w:hAnsi="Times New Roman" w:cs="Times New Roman"/>
          <w:lang w:val="el-GR"/>
        </w:rPr>
        <w:t>άλλων φαρμακευτικών</w:t>
      </w:r>
      <w:r w:rsidRPr="00203833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203833">
        <w:rPr>
          <w:rFonts w:ascii="Times New Roman" w:hAnsi="Times New Roman" w:cs="Times New Roman"/>
          <w:lang w:val="el-GR"/>
        </w:rPr>
        <w:t>προϊόντων</w:t>
      </w:r>
    </w:p>
    <w:tbl>
      <w:tblPr>
        <w:tblW w:w="939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759"/>
        <w:gridCol w:w="2553"/>
      </w:tblGrid>
      <w:tr w:rsidR="009D104A" w:rsidRPr="00CA6D48" w:rsidTr="00203833">
        <w:trPr>
          <w:trHeight w:hRule="exact" w:val="7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Φαρμακευτικό προϊόν</w:t>
            </w:r>
            <w:r w:rsidRPr="00F54B01">
              <w:rPr>
                <w:rFonts w:ascii="Times New Roman" w:hAnsi="Times New Roman" w:cs="Times New Roman"/>
                <w:b/>
                <w:spacing w:val="-8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ανά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θεραπευτική</w:t>
            </w:r>
            <w:r w:rsidRPr="00F54B01">
              <w:rPr>
                <w:rFonts w:ascii="Times New Roman" w:hAnsi="Times New Roman" w:cs="Times New Roman"/>
                <w:b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περιοχή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(δόση σε</w:t>
            </w:r>
            <w:r w:rsidRPr="00F54B01">
              <w:rPr>
                <w:rFonts w:ascii="Times New Roman" w:hAnsi="Times New Roman" w:cs="Times New Roman"/>
                <w:b/>
                <w:spacing w:val="-6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mg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0A" w:rsidRDefault="00302B89" w:rsidP="009A7039">
            <w:pPr>
              <w:pStyle w:val="TableParagraph"/>
              <w:ind w:hanging="5"/>
              <w:jc w:val="center"/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Επιδράσεις στα επίπεδα</w:t>
            </w:r>
            <w:r w:rsidRPr="00F54B01">
              <w:rPr>
                <w:rFonts w:ascii="Times New Roman" w:hAnsi="Times New Roman" w:cs="Times New Roman"/>
                <w:b/>
                <w:spacing w:val="-5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φαρμάκου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ind w:hanging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l-GR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Μέση ποσοστιαία μεταβολή στις</w:t>
            </w:r>
            <w:r w:rsidRPr="00F54B01">
              <w:rPr>
                <w:rFonts w:ascii="Times New Roman" w:hAnsi="Times New Roman" w:cs="Times New Roman"/>
                <w:b/>
                <w:spacing w:val="-12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τιμές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AUC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 xml:space="preserve">,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C</w:t>
            </w:r>
            <w:r w:rsidRPr="00F54B01">
              <w:rPr>
                <w:rFonts w:ascii="Times New Roman" w:hAnsi="Times New Roman" w:cs="Times New Roman"/>
                <w:b/>
                <w:position w:val="-2"/>
                <w:sz w:val="13"/>
              </w:rPr>
              <w:t>max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,</w:t>
            </w:r>
            <w:r w:rsidRPr="00F54B01">
              <w:rPr>
                <w:rFonts w:ascii="Times New Roman" w:hAnsi="Times New Roman" w:cs="Times New Roman"/>
                <w:b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C</w:t>
            </w:r>
            <w:r w:rsidRPr="00F54B01">
              <w:rPr>
                <w:rFonts w:ascii="Times New Roman" w:hAnsi="Times New Roman" w:cs="Times New Roman"/>
                <w:b/>
                <w:position w:val="-2"/>
                <w:sz w:val="13"/>
              </w:rPr>
              <w:t>min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C5E77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Σύσταση σχετικά με</w:t>
            </w:r>
            <w:r w:rsidRPr="00F54B01">
              <w:rPr>
                <w:rFonts w:ascii="Times New Roman" w:hAnsi="Times New Roman" w:cs="Times New Roman"/>
                <w:b/>
                <w:spacing w:val="-8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τη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συγχορήγηση με 245</w:t>
            </w:r>
            <w:r w:rsidRPr="00F54B01">
              <w:rPr>
                <w:rFonts w:ascii="Times New Roman" w:hAnsi="Times New Roman" w:cs="Times New Roman"/>
                <w:b/>
                <w:spacing w:val="1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pacing w:val="-4"/>
                <w:sz w:val="20"/>
              </w:rPr>
              <w:t>mg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="005B1F0A" w:rsidRPr="005B1F0A">
              <w:rPr>
                <w:rFonts w:ascii="Times New Roman" w:hAnsi="Times New Roman" w:cs="Times New Roman"/>
                <w:b/>
                <w:sz w:val="20"/>
                <w:lang w:val="el-GR"/>
              </w:rPr>
              <w:t>τενοφοβίρη</w:t>
            </w:r>
            <w:r w:rsidR="005B1F0A">
              <w:rPr>
                <w:rFonts w:ascii="Times New Roman" w:hAnsi="Times New Roman" w:cs="Times New Roman"/>
                <w:b/>
                <w:sz w:val="20"/>
                <w:lang w:val="el-GR"/>
              </w:rPr>
              <w:t>ς</w:t>
            </w:r>
            <w:r w:rsidR="005B1F0A" w:rsidRPr="005B1F0A">
              <w:rPr>
                <w:rFonts w:ascii="Times New Roman" w:hAnsi="Times New Roman" w:cs="Times New Roman"/>
                <w:b/>
                <w:sz w:val="20"/>
                <w:lang w:val="el-GR"/>
              </w:rPr>
              <w:t xml:space="preserve"> δισοπρόξιλη</w:t>
            </w:r>
            <w:r w:rsidR="005B1F0A">
              <w:rPr>
                <w:rFonts w:ascii="Times New Roman" w:hAnsi="Times New Roman" w:cs="Times New Roman"/>
                <w:b/>
                <w:sz w:val="20"/>
                <w:lang w:val="el-GR"/>
              </w:rPr>
              <w:t>ς</w:t>
            </w:r>
          </w:p>
        </w:tc>
      </w:tr>
      <w:tr w:rsidR="009D104A" w:rsidRPr="00F54B01" w:rsidTr="00203833">
        <w:trPr>
          <w:trHeight w:hRule="exact" w:val="240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i/>
                <w:sz w:val="20"/>
              </w:rPr>
              <w:t>ΑΝΤΙ-ΛΟΙΜΩΔΗ</w:t>
            </w:r>
          </w:p>
        </w:tc>
      </w:tr>
      <w:tr w:rsidR="009D104A" w:rsidRPr="00F54B01" w:rsidTr="00203833">
        <w:trPr>
          <w:trHeight w:hRule="exact" w:val="240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Αντιρετροϊκά</w:t>
            </w:r>
          </w:p>
        </w:tc>
      </w:tr>
      <w:tr w:rsidR="009D104A" w:rsidRPr="00F54B01" w:rsidTr="00203833">
        <w:trPr>
          <w:trHeight w:hRule="exact" w:val="240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Αναστολείς</w:t>
            </w:r>
            <w:r w:rsidRPr="00F54B01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πρωτεασών</w:t>
            </w:r>
          </w:p>
        </w:tc>
      </w:tr>
      <w:tr w:rsidR="009D104A" w:rsidRPr="005B1F0A" w:rsidTr="00203833">
        <w:trPr>
          <w:trHeight w:hRule="exact" w:val="29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Αταζαναβίρη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Ριτοναβίρη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(300 q.d</w:t>
            </w:r>
            <w:proofErr w:type="gramStart"/>
            <w:r w:rsidRPr="00F54B01">
              <w:rPr>
                <w:rFonts w:ascii="Times New Roman" w:hAnsi="Times New Roman" w:cs="Times New Roman"/>
                <w:sz w:val="20"/>
              </w:rPr>
              <w:t>./</w:t>
            </w:r>
            <w:proofErr w:type="gramEnd"/>
            <w:r w:rsidRPr="00F54B01">
              <w:rPr>
                <w:rFonts w:ascii="Times New Roman" w:hAnsi="Times New Roman" w:cs="Times New Roman"/>
                <w:sz w:val="20"/>
              </w:rPr>
              <w:t>100 q.d./300</w:t>
            </w:r>
            <w:r w:rsidRPr="00F54B0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q.d.)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0A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Αταζαναβίρη</w:t>
            </w:r>
            <w:r w:rsidR="00302B89"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02B89"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AUC: ↓</w:t>
            </w:r>
            <w:r w:rsidRPr="00F54B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 ↓</w:t>
            </w:r>
            <w:r w:rsidRPr="00F54B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  <w:p w:rsidR="005B1F0A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 ↓</w:t>
            </w:r>
            <w:r w:rsidRPr="00F54B0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26%</w:t>
            </w:r>
            <w:r w:rsidRPr="00F54B0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</w:p>
          <w:p w:rsidR="005B1F0A" w:rsidRDefault="005B1F0A" w:rsidP="009A7039">
            <w:pPr>
              <w:pStyle w:val="TableParagraph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</w:p>
          <w:p w:rsidR="005B1F0A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Τενοφοβίρη</w:t>
            </w:r>
            <w:r w:rsidR="00302B89"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02B89"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AUC: ↑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37%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 ↑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34%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 ↑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5B1F0A" w:rsidRDefault="00302B89" w:rsidP="005B1F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Δεν συνιστάται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αναπροσαρμογή της</w:t>
            </w:r>
            <w:r w:rsidRPr="00F54B01">
              <w:rPr>
                <w:rFonts w:ascii="Times New Roman" w:hAnsi="Times New Roman" w:cs="Times New Roman"/>
                <w:spacing w:val="-10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δόσης.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Η αυξημένη έκθεση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="005B1F0A">
              <w:rPr>
                <w:rFonts w:ascii="Times New Roman" w:hAnsi="Times New Roman" w:cs="Times New Roman"/>
                <w:sz w:val="20"/>
                <w:lang w:val="el-GR"/>
              </w:rPr>
              <w:t>της τενοφοβίρης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 θα μπορούσε</w:t>
            </w:r>
            <w:r w:rsidRPr="00F54B01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να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ενισχύσει τις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σχετιζόμενες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με </w:t>
            </w:r>
            <w:r w:rsidR="005B1F0A">
              <w:rPr>
                <w:rFonts w:ascii="Times New Roman" w:hAnsi="Times New Roman" w:cs="Times New Roman"/>
                <w:sz w:val="20"/>
                <w:lang w:val="el-GR"/>
              </w:rPr>
              <w:t>την τενοφοβίρη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ανεπιθύμητες</w:t>
            </w:r>
            <w:r w:rsidRPr="00F54B01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ενέργειες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συμπεριλαμβανομένων</w:t>
            </w:r>
            <w:r w:rsidRPr="00F54B01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και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των νεφρικών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διαταραχών.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5B1F0A">
              <w:rPr>
                <w:rFonts w:ascii="Times New Roman" w:hAnsi="Times New Roman" w:cs="Times New Roman"/>
                <w:sz w:val="20"/>
                <w:lang w:val="el-GR"/>
              </w:rPr>
              <w:t>Η νεφρική λειτουργία</w:t>
            </w:r>
            <w:r w:rsidRPr="005B1F0A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5B1F0A">
              <w:rPr>
                <w:rFonts w:ascii="Times New Roman" w:hAnsi="Times New Roman" w:cs="Times New Roman"/>
                <w:sz w:val="20"/>
                <w:lang w:val="el-GR"/>
              </w:rPr>
              <w:t>πρέπει να</w:t>
            </w:r>
            <w:r w:rsidRPr="005B1F0A">
              <w:rPr>
                <w:rFonts w:ascii="Times New Roman" w:hAnsi="Times New Roman" w:cs="Times New Roman"/>
                <w:spacing w:val="-7"/>
                <w:sz w:val="20"/>
                <w:lang w:val="el-GR"/>
              </w:rPr>
              <w:t xml:space="preserve"> </w:t>
            </w:r>
            <w:r w:rsidRPr="005B1F0A">
              <w:rPr>
                <w:rFonts w:ascii="Times New Roman" w:hAnsi="Times New Roman" w:cs="Times New Roman"/>
                <w:sz w:val="20"/>
                <w:lang w:val="el-GR"/>
              </w:rPr>
              <w:t>παρακολουθείται</w:t>
            </w:r>
            <w:r w:rsidRPr="005B1F0A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5B1F0A">
              <w:rPr>
                <w:rFonts w:ascii="Times New Roman" w:hAnsi="Times New Roman" w:cs="Times New Roman"/>
                <w:sz w:val="20"/>
                <w:lang w:val="el-GR"/>
              </w:rPr>
              <w:t>στενά (βλ. παράγραφο</w:t>
            </w:r>
            <w:r w:rsidRPr="005B1F0A">
              <w:rPr>
                <w:rFonts w:ascii="Times New Roman" w:hAnsi="Times New Roman" w:cs="Times New Roman"/>
                <w:spacing w:val="-9"/>
                <w:sz w:val="20"/>
                <w:lang w:val="el-GR"/>
              </w:rPr>
              <w:t xml:space="preserve"> </w:t>
            </w:r>
            <w:r w:rsidRPr="005B1F0A">
              <w:rPr>
                <w:rFonts w:ascii="Times New Roman" w:hAnsi="Times New Roman" w:cs="Times New Roman"/>
                <w:sz w:val="20"/>
                <w:lang w:val="el-GR"/>
              </w:rPr>
              <w:t>4.4).</w:t>
            </w:r>
          </w:p>
        </w:tc>
      </w:tr>
      <w:tr w:rsidR="009D104A" w:rsidRPr="005B1F0A" w:rsidTr="00203833">
        <w:trPr>
          <w:trHeight w:hRule="exact" w:val="2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Λοπιναβίρη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Ριτοναβίρη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(400 b.i.d./100 b.i.d./300</w:t>
            </w:r>
            <w:r w:rsidRPr="00F54B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q.d.)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t>Λοπιναβίρη</w:t>
            </w:r>
            <w:r w:rsidR="00302B89" w:rsidRPr="00F54B01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t>ριτοναβίρη</w:t>
            </w:r>
            <w:r w:rsidR="00302B89" w:rsidRPr="00F54B01">
              <w:rPr>
                <w:rFonts w:ascii="Times New Roman" w:hAnsi="Times New Roman" w:cs="Times New Roman"/>
                <w:sz w:val="20"/>
                <w:lang w:val="el-GR"/>
              </w:rPr>
              <w:t>: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Καμία σημαντική επίδραση</w:t>
            </w:r>
            <w:r w:rsidRPr="00F54B01">
              <w:rPr>
                <w:rFonts w:ascii="Times New Roman" w:hAnsi="Times New Roman" w:cs="Times New Roman"/>
                <w:spacing w:val="-6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στις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φαρμακοκινητικές παραμέτρους</w:t>
            </w:r>
            <w:r w:rsidRPr="00F54B01">
              <w:rPr>
                <w:rFonts w:ascii="Times New Roman" w:hAnsi="Times New Roman" w:cs="Times New Roman"/>
                <w:spacing w:val="-10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του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λοπιναβίρη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ριτοναβίρη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</w:p>
          <w:p w:rsidR="005B1F0A" w:rsidRDefault="005B1F0A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  <w:p w:rsidR="005B1F0A" w:rsidRDefault="005B1F0A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Τενοφοβίρη</w:t>
            </w:r>
            <w:r w:rsidR="00302B89"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02B89"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AUC: ↑</w:t>
            </w:r>
            <w:r w:rsidRPr="00F54B0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32%</w:t>
            </w:r>
          </w:p>
          <w:p w:rsidR="005B1F0A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54B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  <w:r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 ↑</w:t>
            </w:r>
            <w:r w:rsidRPr="00F54B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C5E77" w:rsidRDefault="00302B89" w:rsidP="005B1F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Δεν συνιστάται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αναπροσαρμογή της</w:t>
            </w:r>
            <w:r w:rsidRPr="00F54B01">
              <w:rPr>
                <w:rFonts w:ascii="Times New Roman" w:hAnsi="Times New Roman" w:cs="Times New Roman"/>
                <w:spacing w:val="-10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δόσης.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Η αυξημένη έκθεση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="005B1F0A">
              <w:rPr>
                <w:rFonts w:ascii="Times New Roman" w:hAnsi="Times New Roman" w:cs="Times New Roman"/>
                <w:sz w:val="20"/>
                <w:lang w:val="el-GR"/>
              </w:rPr>
              <w:t>της τενοφοβίρης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 θα μπορούσε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να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ενισχύσει τις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σχετιζόμενες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με </w:t>
            </w:r>
            <w:r w:rsidR="005B1F0A">
              <w:rPr>
                <w:rFonts w:ascii="Times New Roman" w:hAnsi="Times New Roman" w:cs="Times New Roman"/>
                <w:sz w:val="20"/>
                <w:lang w:val="el-GR"/>
              </w:rPr>
              <w:t>την τενοφοβίρη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ανεπιθύμητες</w:t>
            </w:r>
            <w:r w:rsidRPr="00F54B01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ενέργειες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συμπεριλαμβανομένων</w:t>
            </w:r>
            <w:r w:rsidRPr="00F54B01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και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των νεφρικών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διαταραχών.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Η νεφρική λειτουργία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πρέπει να</w:t>
            </w:r>
            <w:r w:rsidRPr="00FC5E77">
              <w:rPr>
                <w:rFonts w:ascii="Times New Roman" w:hAnsi="Times New Roman" w:cs="Times New Roman"/>
                <w:spacing w:val="-7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παρακολουθείται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στενά (βλ. παράγραφο</w:t>
            </w:r>
            <w:r w:rsidRPr="00FC5E77">
              <w:rPr>
                <w:rFonts w:ascii="Times New Roman" w:hAnsi="Times New Roman" w:cs="Times New Roman"/>
                <w:spacing w:val="-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4.4).</w:t>
            </w:r>
          </w:p>
        </w:tc>
      </w:tr>
      <w:tr w:rsidR="009D104A" w:rsidRPr="005B1F0A" w:rsidTr="008E2BBE">
        <w:trPr>
          <w:trHeight w:hRule="exact" w:val="28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Δαρουναβίρη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Ριτοναβίρη</w:t>
            </w:r>
            <w:r w:rsidR="00302B89"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(300/100 b.i.d./300</w:t>
            </w:r>
            <w:r w:rsidR="00302B89" w:rsidRPr="00F54B0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q.d.)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t>Δαρουναβίρη</w:t>
            </w:r>
            <w:r w:rsidR="00302B89" w:rsidRPr="00F54B01">
              <w:rPr>
                <w:rFonts w:ascii="Times New Roman" w:hAnsi="Times New Roman" w:cs="Times New Roman"/>
                <w:sz w:val="20"/>
                <w:lang w:val="el-GR"/>
              </w:rPr>
              <w:t>: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Καμία σημαντική επίδραση</w:t>
            </w:r>
            <w:r w:rsidRPr="00F54B01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στις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φαρμακοκινητικές παραμέτρους</w:t>
            </w:r>
            <w:r w:rsidRPr="00F54B01">
              <w:rPr>
                <w:rFonts w:ascii="Times New Roman" w:hAnsi="Times New Roman" w:cs="Times New Roman"/>
                <w:spacing w:val="-10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του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δαρουναβίρη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ριτοναβίρη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</w:p>
          <w:p w:rsidR="005B1F0A" w:rsidRDefault="005B1F0A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  <w:p w:rsidR="005B1F0A" w:rsidRDefault="005B1F0A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Τενοφοβίρη</w:t>
            </w:r>
            <w:r w:rsidR="00302B89"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02B89"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AUC: ↑</w:t>
            </w:r>
            <w:r w:rsidRPr="00F54B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22%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 ↑</w:t>
            </w:r>
            <w:r w:rsidRPr="00F54B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C5E77" w:rsidRDefault="00302B89" w:rsidP="005B1F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Δεν συνιστάται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αναπροσαρμογή της</w:t>
            </w:r>
            <w:r w:rsidRPr="00F54B01">
              <w:rPr>
                <w:rFonts w:ascii="Times New Roman" w:hAnsi="Times New Roman" w:cs="Times New Roman"/>
                <w:spacing w:val="-10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δόσης.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Η αυξημένη έκθεση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="005B1F0A">
              <w:rPr>
                <w:rFonts w:ascii="Times New Roman" w:hAnsi="Times New Roman" w:cs="Times New Roman"/>
                <w:sz w:val="20"/>
                <w:lang w:val="el-GR"/>
              </w:rPr>
              <w:t>της τενοφοβίρης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 θα μπορούσε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να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ενισχύσει τις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σχετιζόμενες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με </w:t>
            </w:r>
            <w:r w:rsidR="005B1F0A">
              <w:rPr>
                <w:rFonts w:ascii="Times New Roman" w:hAnsi="Times New Roman" w:cs="Times New Roman"/>
                <w:sz w:val="20"/>
                <w:lang w:val="el-GR"/>
              </w:rPr>
              <w:t>την τενοφοβίρη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ανεπιθύμητες</w:t>
            </w:r>
            <w:r w:rsidRPr="00F54B01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ενέργειες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συμπεριλαμβανομένων</w:t>
            </w:r>
            <w:r w:rsidRPr="00F54B01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και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των νεφρικών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διαταραχών.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Η νεφρική λειτουργία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πρέπει να</w:t>
            </w:r>
            <w:r w:rsidRPr="00FC5E77">
              <w:rPr>
                <w:rFonts w:ascii="Times New Roman" w:hAnsi="Times New Roman" w:cs="Times New Roman"/>
                <w:spacing w:val="-7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παρακολουθείται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στενά (βλ. παράγραφο</w:t>
            </w:r>
            <w:r w:rsidRPr="00FC5E77">
              <w:rPr>
                <w:rFonts w:ascii="Times New Roman" w:hAnsi="Times New Roman" w:cs="Times New Roman"/>
                <w:spacing w:val="-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4.4).</w:t>
            </w:r>
          </w:p>
        </w:tc>
      </w:tr>
      <w:tr w:rsidR="009D104A" w:rsidRPr="00F54B01" w:rsidTr="00203833">
        <w:trPr>
          <w:trHeight w:hRule="exact" w:val="241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NRTIs</w:t>
            </w:r>
          </w:p>
        </w:tc>
      </w:tr>
      <w:tr w:rsidR="005B1F0A" w:rsidRPr="00CA6D48" w:rsidTr="00203833">
        <w:trPr>
          <w:trHeight w:val="46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F0A" w:rsidRPr="00F54B01" w:rsidRDefault="00AA45B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Διδανοσίνη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F0A" w:rsidRPr="00F54B01" w:rsidRDefault="005B1F0A" w:rsidP="00B807B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Η συγχορήγηση </w:t>
            </w:r>
            <w:r w:rsidRPr="005B1F0A">
              <w:rPr>
                <w:rFonts w:ascii="Times New Roman" w:hAnsi="Times New Roman" w:cs="Times New Roman"/>
                <w:sz w:val="20"/>
                <w:lang w:val="el-GR"/>
              </w:rPr>
              <w:t>τενοφοβίρη</w:t>
            </w:r>
            <w:r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Pr="005B1F0A">
              <w:rPr>
                <w:rFonts w:ascii="Times New Roman" w:hAnsi="Times New Roman" w:cs="Times New Roman"/>
                <w:sz w:val="20"/>
                <w:lang w:val="el-GR"/>
              </w:rPr>
              <w:t xml:space="preserve"> δισοπρόξιλη</w:t>
            </w:r>
            <w:r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Pr="005B1F0A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με </w:t>
            </w:r>
            <w:r w:rsidR="00AA45B9" w:rsidRPr="00AA45B9">
              <w:rPr>
                <w:rFonts w:ascii="Times New Roman" w:hAnsi="Times New Roman" w:cs="Times New Roman"/>
                <w:sz w:val="20"/>
                <w:lang w:val="el-GR"/>
              </w:rPr>
              <w:t>διδανοσίνη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 οδηγεί σε</w:t>
            </w:r>
            <w:r w:rsidRPr="00F54B01">
              <w:rPr>
                <w:rFonts w:ascii="Times New Roman" w:hAnsi="Times New Roman" w:cs="Times New Roman"/>
                <w:spacing w:val="-1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κατά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40-60% αυξημένη συστηματική έκθεση</w:t>
            </w:r>
            <w:r w:rsidRPr="00F54B01">
              <w:rPr>
                <w:rFonts w:ascii="Times New Roman" w:hAnsi="Times New Roman" w:cs="Times New Roman"/>
                <w:spacing w:val="-12"/>
                <w:sz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l-GR"/>
              </w:rPr>
              <w:t>στ</w:t>
            </w:r>
            <w:r w:rsidR="00B807B9">
              <w:rPr>
                <w:rFonts w:ascii="Times New Roman" w:hAnsi="Times New Roman" w:cs="Times New Roman"/>
                <w:sz w:val="20"/>
                <w:lang w:val="el-GR"/>
              </w:rPr>
              <w:t>η</w:t>
            </w:r>
            <w:r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AA45B9" w:rsidRPr="00AA45B9">
              <w:rPr>
                <w:rFonts w:ascii="Times New Roman" w:hAnsi="Times New Roman" w:cs="Times New Roman"/>
                <w:sz w:val="20"/>
                <w:lang w:val="el-GR"/>
              </w:rPr>
              <w:t>διδανοσίνη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, που μπορεί να αυξήσει</w:t>
            </w:r>
            <w:r w:rsidRPr="00F54B01">
              <w:rPr>
                <w:rFonts w:ascii="Times New Roman" w:hAnsi="Times New Roman" w:cs="Times New Roman"/>
                <w:spacing w:val="-8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τον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κίνδυνο ανεπιθύμητων ενεργειών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συσχετιζόμενων με </w:t>
            </w:r>
            <w:r>
              <w:rPr>
                <w:rFonts w:ascii="Times New Roman" w:hAnsi="Times New Roman" w:cs="Times New Roman"/>
                <w:sz w:val="20"/>
                <w:lang w:val="el-GR"/>
              </w:rPr>
              <w:t>τ</w:t>
            </w:r>
            <w:r w:rsidR="00B807B9">
              <w:rPr>
                <w:rFonts w:ascii="Times New Roman" w:hAnsi="Times New Roman" w:cs="Times New Roman"/>
                <w:sz w:val="20"/>
                <w:lang w:val="el-GR"/>
              </w:rPr>
              <w:t>η</w:t>
            </w:r>
            <w:r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AA45B9" w:rsidRPr="00AA45B9">
              <w:rPr>
                <w:rFonts w:ascii="Times New Roman" w:hAnsi="Times New Roman" w:cs="Times New Roman"/>
                <w:sz w:val="20"/>
                <w:lang w:val="el-GR"/>
              </w:rPr>
              <w:t>διδανοσίνη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Pr="00F54B01">
              <w:rPr>
                <w:rFonts w:ascii="Times New Roman" w:hAnsi="Times New Roman" w:cs="Times New Roman"/>
                <w:spacing w:val="-11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Σπάνια,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έχουν αναφερθεί παγκρεατίτιδα</w:t>
            </w:r>
            <w:r w:rsidRPr="00F54B01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και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γαλακτική οξέωση, ενίοτε μοιραία.</w:t>
            </w:r>
            <w:r w:rsidRPr="00F54B01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Η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συγχορήγηση </w:t>
            </w:r>
            <w:r w:rsidR="008F5831">
              <w:rPr>
                <w:rFonts w:ascii="Times New Roman" w:hAnsi="Times New Roman" w:cs="Times New Roman"/>
                <w:sz w:val="20"/>
                <w:lang w:val="el-GR"/>
              </w:rPr>
              <w:t xml:space="preserve">της </w:t>
            </w:r>
            <w:r w:rsidR="008F5831" w:rsidRPr="008F5831">
              <w:rPr>
                <w:rFonts w:ascii="Times New Roman" w:hAnsi="Times New Roman" w:cs="Times New Roman"/>
                <w:sz w:val="20"/>
                <w:lang w:val="el-GR"/>
              </w:rPr>
              <w:t>τενοφοβίρη</w:t>
            </w:r>
            <w:r w:rsidR="008F5831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="008F5831" w:rsidRPr="008F5831">
              <w:rPr>
                <w:rFonts w:ascii="Times New Roman" w:hAnsi="Times New Roman" w:cs="Times New Roman"/>
                <w:sz w:val="20"/>
                <w:lang w:val="el-GR"/>
              </w:rPr>
              <w:t xml:space="preserve"> δισοπρόξιλη</w:t>
            </w:r>
            <w:r w:rsidR="008F5831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 με </w:t>
            </w:r>
            <w:r w:rsidR="00AA45B9" w:rsidRPr="00AA45B9">
              <w:rPr>
                <w:rFonts w:ascii="Times New Roman" w:hAnsi="Times New Roman" w:cs="Times New Roman"/>
                <w:sz w:val="20"/>
                <w:lang w:val="el-GR"/>
              </w:rPr>
              <w:t>διδανοσίνη</w:t>
            </w:r>
            <w:r w:rsidR="008F5831"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σε δόση 400</w:t>
            </w:r>
            <w:r w:rsidRPr="00F54B01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mg</w:t>
            </w:r>
            <w:r w:rsidRPr="00F54B01">
              <w:rPr>
                <w:rFonts w:ascii="Times New Roman" w:hAnsi="Times New Roman" w:cs="Times New Roman"/>
                <w:spacing w:val="-2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ημερησίως συσχετίστηκε με</w:t>
            </w:r>
            <w:r w:rsidRPr="00F54B01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σημαντική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μείωση του αριθμού κυττάρων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CD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4,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πιθανώς λόγω ενδοκυττάριας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381232">
              <w:rPr>
                <w:rFonts w:ascii="Times New Roman" w:hAnsi="Times New Roman" w:cs="Times New Roman"/>
                <w:sz w:val="20"/>
                <w:lang w:val="el-GR"/>
              </w:rPr>
              <w:t>αλληλεπίδρασης εξ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αιτίας της οποίας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αυξήθηκε </w:t>
            </w:r>
            <w:r w:rsidR="008F5831">
              <w:rPr>
                <w:rFonts w:ascii="Times New Roman" w:hAnsi="Times New Roman" w:cs="Times New Roman"/>
                <w:sz w:val="20"/>
                <w:lang w:val="el-GR"/>
              </w:rPr>
              <w:t>το</w:t>
            </w:r>
            <w:r w:rsidR="008F5831"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 φωσφορυλιωμέν</w:t>
            </w:r>
            <w:r w:rsidR="008F5831">
              <w:rPr>
                <w:rFonts w:ascii="Times New Roman" w:hAnsi="Times New Roman" w:cs="Times New Roman"/>
                <w:sz w:val="20"/>
                <w:lang w:val="el-GR"/>
              </w:rPr>
              <w:t>ο</w:t>
            </w:r>
            <w:r w:rsidR="008F5831"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(δηλ.</w:t>
            </w:r>
            <w:r w:rsidRPr="00F54B01">
              <w:rPr>
                <w:rFonts w:ascii="Times New Roman" w:hAnsi="Times New Roman" w:cs="Times New Roman"/>
                <w:spacing w:val="-10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η</w:t>
            </w:r>
            <w:r w:rsidR="008F5831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δραστική) </w:t>
            </w:r>
            <w:r w:rsidR="00AA45B9" w:rsidRPr="00AA45B9">
              <w:rPr>
                <w:rFonts w:ascii="Times New Roman" w:hAnsi="Times New Roman" w:cs="Times New Roman"/>
                <w:sz w:val="20"/>
                <w:lang w:val="el-GR"/>
              </w:rPr>
              <w:t>διδανοσίνη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. Μια μειωμένη</w:t>
            </w:r>
            <w:r w:rsidRPr="00F54B01">
              <w:rPr>
                <w:rFonts w:ascii="Times New Roman" w:hAnsi="Times New Roman" w:cs="Times New Roman"/>
                <w:spacing w:val="-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δόση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των 250 </w:t>
            </w:r>
            <w:r w:rsidRPr="00F54B01">
              <w:rPr>
                <w:rFonts w:ascii="Times New Roman" w:hAnsi="Times New Roman" w:cs="Times New Roman"/>
                <w:sz w:val="20"/>
              </w:rPr>
              <w:t>mg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AA45B9" w:rsidRPr="00AA45B9">
              <w:rPr>
                <w:rFonts w:ascii="Times New Roman" w:hAnsi="Times New Roman" w:cs="Times New Roman"/>
                <w:sz w:val="20"/>
                <w:lang w:val="el-GR"/>
              </w:rPr>
              <w:t>διδανοσίνη</w:t>
            </w:r>
            <w:r w:rsidR="00B807B9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="008F5831" w:rsidRPr="00F54B01">
              <w:rPr>
                <w:rFonts w:ascii="Times New Roman" w:hAnsi="Times New Roman" w:cs="Times New Roman"/>
                <w:spacing w:val="-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συγχορηγούμενης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με θεραπεία </w:t>
            </w:r>
            <w:r w:rsidR="008F5831" w:rsidRPr="008F5831">
              <w:rPr>
                <w:rFonts w:ascii="Times New Roman" w:hAnsi="Times New Roman" w:cs="Times New Roman"/>
                <w:sz w:val="20"/>
                <w:lang w:val="el-GR"/>
              </w:rPr>
              <w:t>τενοφοβίρη</w:t>
            </w:r>
            <w:r w:rsidR="008F5831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="008F5831" w:rsidRPr="008F5831">
              <w:rPr>
                <w:rFonts w:ascii="Times New Roman" w:hAnsi="Times New Roman" w:cs="Times New Roman"/>
                <w:sz w:val="20"/>
                <w:lang w:val="el-GR"/>
              </w:rPr>
              <w:t xml:space="preserve"> δισοπρόξιλη</w:t>
            </w:r>
            <w:r w:rsidR="008F5831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συσχετίστηκε με αναφορές</w:t>
            </w:r>
            <w:r w:rsidRPr="00F54B01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υψηλού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ποσοστού ιολογικής αποτυχίας με</w:t>
            </w:r>
            <w:r w:rsidRPr="00F54B01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τους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διάφορους συνδυασμούς που</w:t>
            </w:r>
            <w:r w:rsidRPr="00F54B01">
              <w:rPr>
                <w:rFonts w:ascii="Times New Roman" w:hAnsi="Times New Roman" w:cs="Times New Roman"/>
                <w:spacing w:val="-1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δοκιμάστηκαν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για τη θεραπεία της λοίμωξης από</w:t>
            </w:r>
            <w:r w:rsidRPr="00F54B01">
              <w:rPr>
                <w:rFonts w:ascii="Times New Roman" w:hAnsi="Times New Roman" w:cs="Times New Roman"/>
                <w:spacing w:val="-1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τον</w:t>
            </w:r>
            <w:r w:rsidR="008F5831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ιό</w:t>
            </w:r>
            <w:r w:rsidRPr="00FC5E77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HIV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-1.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F0A" w:rsidRPr="00FC5E77" w:rsidRDefault="005B1F0A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Η συγχορήγηση</w:t>
            </w:r>
            <w:r w:rsidRPr="00F54B01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="008F5831" w:rsidRPr="008F5831">
              <w:rPr>
                <w:rFonts w:ascii="Times New Roman" w:hAnsi="Times New Roman" w:cs="Times New Roman"/>
                <w:sz w:val="20"/>
                <w:lang w:val="el-GR"/>
              </w:rPr>
              <w:t>τενοφοβίρη</w:t>
            </w:r>
            <w:r w:rsidR="008F5831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="008F5831" w:rsidRPr="008F5831">
              <w:rPr>
                <w:rFonts w:ascii="Times New Roman" w:hAnsi="Times New Roman" w:cs="Times New Roman"/>
                <w:sz w:val="20"/>
                <w:lang w:val="el-GR"/>
              </w:rPr>
              <w:t xml:space="preserve"> δισοπρόξιλη</w:t>
            </w:r>
            <w:r w:rsidR="008F5831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="008F5831" w:rsidRPr="008F5831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με </w:t>
            </w:r>
            <w:r w:rsidR="00AA45B9" w:rsidRPr="00AA45B9">
              <w:rPr>
                <w:rFonts w:ascii="Times New Roman" w:hAnsi="Times New Roman" w:cs="Times New Roman"/>
                <w:sz w:val="20"/>
                <w:lang w:val="el-GR"/>
              </w:rPr>
              <w:t>διδανοσίνη</w:t>
            </w:r>
            <w:r w:rsidR="008F5831" w:rsidRPr="00F54B01">
              <w:rPr>
                <w:rFonts w:ascii="Times New Roman" w:hAnsi="Times New Roman" w:cs="Times New Roman"/>
                <w:spacing w:val="-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συνιστάται</w:t>
            </w:r>
            <w:r w:rsidRPr="00F54B01">
              <w:rPr>
                <w:rFonts w:ascii="Times New Roman" w:hAnsi="Times New Roman" w:cs="Times New Roman"/>
                <w:spacing w:val="-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(βλ.</w:t>
            </w:r>
            <w:r w:rsidR="008F5831" w:rsidRPr="00FC5E77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παράγραφο</w:t>
            </w:r>
            <w:r w:rsidRPr="00FC5E77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4.4).</w:t>
            </w:r>
          </w:p>
        </w:tc>
      </w:tr>
      <w:tr w:rsidR="009D104A" w:rsidRPr="00CA6D48" w:rsidTr="00203833">
        <w:trPr>
          <w:trHeight w:hRule="exact" w:val="11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AA45B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Αδεφοβίρη διπιβοξίλη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AUC:</w:t>
            </w:r>
            <w:r w:rsidRPr="00F54B0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C5E77" w:rsidRDefault="008F5831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lang w:val="el-GR"/>
              </w:rPr>
              <w:t xml:space="preserve">Η </w:t>
            </w:r>
            <w:r w:rsidR="00CF210F">
              <w:rPr>
                <w:rFonts w:ascii="Times New Roman" w:hAnsi="Times New Roman" w:cs="Times New Roman"/>
                <w:sz w:val="20"/>
                <w:lang w:val="el-GR"/>
              </w:rPr>
              <w:t xml:space="preserve">τενοφοβίρη δισοπρόξιλη (ως ηλεκτρική) </w:t>
            </w:r>
            <w:r w:rsidR="00302B89" w:rsidRPr="00FC5E77">
              <w:rPr>
                <w:rFonts w:ascii="Times New Roman" w:hAnsi="Times New Roman" w:cs="Times New Roman"/>
                <w:sz w:val="20"/>
                <w:lang w:val="el-GR"/>
              </w:rPr>
              <w:t>δεν πρέπει</w:t>
            </w:r>
            <w:r w:rsidR="00302B89" w:rsidRPr="00FC5E77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="00302B89" w:rsidRPr="00FC5E77">
              <w:rPr>
                <w:rFonts w:ascii="Times New Roman" w:hAnsi="Times New Roman" w:cs="Times New Roman"/>
                <w:sz w:val="20"/>
                <w:lang w:val="el-GR"/>
              </w:rPr>
              <w:t>να</w:t>
            </w:r>
            <w:r w:rsidR="00302B89"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302B89" w:rsidRPr="00FC5E77">
              <w:rPr>
                <w:rFonts w:ascii="Times New Roman" w:hAnsi="Times New Roman" w:cs="Times New Roman"/>
                <w:sz w:val="20"/>
                <w:lang w:val="el-GR"/>
              </w:rPr>
              <w:t>συγχορηγείται με</w:t>
            </w:r>
            <w:r w:rsidR="00302B89" w:rsidRPr="00FC5E77">
              <w:rPr>
                <w:rFonts w:ascii="Times New Roman" w:hAnsi="Times New Roman" w:cs="Times New Roman"/>
                <w:spacing w:val="-7"/>
                <w:sz w:val="20"/>
                <w:lang w:val="el-GR"/>
              </w:rPr>
              <w:t xml:space="preserve"> </w:t>
            </w:r>
            <w:r w:rsidR="00AA45B9" w:rsidRPr="00AA45B9">
              <w:rPr>
                <w:rFonts w:ascii="Times New Roman" w:hAnsi="Times New Roman" w:cs="Times New Roman"/>
                <w:sz w:val="20"/>
                <w:lang w:val="el-GR"/>
              </w:rPr>
              <w:t>αδεφοβίρη διπιβοξίλη</w:t>
            </w:r>
            <w:r w:rsidR="00302B89" w:rsidRPr="00FC5E77">
              <w:rPr>
                <w:rFonts w:ascii="Times New Roman" w:hAnsi="Times New Roman" w:cs="Times New Roman"/>
                <w:spacing w:val="-9"/>
                <w:sz w:val="20"/>
                <w:lang w:val="el-GR"/>
              </w:rPr>
              <w:t xml:space="preserve"> </w:t>
            </w:r>
            <w:r w:rsidR="00302B89" w:rsidRPr="00FC5E77">
              <w:rPr>
                <w:rFonts w:ascii="Times New Roman" w:hAnsi="Times New Roman" w:cs="Times New Roman"/>
                <w:sz w:val="20"/>
                <w:lang w:val="el-GR"/>
              </w:rPr>
              <w:t>(βλ.</w:t>
            </w:r>
            <w:r w:rsidR="00446AA7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FC5E77">
              <w:rPr>
                <w:rFonts w:ascii="Times New Roman" w:hAnsi="Times New Roman" w:cs="Times New Roman"/>
                <w:sz w:val="20"/>
                <w:lang w:val="el-GR"/>
              </w:rPr>
              <w:t>παράγραφο</w:t>
            </w:r>
            <w:r w:rsidR="00302B89" w:rsidRPr="00FC5E77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="00302B89" w:rsidRPr="00FC5E77">
              <w:rPr>
                <w:rFonts w:ascii="Times New Roman" w:hAnsi="Times New Roman" w:cs="Times New Roman"/>
                <w:sz w:val="20"/>
                <w:lang w:val="el-GR"/>
              </w:rPr>
              <w:t>4.4).</w:t>
            </w:r>
          </w:p>
        </w:tc>
      </w:tr>
      <w:tr w:rsidR="009D104A" w:rsidRPr="00CA6D48" w:rsidTr="00203833">
        <w:trPr>
          <w:trHeight w:hRule="exact" w:val="240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Αντιικοί παράγοντες για τον ιό της ηπατίτιδας</w:t>
            </w:r>
            <w:r w:rsidRPr="00F54B01">
              <w:rPr>
                <w:rFonts w:ascii="Times New Roman" w:hAnsi="Times New Roman" w:cs="Times New Roman"/>
                <w:b/>
                <w:spacing w:val="-15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</w:tr>
      <w:tr w:rsidR="009D104A" w:rsidRPr="00CA6D48" w:rsidTr="00203833">
        <w:trPr>
          <w:trHeight w:hRule="exact" w:val="760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lastRenderedPageBreak/>
              <w:t>Λεδιπασβίρη/σοφοσμπουβίρη</w:t>
            </w:r>
            <w:r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(90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/400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q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d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.)</w:t>
            </w:r>
            <w:r w:rsidR="00302B89" w:rsidRPr="00203833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="00302B89" w:rsidRPr="00CA6D48">
              <w:rPr>
                <w:rFonts w:ascii="Times New Roman" w:hAnsi="Times New Roman" w:cs="Times New Roman"/>
                <w:sz w:val="20"/>
                <w:lang w:val="el-GR"/>
              </w:rPr>
              <w:t>+</w:t>
            </w:r>
          </w:p>
          <w:p w:rsidR="009D104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Αταζαναβίρη</w:t>
            </w:r>
            <w:r w:rsidR="00302B89" w:rsidRPr="00CA6D48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Ριτοναβίρη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(300 </w:t>
            </w:r>
            <w:r w:rsidRPr="00F54B01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q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Pr="00F54B01">
              <w:rPr>
                <w:rFonts w:ascii="Times New Roman" w:hAnsi="Times New Roman" w:cs="Times New Roman"/>
                <w:sz w:val="20"/>
              </w:rPr>
              <w:t>d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./100 </w:t>
            </w:r>
            <w:r w:rsidRPr="00F54B01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q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Pr="00F54B01">
              <w:rPr>
                <w:rFonts w:ascii="Times New Roman" w:hAnsi="Times New Roman" w:cs="Times New Roman"/>
                <w:sz w:val="20"/>
              </w:rPr>
              <w:t>d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.)</w:t>
            </w:r>
            <w:r w:rsidRPr="00CA6D48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+</w:t>
            </w:r>
            <w:r w:rsidRPr="00CA6D48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CA6D48">
              <w:rPr>
                <w:rFonts w:ascii="Times New Roman" w:hAnsi="Times New Roman" w:cs="Times New Roman"/>
                <w:sz w:val="20"/>
                <w:lang w:val="el-GR"/>
              </w:rPr>
              <w:t>Εμτρισιταβίνη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="00643ECB" w:rsidRPr="00CA6D48">
              <w:rPr>
                <w:rFonts w:ascii="Times New Roman" w:hAnsi="Times New Roman" w:cs="Times New Roman"/>
                <w:sz w:val="20"/>
                <w:lang w:val="el-GR"/>
              </w:rPr>
              <w:t>Τενοφοβίρη δισοπρόξιλη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 xml:space="preserve">(ως </w:t>
            </w:r>
            <w:r w:rsidR="003C6E3B" w:rsidRPr="00203833">
              <w:rPr>
                <w:rFonts w:ascii="Times New Roman" w:hAnsi="Times New Roman" w:cs="Times New Roman"/>
                <w:sz w:val="20"/>
                <w:lang w:val="el-GR"/>
              </w:rPr>
              <w:t>ηλεκτρική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>)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el-GR"/>
              </w:rPr>
            </w:pP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(200 </w:t>
            </w:r>
            <w:r w:rsidRPr="00F54B01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/300 </w:t>
            </w:r>
            <w:r w:rsidRPr="00F54B01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q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Pr="00F54B01">
              <w:rPr>
                <w:rFonts w:ascii="Times New Roman" w:hAnsi="Times New Roman" w:cs="Times New Roman"/>
                <w:sz w:val="20"/>
              </w:rPr>
              <w:t>d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.)</w:t>
            </w:r>
            <w:r w:rsidRPr="00CA6D48">
              <w:rPr>
                <w:rFonts w:ascii="Times New Roman" w:hAnsi="Times New Roman" w:cs="Times New Roman"/>
                <w:position w:val="9"/>
                <w:sz w:val="13"/>
                <w:lang w:val="el-GR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A7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Λεδιπασβίρη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96%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68%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CA6D4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118%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46AA7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Σοφοσμπουβίρη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446AA7" w:rsidRPr="00CA6D48" w:rsidRDefault="00446AA7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  <w:p w:rsidR="00446AA7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-331007</w:t>
            </w:r>
            <w:r w:rsidRPr="00CA6D48"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  <w:lang w:val="el-GR"/>
              </w:rPr>
              <w:t>2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B6730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42%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B6730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Αταζαναβίρη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B6730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63%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B6730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Ριτοναβίρη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B6730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45%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B6730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Εμτρισιταβίνη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B6730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B6730A" w:rsidRPr="00CA6D48" w:rsidRDefault="00B6730A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Τενοφοβίρη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B6730A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B6730A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B673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B6730A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47%</w:t>
            </w:r>
          </w:p>
          <w:p w:rsidR="009D104A" w:rsidRPr="00B6730A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B6730A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B673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B6730A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47%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Οι</w:t>
            </w:r>
            <w:r w:rsidRPr="00B6730A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αυξημένες</w:t>
            </w:r>
            <w:r w:rsidRPr="00B6730A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συγκεντρώσεις</w:t>
            </w:r>
            <w:r w:rsidRPr="00B6730A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="00B6730A">
              <w:rPr>
                <w:rFonts w:ascii="Times New Roman" w:hAnsi="Times New Roman" w:cs="Times New Roman"/>
                <w:sz w:val="20"/>
                <w:lang w:val="el-GR"/>
              </w:rPr>
              <w:t>της</w:t>
            </w:r>
            <w:r w:rsidR="00B6730A" w:rsidRPr="00B6730A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B6730A">
              <w:rPr>
                <w:rFonts w:ascii="Times New Roman" w:hAnsi="Times New Roman" w:cs="Times New Roman"/>
                <w:sz w:val="20"/>
                <w:lang w:val="el-GR"/>
              </w:rPr>
              <w:t>τενοφοβίρης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 xml:space="preserve"> στο πλάσμα</w:t>
            </w:r>
            <w:r w:rsidRPr="00B6730A">
              <w:rPr>
                <w:rFonts w:ascii="Times New Roman" w:hAnsi="Times New Roman" w:cs="Times New Roman"/>
                <w:spacing w:val="-6"/>
                <w:sz w:val="20"/>
                <w:lang w:val="el-GR"/>
              </w:rPr>
              <w:t xml:space="preserve"> 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που</w:t>
            </w:r>
            <w:r w:rsidRPr="00B6730A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είναι αποτέλεσμα</w:t>
            </w:r>
            <w:r w:rsidRPr="00B6730A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της</w:t>
            </w:r>
            <w:r w:rsidRPr="00B6730A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B6730A" w:rsidRPr="00B6730A">
              <w:rPr>
                <w:rFonts w:ascii="Times New Roman" w:hAnsi="Times New Roman" w:cs="Times New Roman"/>
                <w:sz w:val="20"/>
                <w:lang w:val="el-GR"/>
              </w:rPr>
              <w:t>τενοφοβίρη</w:t>
            </w:r>
            <w:r w:rsidR="00B6730A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="00B6730A" w:rsidRPr="00B6730A">
              <w:rPr>
                <w:rFonts w:ascii="Times New Roman" w:hAnsi="Times New Roman" w:cs="Times New Roman"/>
                <w:sz w:val="20"/>
                <w:lang w:val="el-GR"/>
              </w:rPr>
              <w:t xml:space="preserve"> δισοπρόξιλη</w:t>
            </w:r>
            <w:r w:rsidR="00B6730A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,</w:t>
            </w:r>
            <w:r w:rsidRPr="00B6730A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λεδιπασβίρη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/σοφοσμπουβίρη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 xml:space="preserve">ς 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και</w:t>
            </w:r>
            <w:r w:rsidRPr="00B6730A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αταζαναβίρη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ριτοναβίρη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,</w:t>
            </w:r>
            <w:r w:rsidRPr="00B6730A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δύναται να αυξήσουν</w:t>
            </w:r>
            <w:r w:rsidRPr="00B6730A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τις</w:t>
            </w:r>
            <w:r w:rsidRPr="00B6730A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ανεπιθύμητες</w:t>
            </w:r>
            <w:r w:rsidRPr="00B6730A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ενέργειες</w:t>
            </w:r>
            <w:r w:rsidRPr="00B6730A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που σχετίζονται με</w:t>
            </w:r>
            <w:r w:rsidRPr="00B6730A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="00B6730A" w:rsidRPr="00B6730A">
              <w:rPr>
                <w:rFonts w:ascii="Times New Roman" w:hAnsi="Times New Roman" w:cs="Times New Roman"/>
                <w:sz w:val="20"/>
                <w:lang w:val="el-GR"/>
              </w:rPr>
              <w:t>τ</w:t>
            </w:r>
            <w:r w:rsidR="00B6730A">
              <w:rPr>
                <w:rFonts w:ascii="Times New Roman" w:hAnsi="Times New Roman" w:cs="Times New Roman"/>
                <w:sz w:val="20"/>
                <w:lang w:val="el-GR"/>
              </w:rPr>
              <w:t>ην</w:t>
            </w:r>
            <w:r w:rsidR="00B6730A" w:rsidRPr="00B6730A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B6730A" w:rsidRPr="00B6730A">
              <w:rPr>
                <w:rFonts w:ascii="Times New Roman" w:hAnsi="Times New Roman" w:cs="Times New Roman"/>
                <w:sz w:val="20"/>
                <w:lang w:val="el-GR"/>
              </w:rPr>
              <w:t>τενοφοβίρη δισοπρόξιλη</w:t>
            </w:r>
            <w:r w:rsidRPr="00B6730A">
              <w:rPr>
                <w:rFonts w:ascii="Times New Roman" w:hAnsi="Times New Roman" w:cs="Times New Roman"/>
                <w:sz w:val="20"/>
                <w:lang w:val="el-GR"/>
              </w:rPr>
              <w:t>,</w:t>
            </w:r>
            <w:r w:rsidR="00B6730A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συμπεριλαμβανομένων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των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νεφρικών διαταραχών.</w:t>
            </w:r>
            <w:r w:rsidRPr="00F54B01">
              <w:rPr>
                <w:rFonts w:ascii="Times New Roman" w:hAnsi="Times New Roman" w:cs="Times New Roman"/>
                <w:spacing w:val="-6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έχει αποδειχθεί η</w:t>
            </w:r>
            <w:r w:rsidRPr="00F54B01">
              <w:rPr>
                <w:rFonts w:ascii="Times New Roman" w:hAnsi="Times New Roman" w:cs="Times New Roman"/>
                <w:spacing w:val="-8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ασφάλεια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B6730A">
              <w:rPr>
                <w:rFonts w:ascii="Times New Roman" w:hAnsi="Times New Roman" w:cs="Times New Roman"/>
                <w:sz w:val="20"/>
                <w:lang w:val="el-GR"/>
              </w:rPr>
              <w:t xml:space="preserve">της </w:t>
            </w:r>
            <w:r w:rsidR="00B6730A" w:rsidRPr="00B6730A">
              <w:rPr>
                <w:rFonts w:ascii="Times New Roman" w:hAnsi="Times New Roman" w:cs="Times New Roman"/>
                <w:sz w:val="20"/>
                <w:lang w:val="el-GR"/>
              </w:rPr>
              <w:t>τενοφοβίρη</w:t>
            </w:r>
            <w:r w:rsidR="00B6730A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="00B6730A" w:rsidRPr="00B6730A">
              <w:rPr>
                <w:rFonts w:ascii="Times New Roman" w:hAnsi="Times New Roman" w:cs="Times New Roman"/>
                <w:sz w:val="20"/>
                <w:lang w:val="el-GR"/>
              </w:rPr>
              <w:t xml:space="preserve"> δισοπρόξιλη</w:t>
            </w:r>
            <w:r w:rsidR="00B6730A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 όταν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χρησιμοποιείται μαζί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με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λεδιπασβίρη/σοφοσμπουβίρη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και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κάποιον</w:t>
            </w:r>
            <w:r w:rsidRPr="00F54B01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φαρμακοκινητικό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ενισχυτή (π.χ.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ριτοναβίρη</w:t>
            </w:r>
            <w:r w:rsidRPr="00F54B01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ή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κοβισιστάτη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).</w:t>
            </w:r>
          </w:p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Ο συνδυασμός θα</w:t>
            </w:r>
            <w:r w:rsidRPr="00F54B01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πρέπει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να χρησιμοποιείται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με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προσοχή και με</w:t>
            </w:r>
            <w:r w:rsidRPr="00F54B01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συχνή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νεφρική</w:t>
            </w:r>
            <w:r w:rsidRPr="00F54B01">
              <w:rPr>
                <w:rFonts w:ascii="Times New Roman" w:hAnsi="Times New Roman" w:cs="Times New Roman"/>
                <w:spacing w:val="-7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παρακολούθηση,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εφόσον δεν υπάρχουν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διαθέσιμες</w:t>
            </w:r>
            <w:r w:rsidRPr="00F54B01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άλλες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εναλλακτικές</w:t>
            </w:r>
            <w:r w:rsidRPr="00F54B01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επιλογές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(βλ. παράγραφο</w:t>
            </w:r>
            <w:r w:rsidRPr="00F54B01">
              <w:rPr>
                <w:rFonts w:ascii="Times New Roman" w:hAnsi="Times New Roman" w:cs="Times New Roman"/>
                <w:spacing w:val="-6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4.4).</w:t>
            </w:r>
          </w:p>
        </w:tc>
      </w:tr>
      <w:tr w:rsidR="009D104A" w:rsidRPr="00CA6D48" w:rsidTr="00203833">
        <w:trPr>
          <w:trHeight w:hRule="exact" w:val="76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lastRenderedPageBreak/>
              <w:t>Λεδιπασβίρη/σοφοσμπουβίρη</w:t>
            </w:r>
            <w:r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(90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/400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q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d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.)</w:t>
            </w:r>
            <w:r w:rsidR="00302B89" w:rsidRPr="00203833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="00302B89" w:rsidRPr="00CA6D48">
              <w:rPr>
                <w:rFonts w:ascii="Times New Roman" w:hAnsi="Times New Roman" w:cs="Times New Roman"/>
                <w:sz w:val="20"/>
                <w:lang w:val="el-GR"/>
              </w:rPr>
              <w:t>+</w:t>
            </w:r>
          </w:p>
          <w:p w:rsidR="009D104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Δαρουναβίρη</w:t>
            </w:r>
            <w:r w:rsidR="00302B89" w:rsidRPr="00CA6D48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Ριτοναβίρη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(800 </w:t>
            </w:r>
            <w:r w:rsidRPr="00F54B01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q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Pr="00F54B01">
              <w:rPr>
                <w:rFonts w:ascii="Times New Roman" w:hAnsi="Times New Roman" w:cs="Times New Roman"/>
                <w:sz w:val="20"/>
              </w:rPr>
              <w:t>d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./100 </w:t>
            </w:r>
            <w:r w:rsidRPr="00F54B01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q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Pr="00F54B01">
              <w:rPr>
                <w:rFonts w:ascii="Times New Roman" w:hAnsi="Times New Roman" w:cs="Times New Roman"/>
                <w:sz w:val="20"/>
              </w:rPr>
              <w:t>d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.)</w:t>
            </w:r>
            <w:r w:rsidRPr="00CA6D48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+</w:t>
            </w:r>
            <w:r w:rsidRPr="00CA6D48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CA6D48">
              <w:rPr>
                <w:rFonts w:ascii="Times New Roman" w:hAnsi="Times New Roman" w:cs="Times New Roman"/>
                <w:sz w:val="20"/>
                <w:lang w:val="el-GR"/>
              </w:rPr>
              <w:t>Εμτρισιταβίνη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="00643ECB" w:rsidRPr="00CA6D48">
              <w:rPr>
                <w:rFonts w:ascii="Times New Roman" w:hAnsi="Times New Roman" w:cs="Times New Roman"/>
                <w:sz w:val="20"/>
                <w:lang w:val="el-GR"/>
              </w:rPr>
              <w:t>Τενοφοβίρη δισοπρόξιλη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 xml:space="preserve">(ως </w:t>
            </w:r>
            <w:r w:rsidR="003C6E3B" w:rsidRPr="00203833">
              <w:rPr>
                <w:rFonts w:ascii="Times New Roman" w:hAnsi="Times New Roman" w:cs="Times New Roman"/>
                <w:sz w:val="20"/>
                <w:lang w:val="el-GR"/>
              </w:rPr>
              <w:t>ηλεκτρική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>)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el-GR"/>
              </w:rPr>
            </w:pP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(200 </w:t>
            </w:r>
            <w:r w:rsidRPr="00F54B01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/300 </w:t>
            </w:r>
            <w:r w:rsidRPr="00F54B01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q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Pr="00F54B01">
              <w:rPr>
                <w:rFonts w:ascii="Times New Roman" w:hAnsi="Times New Roman" w:cs="Times New Roman"/>
                <w:sz w:val="20"/>
              </w:rPr>
              <w:t>d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.)</w:t>
            </w:r>
            <w:r w:rsidRPr="00CA6D48">
              <w:rPr>
                <w:rFonts w:ascii="Times New Roman" w:hAnsi="Times New Roman" w:cs="Times New Roman"/>
                <w:b/>
                <w:position w:val="9"/>
                <w:sz w:val="13"/>
                <w:lang w:val="el-GR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0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Λεδιπασβίρη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B6730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B6730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Σοφοσμπουβίρη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↓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27%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↓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37%</w:t>
            </w:r>
          </w:p>
          <w:p w:rsidR="00B6730A" w:rsidRPr="00CA6D48" w:rsidRDefault="00B6730A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  <w:p w:rsidR="00B6730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-331007</w:t>
            </w:r>
            <w:r w:rsidRPr="00CA6D48"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  <w:lang w:val="el-GR"/>
              </w:rPr>
              <w:t>2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B6730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B6730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Δαρουναβίρη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B6730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B6730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Ριτοναβίρη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B6730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48%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B6730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Εμτρισιταβίνη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B6730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B6730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Τενοφοβίρη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50%</w:t>
            </w:r>
          </w:p>
          <w:p w:rsidR="009D104A" w:rsidRPr="00FC5E77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FC5E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64%</w:t>
            </w:r>
          </w:p>
          <w:p w:rsidR="009D104A" w:rsidRPr="00B6730A" w:rsidRDefault="00302B89" w:rsidP="00FE43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FC5E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59%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Οι</w:t>
            </w:r>
            <w:r w:rsidRPr="008809ED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αυξημένες</w:t>
            </w:r>
            <w:r w:rsidRPr="008809ED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 xml:space="preserve">συγκεντρώσεις </w:t>
            </w:r>
            <w:r w:rsidR="00FE43C0">
              <w:rPr>
                <w:rFonts w:ascii="Times New Roman" w:hAnsi="Times New Roman" w:cs="Times New Roman"/>
                <w:sz w:val="20"/>
                <w:lang w:val="el-GR"/>
              </w:rPr>
              <w:t>της τενοφοβίρης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 xml:space="preserve"> στο πλάσμα</w:t>
            </w:r>
            <w:r w:rsidRPr="008809ED">
              <w:rPr>
                <w:rFonts w:ascii="Times New Roman" w:hAnsi="Times New Roman" w:cs="Times New Roman"/>
                <w:spacing w:val="-6"/>
                <w:sz w:val="20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που</w:t>
            </w:r>
            <w:r w:rsidRPr="008809ED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είναι αποτέλεσμα</w:t>
            </w:r>
            <w:r w:rsidRPr="008809ED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της</w:t>
            </w:r>
            <w:r w:rsidRPr="008809ED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συγχορήγησης</w:t>
            </w:r>
            <w:r w:rsidRPr="008809ED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="00FE43C0">
              <w:rPr>
                <w:rFonts w:ascii="Times New Roman" w:hAnsi="Times New Roman" w:cs="Times New Roman"/>
                <w:sz w:val="20"/>
                <w:lang w:val="el-GR"/>
              </w:rPr>
              <w:t>τενοφοβίρης δισοπρόξιλης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,</w:t>
            </w:r>
            <w:r w:rsidRPr="008809ED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λεδιπασβίρη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/σοφοσμπουβίρη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 xml:space="preserve">ς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και</w:t>
            </w:r>
            <w:r w:rsidRPr="008809ED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δαρουναβίρη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ριτοναβίρη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>ς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,</w:t>
            </w:r>
            <w:r w:rsidRPr="008809ED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δύναται να αυξήσουν</w:t>
            </w:r>
            <w:r w:rsidRPr="008809ED">
              <w:rPr>
                <w:rFonts w:ascii="Times New Roman" w:hAnsi="Times New Roman" w:cs="Times New Roman"/>
                <w:spacing w:val="-6"/>
                <w:sz w:val="20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τις</w:t>
            </w:r>
            <w:r w:rsidRPr="008809ED">
              <w:rPr>
                <w:rFonts w:ascii="Times New Roman" w:hAnsi="Times New Roman" w:cs="Times New Roman"/>
                <w:spacing w:val="-1"/>
                <w:w w:val="99"/>
                <w:sz w:val="20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ανεπιθύμητες</w:t>
            </w:r>
            <w:r w:rsidRPr="008809ED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ενέργειες</w:t>
            </w:r>
            <w:r w:rsidRPr="008809ED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που σχετίζονται με</w:t>
            </w:r>
            <w:r w:rsidRPr="008809ED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="00FE43C0" w:rsidRPr="008809ED">
              <w:rPr>
                <w:rFonts w:ascii="Times New Roman" w:hAnsi="Times New Roman" w:cs="Times New Roman"/>
                <w:sz w:val="20"/>
                <w:lang w:val="el-GR"/>
              </w:rPr>
              <w:t>τ</w:t>
            </w:r>
            <w:r w:rsidR="00FE43C0">
              <w:rPr>
                <w:rFonts w:ascii="Times New Roman" w:hAnsi="Times New Roman" w:cs="Times New Roman"/>
                <w:sz w:val="20"/>
                <w:lang w:val="el-GR"/>
              </w:rPr>
              <w:t>ην</w:t>
            </w:r>
            <w:r w:rsidR="00FE43C0" w:rsidRPr="008809ED">
              <w:rPr>
                <w:rFonts w:ascii="Times New Roman" w:hAnsi="Times New Roman" w:cs="Times New Roman"/>
                <w:spacing w:val="-1"/>
                <w:w w:val="99"/>
                <w:sz w:val="20"/>
                <w:lang w:val="el-GR"/>
              </w:rPr>
              <w:t xml:space="preserve"> </w:t>
            </w:r>
            <w:r w:rsidR="00FE43C0">
              <w:rPr>
                <w:rFonts w:ascii="Times New Roman" w:hAnsi="Times New Roman" w:cs="Times New Roman"/>
                <w:sz w:val="20"/>
                <w:lang w:val="el-GR"/>
              </w:rPr>
              <w:t>τενοφοβίρη δισοπρόξιλη</w:t>
            </w:r>
            <w:r w:rsidRPr="008809ED">
              <w:rPr>
                <w:rFonts w:ascii="Times New Roman" w:hAnsi="Times New Roman" w:cs="Times New Roman"/>
                <w:sz w:val="20"/>
                <w:lang w:val="el-GR"/>
              </w:rPr>
              <w:t>,</w:t>
            </w:r>
            <w:r w:rsidR="008809ED" w:rsidRPr="008809ED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συμπεριλαμβανομένων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των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νεφρικών διαταραχών.</w:t>
            </w:r>
            <w:r w:rsidRPr="00F54B01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έχει αποδειχθεί η</w:t>
            </w:r>
            <w:r w:rsidRPr="00F54B01">
              <w:rPr>
                <w:rFonts w:ascii="Times New Roman" w:hAnsi="Times New Roman" w:cs="Times New Roman"/>
                <w:spacing w:val="-8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ασφάλεια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FE43C0">
              <w:rPr>
                <w:rFonts w:ascii="Times New Roman" w:hAnsi="Times New Roman" w:cs="Times New Roman"/>
                <w:sz w:val="20"/>
                <w:lang w:val="el-GR"/>
              </w:rPr>
              <w:t>της τενοφοβίρης δισοπρόξολης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 όταν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χρησιμοποιείται μαζί</w:t>
            </w:r>
            <w:r w:rsidRPr="00F54B01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με</w:t>
            </w:r>
            <w:r w:rsidRPr="00F54B01">
              <w:rPr>
                <w:rFonts w:ascii="Times New Roman" w:hAnsi="Times New Roman" w:cs="Times New Roman"/>
                <w:spacing w:val="1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λεδιπασβίρη/σοφοσμπουβίρη</w:t>
            </w:r>
            <w:r w:rsidR="00203833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και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κάποιον</w:t>
            </w:r>
            <w:r w:rsidRPr="00F54B01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φαρμακοκινητικό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 xml:space="preserve">ενισχυτή (π.χ.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ριτοναβίρη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ή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κοβισιστάτη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).</w:t>
            </w:r>
          </w:p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Ο συνδυασμός θα</w:t>
            </w:r>
            <w:r w:rsidRPr="00F54B01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πρέπει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να χρησιμοποιείται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με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προσοχή και με</w:t>
            </w:r>
            <w:r w:rsidRPr="00F54B01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συχνή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νεφρική</w:t>
            </w:r>
            <w:r w:rsidRPr="00F54B01">
              <w:rPr>
                <w:rFonts w:ascii="Times New Roman" w:hAnsi="Times New Roman" w:cs="Times New Roman"/>
                <w:spacing w:val="-7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παρακολούθηση,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εφόσον δεν υπάρχουν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διαθέσιμες</w:t>
            </w:r>
            <w:r w:rsidRPr="00F54B01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άλλες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εναλλακτικές</w:t>
            </w:r>
            <w:r w:rsidRPr="00F54B01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επιλογές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(βλ. παράγραφο</w:t>
            </w:r>
            <w:r w:rsidRPr="00F54B01">
              <w:rPr>
                <w:rFonts w:ascii="Times New Roman" w:hAnsi="Times New Roman" w:cs="Times New Roman"/>
                <w:spacing w:val="-6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4.4).</w:t>
            </w:r>
          </w:p>
        </w:tc>
      </w:tr>
    </w:tbl>
    <w:p w:rsidR="009D104A" w:rsidRPr="00F54B01" w:rsidRDefault="009D104A" w:rsidP="009A7039">
      <w:pPr>
        <w:rPr>
          <w:rFonts w:ascii="Times New Roman" w:eastAsia="Times New Roman" w:hAnsi="Times New Roman" w:cs="Times New Roman"/>
          <w:sz w:val="6"/>
          <w:szCs w:val="6"/>
          <w:lang w:val="el-GR"/>
        </w:rPr>
      </w:pPr>
    </w:p>
    <w:tbl>
      <w:tblPr>
        <w:tblW w:w="929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759"/>
        <w:gridCol w:w="2447"/>
      </w:tblGrid>
      <w:tr w:rsidR="009D104A" w:rsidRPr="00CA6D48" w:rsidTr="00203833">
        <w:trPr>
          <w:trHeight w:hRule="exact" w:val="43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t>Λεδιπασβίρη/σοφοσμπουβίρη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(90 </w:t>
            </w:r>
            <w:r w:rsidR="00302B89" w:rsidRPr="00FC5E77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/400 </w:t>
            </w:r>
            <w:r w:rsidR="00302B89" w:rsidRPr="00FC5E77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FC5E77">
              <w:rPr>
                <w:rFonts w:ascii="Times New Roman" w:hAnsi="Times New Roman" w:cs="Times New Roman"/>
                <w:sz w:val="20"/>
              </w:rPr>
              <w:t>q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="00302B89" w:rsidRPr="00FC5E77">
              <w:rPr>
                <w:rFonts w:ascii="Times New Roman" w:hAnsi="Times New Roman" w:cs="Times New Roman"/>
                <w:sz w:val="20"/>
              </w:rPr>
              <w:t>d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.)</w:t>
            </w:r>
            <w:r w:rsidR="00302B89" w:rsidRPr="00203833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="00302B89" w:rsidRPr="00CA6D48">
              <w:rPr>
                <w:rFonts w:ascii="Times New Roman" w:hAnsi="Times New Roman" w:cs="Times New Roman"/>
                <w:sz w:val="20"/>
                <w:lang w:val="el-GR"/>
              </w:rPr>
              <w:t>+</w:t>
            </w:r>
          </w:p>
          <w:p w:rsidR="009D104A" w:rsidRPr="00203833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t>Εφαβιρένζη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t>Εμτρισιταβίνη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="00643ECB" w:rsidRPr="00203833">
              <w:rPr>
                <w:rFonts w:ascii="Times New Roman" w:hAnsi="Times New Roman" w:cs="Times New Roman"/>
                <w:sz w:val="20"/>
                <w:lang w:val="el-GR"/>
              </w:rPr>
              <w:t>Τενοφοβίρη δισοπρόξιλη</w:t>
            </w:r>
            <w:r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 xml:space="preserve">(ως </w:t>
            </w:r>
            <w:r w:rsidR="003C6E3B" w:rsidRPr="00203833">
              <w:rPr>
                <w:rFonts w:ascii="Times New Roman" w:hAnsi="Times New Roman" w:cs="Times New Roman"/>
                <w:sz w:val="20"/>
                <w:lang w:val="el-GR"/>
              </w:rPr>
              <w:t>ηλεκτρική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>)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(600 </w:t>
            </w:r>
            <w:r w:rsidRPr="00FC5E77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/200 </w:t>
            </w:r>
            <w:r w:rsidRPr="00FC5E77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/300 </w:t>
            </w:r>
            <w:r w:rsidRPr="00FC5E77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pacing w:val="-8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</w:rPr>
              <w:t>q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Pr="00FC5E77">
              <w:rPr>
                <w:rFonts w:ascii="Times New Roman" w:hAnsi="Times New Roman" w:cs="Times New Roman"/>
                <w:sz w:val="20"/>
              </w:rPr>
              <w:t>d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Λεδιπασβίρη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  <w:r w:rsidR="00302B89"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↓</w:t>
            </w:r>
            <w:r w:rsidR="00302B89"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34%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↓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34%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↓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34%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9D104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Σοφοσμπουβίρη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  <w:r w:rsidR="00302B89"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-331007</w:t>
            </w:r>
            <w:r w:rsidRPr="00CA6D48"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  <w:lang w:val="el-GR"/>
              </w:rPr>
              <w:t>2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9D104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Εφαβιρένζη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  <w:r w:rsidR="00302B89"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l-GR"/>
              </w:rPr>
              <w:t xml:space="preserve"> 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9D104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Εμτρισιταβίνη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  <w:r w:rsidR="00302B89"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9D104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Τενοφοβίρη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  <w:r w:rsidR="00302B89"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="00302B89"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98%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CA6D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79%</w:t>
            </w:r>
          </w:p>
          <w:p w:rsidR="009D104A" w:rsidRPr="00FC5E77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 ↑</w:t>
            </w:r>
            <w:r w:rsidRPr="00FC5E7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l-GR"/>
              </w:rPr>
              <w:t xml:space="preserve"> 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163%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C5E77" w:rsidRDefault="00302B89" w:rsidP="003C6E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Δεν συνιστάται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αναπροσαρμογή της</w:t>
            </w:r>
            <w:r w:rsidRPr="00FC5E77">
              <w:rPr>
                <w:rFonts w:ascii="Times New Roman" w:hAnsi="Times New Roman" w:cs="Times New Roman"/>
                <w:spacing w:val="-10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δόσης.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Η αυξημένη έκθεση</w:t>
            </w:r>
            <w:r w:rsidRPr="00FC5E77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στ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>ην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τενοφοβίρη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 xml:space="preserve"> θα μπορούσε</w:t>
            </w:r>
            <w:r w:rsidRPr="00FC5E77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να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ενισχύσει τις</w:t>
            </w:r>
            <w:r w:rsidRPr="00FC5E77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σχετιζόμενες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με τ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>ην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643ECB" w:rsidRPr="00FB72E2">
              <w:rPr>
                <w:rFonts w:ascii="Times New Roman" w:hAnsi="Times New Roman" w:cs="Times New Roman"/>
                <w:sz w:val="20"/>
                <w:lang w:val="el-GR"/>
              </w:rPr>
              <w:t>τενοφοβίρη δισοπρόξιλη</w:t>
            </w:r>
            <w:r w:rsidR="00381232">
              <w:rPr>
                <w:rFonts w:ascii="Times New Roman" w:hAnsi="Times New Roman" w:cs="Times New Roman"/>
                <w:sz w:val="20"/>
                <w:lang w:val="el-GR"/>
              </w:rPr>
              <w:t xml:space="preserve"> (ως </w:t>
            </w:r>
            <w:r w:rsidR="00FB72E2">
              <w:rPr>
                <w:rFonts w:ascii="Times New Roman" w:hAnsi="Times New Roman" w:cs="Times New Roman"/>
                <w:sz w:val="20"/>
                <w:lang w:val="el-GR"/>
              </w:rPr>
              <w:t>ηλεκτρική</w:t>
            </w:r>
            <w:r w:rsidR="00381232">
              <w:rPr>
                <w:rFonts w:ascii="Times New Roman" w:hAnsi="Times New Roman" w:cs="Times New Roman"/>
                <w:sz w:val="20"/>
                <w:lang w:val="el-GR"/>
              </w:rPr>
              <w:t>)</w:t>
            </w:r>
            <w:r w:rsidRPr="00FC5E77">
              <w:rPr>
                <w:rFonts w:ascii="Times New Roman" w:hAnsi="Times New Roman" w:cs="Times New Roman"/>
                <w:spacing w:val="1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ανεπιθύμητες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ενέργειες,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συμπεριλαμβανομένων</w:t>
            </w:r>
            <w:r w:rsidRPr="00FC5E77">
              <w:rPr>
                <w:rFonts w:ascii="Times New Roman" w:hAnsi="Times New Roman" w:cs="Times New Roman"/>
                <w:spacing w:val="-6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των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νεφρικών διαταραχών.</w:t>
            </w:r>
            <w:r w:rsidRPr="00FC5E77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Η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νεφρική λειτουργία θα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πρέπει να</w:t>
            </w:r>
            <w:r w:rsidRPr="00FC5E77">
              <w:rPr>
                <w:rFonts w:ascii="Times New Roman" w:hAnsi="Times New Roman" w:cs="Times New Roman"/>
                <w:spacing w:val="-7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παρακολουθείται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στενά (βλ. παράγραφο</w:t>
            </w:r>
            <w:r w:rsidRPr="00FC5E77">
              <w:rPr>
                <w:rFonts w:ascii="Times New Roman" w:hAnsi="Times New Roman" w:cs="Times New Roman"/>
                <w:spacing w:val="-11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4.4).</w:t>
            </w:r>
          </w:p>
        </w:tc>
      </w:tr>
      <w:tr w:rsidR="009D104A" w:rsidRPr="00CA6D48" w:rsidTr="00203833">
        <w:trPr>
          <w:trHeight w:hRule="exact" w:val="6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lastRenderedPageBreak/>
              <w:t>Λεδιπασβίρη/σοφοσμπουβίρη</w:t>
            </w:r>
            <w:r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(90 </w:t>
            </w:r>
            <w:r w:rsidR="00302B89" w:rsidRPr="00FC5E77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/400 </w:t>
            </w:r>
            <w:r w:rsidR="00302B89" w:rsidRPr="00FC5E77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FC5E77">
              <w:rPr>
                <w:rFonts w:ascii="Times New Roman" w:hAnsi="Times New Roman" w:cs="Times New Roman"/>
                <w:sz w:val="20"/>
              </w:rPr>
              <w:t>q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="00302B89" w:rsidRPr="00FC5E77">
              <w:rPr>
                <w:rFonts w:ascii="Times New Roman" w:hAnsi="Times New Roman" w:cs="Times New Roman"/>
                <w:sz w:val="20"/>
              </w:rPr>
              <w:t>d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.)</w:t>
            </w:r>
            <w:r w:rsidR="00302B89" w:rsidRPr="00203833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="00302B89" w:rsidRPr="00CA6D48">
              <w:rPr>
                <w:rFonts w:ascii="Times New Roman" w:hAnsi="Times New Roman" w:cs="Times New Roman"/>
                <w:sz w:val="20"/>
                <w:lang w:val="el-GR"/>
              </w:rPr>
              <w:t>+</w:t>
            </w:r>
          </w:p>
          <w:p w:rsidR="009D104A" w:rsidRPr="00203833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t>Εμτρισιταβίνη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t>Ριλπιβιρίνη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="00643ECB" w:rsidRPr="00203833">
              <w:rPr>
                <w:rFonts w:ascii="Times New Roman" w:hAnsi="Times New Roman" w:cs="Times New Roman"/>
                <w:sz w:val="20"/>
                <w:lang w:val="el-GR"/>
              </w:rPr>
              <w:t>Τενοφοβίρη δισοπρόξιλη</w:t>
            </w:r>
            <w:r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 xml:space="preserve">(ως </w:t>
            </w:r>
            <w:r w:rsidR="00FB72E2" w:rsidRPr="00203833">
              <w:rPr>
                <w:rFonts w:ascii="Times New Roman" w:hAnsi="Times New Roman" w:cs="Times New Roman"/>
                <w:sz w:val="20"/>
                <w:lang w:val="el-GR"/>
              </w:rPr>
              <w:t>ηλεκτρική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>)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(200 </w:t>
            </w:r>
            <w:r w:rsidRPr="00FC5E77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/25 </w:t>
            </w:r>
            <w:r w:rsidRPr="00FC5E77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/300 </w:t>
            </w:r>
            <w:r w:rsidRPr="00FC5E77">
              <w:rPr>
                <w:rFonts w:ascii="Times New Roman" w:hAnsi="Times New Roman" w:cs="Times New Roman"/>
                <w:sz w:val="20"/>
              </w:rPr>
              <w:t>mg</w:t>
            </w:r>
            <w:r w:rsidRPr="00CA6D48">
              <w:rPr>
                <w:rFonts w:ascii="Times New Roman" w:hAnsi="Times New Roman" w:cs="Times New Roman"/>
                <w:spacing w:val="-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</w:rPr>
              <w:t>q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Pr="00FC5E77">
              <w:rPr>
                <w:rFonts w:ascii="Times New Roman" w:hAnsi="Times New Roman" w:cs="Times New Roman"/>
                <w:sz w:val="20"/>
              </w:rPr>
              <w:t>d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.)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AC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Λεδιπασβίρη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F503AC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F503AC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Σοφοσμπουβίρη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F503AC" w:rsidRPr="00CA6D48" w:rsidRDefault="00F503AC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  <w:p w:rsidR="00F503AC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-331007</w:t>
            </w:r>
            <w:r w:rsidRPr="00CA6D48"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  <w:lang w:val="el-GR"/>
              </w:rPr>
              <w:t>2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F503AC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F503AC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Εμτρισιταβίνη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F503AC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F503AC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Ριλπιβιρίνη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F503AC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  <w:r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CA6D48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CA6D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l-GR"/>
              </w:rPr>
              <w:t xml:space="preserve"> </w:t>
            </w: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↔</w:t>
            </w:r>
          </w:p>
          <w:p w:rsidR="009D104A" w:rsidRPr="00CA6D48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F503AC" w:rsidRPr="00CA6D48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</w:pPr>
            <w:r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Τενοφοβίρη</w:t>
            </w:r>
            <w:r w:rsidR="00302B89" w:rsidRPr="00CA6D48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</w:t>
            </w:r>
            <w:r w:rsidR="00302B89" w:rsidRPr="00CA6D4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l-GR"/>
              </w:rPr>
              <w:t xml:space="preserve"> </w:t>
            </w:r>
          </w:p>
          <w:p w:rsidR="009D104A" w:rsidRPr="00FC5E77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AUC: ↑</w:t>
            </w:r>
            <w:r w:rsidRPr="00FC5E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  <w:p w:rsidR="00F503AC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C5E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  <w:r w:rsidRPr="00FC5E7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C5E77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C5E77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: ↑</w:t>
            </w:r>
            <w:r w:rsidRPr="00FC5E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77">
              <w:rPr>
                <w:rFonts w:ascii="Times New Roman" w:eastAsia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C5E77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Δεν συνιστάται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αναπροσαρμογή της</w:t>
            </w:r>
            <w:r w:rsidRPr="00FC5E77">
              <w:rPr>
                <w:rFonts w:ascii="Times New Roman" w:hAnsi="Times New Roman" w:cs="Times New Roman"/>
                <w:spacing w:val="-10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δόσης.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Η αυξημένη έκθεση</w:t>
            </w:r>
            <w:r w:rsidRPr="00FC5E77">
              <w:rPr>
                <w:rFonts w:ascii="Times New Roman" w:hAnsi="Times New Roman" w:cs="Times New Roman"/>
                <w:spacing w:val="-5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στ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>ην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203833" w:rsidRPr="00203833">
              <w:rPr>
                <w:rFonts w:ascii="Times New Roman" w:hAnsi="Times New Roman" w:cs="Times New Roman"/>
                <w:sz w:val="20"/>
                <w:lang w:val="el-GR"/>
              </w:rPr>
              <w:t>τενοφοβίρη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 xml:space="preserve"> θα μπορούσε</w:t>
            </w:r>
            <w:r w:rsidRPr="00FC5E77">
              <w:rPr>
                <w:rFonts w:ascii="Times New Roman" w:hAnsi="Times New Roman" w:cs="Times New Roman"/>
                <w:spacing w:val="-3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να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ενισχύσει τις</w:t>
            </w:r>
            <w:r w:rsidRPr="00FC5E77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σχετιζόμενες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με τ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>ην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CF210F">
              <w:rPr>
                <w:rFonts w:ascii="Times New Roman" w:hAnsi="Times New Roman" w:cs="Times New Roman"/>
                <w:sz w:val="20"/>
                <w:lang w:val="el-GR"/>
              </w:rPr>
              <w:t xml:space="preserve">τενοφοβίρη δισοπρόξιλη (ως ηλεκτρική)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ανεπιθύμητες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ενέργειες,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συμπεριλαμβανομένων</w:t>
            </w:r>
            <w:r w:rsidRPr="00FC5E77">
              <w:rPr>
                <w:rFonts w:ascii="Times New Roman" w:hAnsi="Times New Roman" w:cs="Times New Roman"/>
                <w:spacing w:val="-6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των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νεφρικών</w:t>
            </w:r>
            <w:r w:rsidRPr="00FC5E77">
              <w:rPr>
                <w:rFonts w:ascii="Times New Roman" w:hAnsi="Times New Roman" w:cs="Times New Roman"/>
                <w:spacing w:val="-8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διαταραχών.</w:t>
            </w:r>
          </w:p>
          <w:p w:rsidR="009D104A" w:rsidRPr="00FC5E77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Η νεφρική λειτουργία</w:t>
            </w:r>
            <w:r w:rsidRPr="00FC5E77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θα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πρέπει να</w:t>
            </w:r>
            <w:r w:rsidRPr="00FC5E77">
              <w:rPr>
                <w:rFonts w:ascii="Times New Roman" w:hAnsi="Times New Roman" w:cs="Times New Roman"/>
                <w:spacing w:val="-7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παρακολουθείται</w:t>
            </w:r>
            <w:r w:rsidRPr="00FC5E77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στενά (βλ. παράγραφο</w:t>
            </w:r>
            <w:r w:rsidRPr="00FC5E77">
              <w:rPr>
                <w:rFonts w:ascii="Times New Roman" w:hAnsi="Times New Roman" w:cs="Times New Roman"/>
                <w:spacing w:val="-10"/>
                <w:sz w:val="20"/>
                <w:lang w:val="el-GR"/>
              </w:rPr>
              <w:t xml:space="preserve"> </w:t>
            </w:r>
            <w:r w:rsidRPr="00FC5E77">
              <w:rPr>
                <w:rFonts w:ascii="Times New Roman" w:hAnsi="Times New Roman" w:cs="Times New Roman"/>
                <w:sz w:val="20"/>
                <w:lang w:val="el-GR"/>
              </w:rPr>
              <w:t>4.4).</w:t>
            </w:r>
          </w:p>
        </w:tc>
      </w:tr>
    </w:tbl>
    <w:p w:rsidR="009D104A" w:rsidRPr="00F54B01" w:rsidRDefault="009D104A" w:rsidP="009A7039">
      <w:pPr>
        <w:rPr>
          <w:rFonts w:ascii="Times New Roman" w:eastAsia="Times New Roman" w:hAnsi="Times New Roman" w:cs="Times New Roman"/>
          <w:sz w:val="5"/>
          <w:szCs w:val="5"/>
          <w:lang w:val="el-GR"/>
        </w:rPr>
      </w:pPr>
    </w:p>
    <w:tbl>
      <w:tblPr>
        <w:tblW w:w="929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759"/>
        <w:gridCol w:w="2447"/>
      </w:tblGrid>
      <w:tr w:rsidR="009D104A" w:rsidRPr="00CA6D48" w:rsidTr="00FB72E2">
        <w:trPr>
          <w:trHeight w:hRule="exact" w:val="50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3C6E3B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C6E3B">
              <w:rPr>
                <w:rFonts w:ascii="Times New Roman" w:hAnsi="Times New Roman" w:cs="Times New Roman"/>
                <w:sz w:val="20"/>
                <w:lang w:val="el-GR"/>
              </w:rPr>
              <w:t>Σοφοσμπουβίρη</w:t>
            </w:r>
            <w:r w:rsidR="00302B89" w:rsidRPr="003C6E3B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302B89" w:rsidRPr="003C6E3B">
              <w:rPr>
                <w:rFonts w:ascii="Times New Roman" w:hAnsi="Times New Roman" w:cs="Times New Roman"/>
                <w:sz w:val="20"/>
                <w:lang w:val="el-GR"/>
              </w:rPr>
              <w:t xml:space="preserve">(400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3C6E3B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q</w:t>
            </w:r>
            <w:r w:rsidR="00302B89" w:rsidRPr="003C6E3B">
              <w:rPr>
                <w:rFonts w:ascii="Times New Roman" w:hAnsi="Times New Roman" w:cs="Times New Roman"/>
                <w:sz w:val="20"/>
                <w:lang w:val="el-GR"/>
              </w:rPr>
              <w:t>.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d</w:t>
            </w:r>
            <w:r w:rsidR="00302B89" w:rsidRPr="003C6E3B">
              <w:rPr>
                <w:rFonts w:ascii="Times New Roman" w:hAnsi="Times New Roman" w:cs="Times New Roman"/>
                <w:sz w:val="20"/>
                <w:lang w:val="el-GR"/>
              </w:rPr>
              <w:t>.)</w:t>
            </w:r>
            <w:r w:rsidR="00302B89" w:rsidRPr="003C6E3B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="00302B89" w:rsidRPr="003C6E3B">
              <w:rPr>
                <w:rFonts w:ascii="Times New Roman" w:hAnsi="Times New Roman" w:cs="Times New Roman"/>
                <w:sz w:val="20"/>
                <w:lang w:val="el-GR"/>
              </w:rPr>
              <w:t>+</w:t>
            </w:r>
          </w:p>
          <w:p w:rsidR="009D104A" w:rsidRPr="003C6E3B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t>Εφαβιρένζη</w:t>
            </w:r>
            <w:r w:rsidR="00302B89" w:rsidRPr="003C6E3B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t>Εμτρισιταβίνη</w:t>
            </w:r>
            <w:r w:rsidR="00302B89" w:rsidRPr="003C6E3B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="00643ECB" w:rsidRPr="00203833">
              <w:rPr>
                <w:rFonts w:ascii="Times New Roman" w:hAnsi="Times New Roman" w:cs="Times New Roman"/>
                <w:sz w:val="20"/>
                <w:lang w:val="el-GR"/>
              </w:rPr>
              <w:t>Τενοφοβίρη</w:t>
            </w:r>
            <w:r w:rsidR="00643ECB" w:rsidRPr="003C6E3B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643ECB" w:rsidRPr="00203833">
              <w:rPr>
                <w:rFonts w:ascii="Times New Roman" w:hAnsi="Times New Roman" w:cs="Times New Roman"/>
                <w:sz w:val="20"/>
                <w:lang w:val="el-GR"/>
              </w:rPr>
              <w:t>δισοπρόξιλη</w:t>
            </w:r>
            <w:r w:rsidRPr="003C6E3B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 xml:space="preserve">(ως </w:t>
            </w:r>
            <w:r w:rsidR="00FB72E2" w:rsidRPr="00203833">
              <w:rPr>
                <w:rFonts w:ascii="Times New Roman" w:hAnsi="Times New Roman" w:cs="Times New Roman"/>
                <w:sz w:val="20"/>
                <w:lang w:val="el-GR"/>
              </w:rPr>
              <w:t>ηλεκτρική</w:t>
            </w:r>
            <w:r w:rsidR="003C6E3B">
              <w:rPr>
                <w:rFonts w:ascii="Times New Roman" w:hAnsi="Times New Roman" w:cs="Times New Roman"/>
                <w:sz w:val="20"/>
                <w:lang w:val="el-GR"/>
              </w:rPr>
              <w:t>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(600 mg/200 mg/300 mg</w:t>
            </w:r>
            <w:r w:rsidRPr="00F54B0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q.d.)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C0" w:rsidRPr="008809ED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Σοφοσμπουβίρη</w:t>
            </w:r>
            <w:r w:rsidR="00302B89"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02B89"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AUC: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 ↓</w:t>
            </w:r>
            <w:r w:rsidRPr="00F54B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19%</w:t>
            </w:r>
          </w:p>
          <w:p w:rsidR="00FE43C0" w:rsidRPr="008809ED" w:rsidRDefault="00FE43C0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E43C0" w:rsidRPr="008809ED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GB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GS-331007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2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AUC: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 ↓</w:t>
            </w:r>
            <w:r w:rsidRPr="00F54B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23%</w:t>
            </w:r>
          </w:p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43C0" w:rsidRPr="008809ED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Εφαβιρένζη</w:t>
            </w:r>
            <w:r w:rsidR="00302B89"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02B89"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AUC: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</w:p>
          <w:p w:rsidR="00FE43C0" w:rsidRPr="008809ED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54B0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  <w:r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</w:p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E43C0" w:rsidRPr="008809ED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Εμτρισιταβίνη</w:t>
            </w:r>
            <w:r w:rsidR="00302B89"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02B89"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AUC: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</w:p>
          <w:p w:rsidR="00FE43C0" w:rsidRPr="008809ED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GB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54B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  <w:r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</w:p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E43C0" w:rsidRPr="008809ED" w:rsidRDefault="00203833" w:rsidP="009A7039">
            <w:pPr>
              <w:pStyle w:val="TableParagrap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Τενοφοβίρη</w:t>
            </w:r>
            <w:r w:rsidR="00302B89"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02B89" w:rsidRPr="00F54B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AUC: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</w:p>
          <w:p w:rsidR="00FE43C0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max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 ↑</w:t>
            </w:r>
            <w:r w:rsidRPr="00F54B0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54B01"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min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54B0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sz w:val="20"/>
                <w:szCs w:val="20"/>
              </w:rPr>
              <w:t>↔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Δεν απαιτείται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αναπροσαρμογή της</w:t>
            </w:r>
            <w:r w:rsidRPr="00F54B01">
              <w:rPr>
                <w:rFonts w:ascii="Times New Roman" w:hAnsi="Times New Roman" w:cs="Times New Roman"/>
                <w:spacing w:val="-12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δόσης.</w:t>
            </w:r>
          </w:p>
        </w:tc>
      </w:tr>
    </w:tbl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1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Δεδομένα που προκύπτουν από τη χορήγηση δόσης ταυτόχρονα με </w:t>
      </w:r>
      <w:r w:rsidR="00203833" w:rsidRPr="00203833">
        <w:rPr>
          <w:rFonts w:ascii="Times New Roman" w:hAnsi="Times New Roman" w:cs="Times New Roman"/>
          <w:sz w:val="18"/>
          <w:lang w:val="el-GR"/>
        </w:rPr>
        <w:t>Λεδιπασβίρη</w:t>
      </w:r>
      <w:r w:rsidRPr="00F54B01">
        <w:rPr>
          <w:rFonts w:ascii="Times New Roman" w:hAnsi="Times New Roman" w:cs="Times New Roman"/>
          <w:sz w:val="18"/>
          <w:lang w:val="el-GR"/>
        </w:rPr>
        <w:t>/</w:t>
      </w:r>
      <w:r w:rsidR="00203833" w:rsidRPr="00203833">
        <w:rPr>
          <w:rFonts w:ascii="Times New Roman" w:hAnsi="Times New Roman" w:cs="Times New Roman"/>
          <w:sz w:val="18"/>
          <w:lang w:val="el-GR"/>
        </w:rPr>
        <w:t>σοφοσμπουβίρη</w:t>
      </w:r>
      <w:r w:rsidRPr="00F54B01">
        <w:rPr>
          <w:rFonts w:ascii="Times New Roman" w:hAnsi="Times New Roman" w:cs="Times New Roman"/>
          <w:sz w:val="18"/>
          <w:lang w:val="el-GR"/>
        </w:rPr>
        <w:t>. Η κλιμακωτή χορήγηση</w:t>
      </w:r>
      <w:r w:rsidRPr="00F54B01">
        <w:rPr>
          <w:rFonts w:ascii="Times New Roman" w:hAnsi="Times New Roman" w:cs="Times New Roman"/>
          <w:spacing w:val="-1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(με διαφορά 12 ωρών) έδωσε παρόμοια</w:t>
      </w:r>
      <w:r w:rsidRPr="00F54B01">
        <w:rPr>
          <w:rFonts w:ascii="Times New Roman" w:hAnsi="Times New Roman" w:cs="Times New Roman"/>
          <w:spacing w:val="-1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αποτελέσματα.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2 </w:t>
      </w:r>
      <w:r w:rsidRPr="00F54B01">
        <w:rPr>
          <w:rFonts w:ascii="Times New Roman" w:hAnsi="Times New Roman" w:cs="Times New Roman"/>
          <w:sz w:val="18"/>
          <w:lang w:val="el-GR"/>
        </w:rPr>
        <w:t>Ο κύριος κυκλοφορών μεταβολίτης του</w:t>
      </w:r>
      <w:r w:rsidRPr="00F54B01">
        <w:rPr>
          <w:rFonts w:ascii="Times New Roman" w:hAnsi="Times New Roman" w:cs="Times New Roman"/>
          <w:spacing w:val="5"/>
          <w:sz w:val="18"/>
          <w:lang w:val="el-GR"/>
        </w:rPr>
        <w:t xml:space="preserve"> </w:t>
      </w:r>
      <w:r w:rsidR="00203833" w:rsidRPr="00203833">
        <w:rPr>
          <w:rFonts w:ascii="Times New Roman" w:hAnsi="Times New Roman" w:cs="Times New Roman"/>
          <w:sz w:val="18"/>
          <w:lang w:val="el-GR"/>
        </w:rPr>
        <w:t>σοφοσμπουβίρη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Μελέτες που διενεργήθηκαν με άλλα φαρμακευτικά</w:t>
      </w:r>
      <w:r w:rsidRPr="00F54B01">
        <w:rPr>
          <w:rFonts w:cs="Times New Roman"/>
          <w:spacing w:val="-18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προϊόντα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Δεν υπήρξαν κλινικά σημαντικές φαρμακοκινητικές αλληλεπιδράσεις όταν </w:t>
      </w:r>
      <w:r w:rsidR="00FE43C0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 xml:space="preserve"> συγχορηγήθηκε με </w:t>
      </w:r>
      <w:r w:rsidR="00203833" w:rsidRPr="00203833">
        <w:rPr>
          <w:rFonts w:cs="Times New Roman"/>
          <w:lang w:val="el-GR"/>
        </w:rPr>
        <w:t>εμτρισιταβίνη</w:t>
      </w:r>
      <w:r w:rsidRPr="00F54B01">
        <w:rPr>
          <w:rFonts w:cs="Times New Roman"/>
          <w:lang w:val="el-GR"/>
        </w:rPr>
        <w:t xml:space="preserve">, </w:t>
      </w:r>
      <w:r w:rsidR="00643ECB" w:rsidRPr="00FB72E2">
        <w:rPr>
          <w:rFonts w:cs="Times New Roman"/>
          <w:lang w:val="el-GR"/>
        </w:rPr>
        <w:t>λαμιβουδίνη</w:t>
      </w:r>
      <w:r w:rsidRPr="00F54B01">
        <w:rPr>
          <w:rFonts w:cs="Times New Roman"/>
          <w:lang w:val="el-GR"/>
        </w:rPr>
        <w:t xml:space="preserve">, </w:t>
      </w:r>
      <w:r w:rsidR="00203833" w:rsidRPr="00203833">
        <w:rPr>
          <w:rFonts w:cs="Times New Roman"/>
          <w:lang w:val="el-GR"/>
        </w:rPr>
        <w:t>ινδιναβίρη</w:t>
      </w:r>
      <w:r w:rsidRPr="00F54B01">
        <w:rPr>
          <w:rFonts w:cs="Times New Roman"/>
          <w:lang w:val="el-GR"/>
        </w:rPr>
        <w:t xml:space="preserve">, </w:t>
      </w:r>
      <w:r w:rsidR="00203833" w:rsidRPr="00203833">
        <w:rPr>
          <w:rFonts w:cs="Times New Roman"/>
          <w:lang w:val="el-GR"/>
        </w:rPr>
        <w:t>εφαβιρένζη</w:t>
      </w:r>
      <w:r w:rsidRPr="00F54B01">
        <w:rPr>
          <w:rFonts w:cs="Times New Roman"/>
          <w:lang w:val="el-GR"/>
        </w:rPr>
        <w:t xml:space="preserve">, </w:t>
      </w:r>
      <w:r w:rsidR="00203833">
        <w:rPr>
          <w:rFonts w:cs="Times New Roman"/>
          <w:lang w:val="el-GR"/>
        </w:rPr>
        <w:t>νελφιναβίρη</w:t>
      </w:r>
      <w:r w:rsidRPr="00F54B01">
        <w:rPr>
          <w:rFonts w:cs="Times New Roman"/>
          <w:lang w:val="el-GR"/>
        </w:rPr>
        <w:t>,</w:t>
      </w:r>
      <w:r w:rsidR="00203833" w:rsidRPr="00203833">
        <w:rPr>
          <w:rFonts w:cs="Times New Roman"/>
          <w:spacing w:val="-24"/>
          <w:lang w:val="el-GR"/>
        </w:rPr>
        <w:t xml:space="preserve"> </w:t>
      </w:r>
      <w:r w:rsidR="00203833">
        <w:rPr>
          <w:rFonts w:cs="Times New Roman"/>
          <w:spacing w:val="-24"/>
          <w:lang w:val="el-GR"/>
        </w:rPr>
        <w:t xml:space="preserve"> </w:t>
      </w:r>
      <w:r w:rsidR="00203833">
        <w:rPr>
          <w:rFonts w:cs="Times New Roman"/>
          <w:lang w:val="el-GR"/>
        </w:rPr>
        <w:t xml:space="preserve">σακουιναβίρη </w:t>
      </w:r>
      <w:r w:rsidRPr="00F54B01">
        <w:rPr>
          <w:rFonts w:cs="Times New Roman"/>
          <w:lang w:val="el-GR"/>
        </w:rPr>
        <w:t xml:space="preserve">(ενισχυμένου με </w:t>
      </w:r>
      <w:r w:rsidR="00203833" w:rsidRPr="00203833">
        <w:rPr>
          <w:rFonts w:cs="Times New Roman"/>
          <w:lang w:val="el-GR"/>
        </w:rPr>
        <w:t>ριτοναβίρη</w:t>
      </w:r>
      <w:r w:rsidRPr="00F54B01">
        <w:rPr>
          <w:rFonts w:cs="Times New Roman"/>
          <w:lang w:val="el-GR"/>
        </w:rPr>
        <w:t>),</w:t>
      </w:r>
      <w:r w:rsidR="00203833">
        <w:rPr>
          <w:rFonts w:cs="Times New Roman"/>
          <w:lang w:val="el-GR"/>
        </w:rPr>
        <w:t xml:space="preserve"> μεθαδόνη</w:t>
      </w:r>
      <w:r w:rsidRPr="00F54B01">
        <w:rPr>
          <w:rFonts w:cs="Times New Roman"/>
          <w:lang w:val="el-GR"/>
        </w:rPr>
        <w:t xml:space="preserve">, </w:t>
      </w:r>
      <w:r w:rsidR="00203833">
        <w:rPr>
          <w:rFonts w:cs="Times New Roman"/>
          <w:lang w:val="el-GR"/>
        </w:rPr>
        <w:t>ριμπαβίρίνη, ριφαμπικίνη,</w:t>
      </w:r>
      <w:r w:rsidRPr="00F54B01">
        <w:rPr>
          <w:rFonts w:cs="Times New Roman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τακρόλιμους</w:t>
      </w:r>
      <w:r w:rsidRPr="00F54B01">
        <w:rPr>
          <w:rFonts w:cs="Times New Roman"/>
          <w:lang w:val="el-GR"/>
        </w:rPr>
        <w:t xml:space="preserve"> ή το ορμονικό</w:t>
      </w:r>
      <w:r w:rsidRPr="00F54B01">
        <w:rPr>
          <w:rFonts w:cs="Times New Roman"/>
          <w:spacing w:val="-3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αντισυλληπτικό </w:t>
      </w:r>
      <w:r w:rsidR="00203833" w:rsidRPr="00203833">
        <w:rPr>
          <w:rFonts w:cs="Times New Roman"/>
          <w:lang w:val="el-GR"/>
        </w:rPr>
        <w:t>νοργεστιμάτη/</w:t>
      </w:r>
      <w:r w:rsidR="00203833">
        <w:rPr>
          <w:rFonts w:cs="Times New Roman"/>
          <w:lang w:val="el-GR"/>
        </w:rPr>
        <w:t>αιθυνυλοιστραδιόλη</w:t>
      </w:r>
      <w:r w:rsidRPr="00F54B01">
        <w:rPr>
          <w:rFonts w:cs="Times New Roman"/>
          <w:lang w:val="el-GR"/>
        </w:rPr>
        <w:t>.</w:t>
      </w:r>
    </w:p>
    <w:p w:rsidR="009D104A" w:rsidRPr="00F54B01" w:rsidRDefault="00FE43C0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Η τενοφοβίρη δισοπρόξιλη</w:t>
      </w:r>
      <w:r w:rsidR="00302B89" w:rsidRPr="00F54B01">
        <w:rPr>
          <w:rFonts w:cs="Times New Roman"/>
          <w:lang w:val="el-GR"/>
        </w:rPr>
        <w:t xml:space="preserve"> πρέπει να λαμβάνεται με την τροφή, καθώς η τροφή αυξάνει</w:t>
      </w:r>
      <w:r w:rsidR="00302B89" w:rsidRPr="00F54B01">
        <w:rPr>
          <w:rFonts w:cs="Times New Roman"/>
          <w:spacing w:val="-21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τη βιοδιαθεσιμότητα </w:t>
      </w:r>
      <w:r>
        <w:rPr>
          <w:rFonts w:cs="Times New Roman"/>
          <w:lang w:val="el-GR"/>
        </w:rPr>
        <w:t>της τενοφοβίρης</w:t>
      </w:r>
      <w:r w:rsidR="00302B89" w:rsidRPr="00F54B01">
        <w:rPr>
          <w:rFonts w:cs="Times New Roman"/>
          <w:lang w:val="el-GR"/>
        </w:rPr>
        <w:t xml:space="preserve"> (βλ. παράγραφο</w:t>
      </w:r>
      <w:r w:rsidR="00302B89" w:rsidRPr="00F54B01">
        <w:rPr>
          <w:rFonts w:cs="Times New Roman"/>
          <w:spacing w:val="-11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5.2).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</w:rPr>
      </w:pPr>
      <w:r w:rsidRPr="00F54B01">
        <w:rPr>
          <w:rFonts w:ascii="Times New Roman" w:hAnsi="Times New Roman" w:cs="Times New Roman"/>
          <w:b/>
        </w:rPr>
        <w:t>Γονιμότητα, κύηση και γαλουχία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</w:rPr>
      </w:pPr>
      <w:r w:rsidRPr="00F54B01">
        <w:rPr>
          <w:rFonts w:cs="Times New Roman"/>
          <w:u w:val="single" w:color="000000"/>
        </w:rPr>
        <w:t>Εγκυμοσύνη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Τα δεδομένα από σχετικά περιορισμένο αριθμό εγκύων γυναικών (περιπτώσεις έκβασης</w:t>
      </w:r>
      <w:r w:rsidRPr="00F54B01">
        <w:rPr>
          <w:rFonts w:cs="Times New Roman"/>
          <w:spacing w:val="-35"/>
          <w:lang w:val="el-GR"/>
        </w:rPr>
        <w:t xml:space="preserve"> </w:t>
      </w:r>
      <w:r w:rsidRPr="00F54B01">
        <w:rPr>
          <w:rFonts w:cs="Times New Roman"/>
          <w:lang w:val="el-GR"/>
        </w:rPr>
        <w:t>εγκυμοσύνης μεταξύ 300-1.000) δεν καταδεικνύουν την ύπαρξη συγγενών διαμαρτιών ή τοξικότητας</w:t>
      </w:r>
      <w:r w:rsidRPr="00F54B01">
        <w:rPr>
          <w:rFonts w:cs="Times New Roman"/>
          <w:spacing w:val="-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στο έμβρυο/νεογνό σχετιζόμενης με </w:t>
      </w:r>
      <w:r w:rsidR="00FE43C0">
        <w:rPr>
          <w:rFonts w:cs="Times New Roman"/>
          <w:lang w:val="el-GR"/>
        </w:rPr>
        <w:t>την τενοφοβίρη δισοπρόξιλη</w:t>
      </w:r>
      <w:r w:rsidRPr="00F54B01">
        <w:rPr>
          <w:rFonts w:cs="Times New Roman"/>
          <w:lang w:val="el-GR"/>
        </w:rPr>
        <w:t>. Μελέτες σε ζώα δεν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κατέδειξαν αναπαραγωγική τοξικότητα (βλ. παράγραφο 5.3). Η χρήση </w:t>
      </w:r>
      <w:r w:rsidR="00FE43C0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>θα μπορούσε να αποφασιστεί κατά τη διάρκεια της εγκυμοσύνης, εάν αυτή κρίνεται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απαραίτητη.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Θηλασμός</w:t>
      </w:r>
    </w:p>
    <w:p w:rsidR="009D104A" w:rsidRPr="00F54B01" w:rsidRDefault="00796AA2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Η </w:t>
      </w:r>
      <w:r w:rsidR="00FE43C0">
        <w:rPr>
          <w:rFonts w:cs="Times New Roman"/>
          <w:lang w:val="el-GR"/>
        </w:rPr>
        <w:t>τενοφοβίρη</w:t>
      </w:r>
      <w:r w:rsidR="00302B89" w:rsidRPr="00F54B01">
        <w:rPr>
          <w:rFonts w:cs="Times New Roman"/>
          <w:lang w:val="el-GR"/>
        </w:rPr>
        <w:t xml:space="preserve"> έχει αποδειχθεί ότι απεκκρίνεται στο ανθρώπινο γάλα. Υπάρχουν</w:t>
      </w:r>
      <w:r w:rsidR="00302B89" w:rsidRPr="00F54B01">
        <w:rPr>
          <w:rFonts w:cs="Times New Roman"/>
          <w:spacing w:val="-12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ανεπαρκείς πληροφορίες σχετικά με την επίδραση </w:t>
      </w:r>
      <w:r w:rsidR="00FE43C0">
        <w:rPr>
          <w:rFonts w:cs="Times New Roman"/>
          <w:lang w:val="el-GR"/>
        </w:rPr>
        <w:t>της τενοφοβίρης</w:t>
      </w:r>
      <w:r w:rsidR="00302B89" w:rsidRPr="00F54B01">
        <w:rPr>
          <w:rFonts w:cs="Times New Roman"/>
          <w:lang w:val="el-GR"/>
        </w:rPr>
        <w:t xml:space="preserve"> στα νεογέννητα/βρέφη. Συνεπώς το </w:t>
      </w:r>
      <w:r w:rsidR="00FE43C0">
        <w:rPr>
          <w:rFonts w:cs="Times New Roman"/>
        </w:rPr>
        <w:t>AGARDON</w:t>
      </w:r>
      <w:r w:rsidR="00FE43C0" w:rsidRPr="00F54B01">
        <w:rPr>
          <w:rFonts w:cs="Times New Roman"/>
          <w:spacing w:val="-24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δεν πρέπει να χρησιμοποιείται κατά την διάρκεια του</w:t>
      </w:r>
      <w:r w:rsidR="00302B89" w:rsidRPr="00F54B01">
        <w:rPr>
          <w:rFonts w:cs="Times New Roman"/>
          <w:spacing w:val="-12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θηλασμού.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Ως γενικός κανόνας, δεν συνιστάται σε γυναίκες που έχουν προσβληθεί από τον ιό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και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>τον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ιό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να θηλάζουν τα βρέφη τους, προκειμένου να αποφευχθεί μετάδοση του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και του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στο</w:t>
      </w:r>
      <w:r w:rsidRPr="00F54B01">
        <w:rPr>
          <w:rFonts w:cs="Times New Roman"/>
          <w:spacing w:val="-1"/>
          <w:lang w:val="el-GR"/>
        </w:rPr>
        <w:t xml:space="preserve"> </w:t>
      </w:r>
      <w:r w:rsidRPr="00F54B01">
        <w:rPr>
          <w:rFonts w:cs="Times New Roman"/>
          <w:lang w:val="el-GR"/>
        </w:rPr>
        <w:t>βρέφος.</w:t>
      </w:r>
    </w:p>
    <w:p w:rsidR="001E7767" w:rsidRPr="00F54B01" w:rsidRDefault="001E7767" w:rsidP="009A7039">
      <w:pPr>
        <w:pStyle w:val="a3"/>
        <w:ind w:left="0"/>
        <w:rPr>
          <w:rFonts w:cs="Times New Roman"/>
          <w:u w:val="single" w:color="000000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Γονιμότητα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Υπάρχουν περιορισμένα κλινικά δεδομένα σχετικά με τις επιπτώσεις </w:t>
      </w:r>
      <w:r w:rsidR="00FE43C0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στη γονιμότητα. Μελέτες σε ζώα δεν κατέδειξαν επικίνδυνες επιπτώσεις </w:t>
      </w:r>
      <w:r w:rsidR="00B42C30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στη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γονιμότητα.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8809ED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  <w:lang w:val="el-GR"/>
        </w:rPr>
      </w:pPr>
      <w:r w:rsidRPr="008809ED">
        <w:rPr>
          <w:rFonts w:ascii="Times New Roman" w:hAnsi="Times New Roman" w:cs="Times New Roman"/>
          <w:b/>
          <w:lang w:val="el-GR"/>
        </w:rPr>
        <w:t>Επιδράσεις στην ικανότητα οδήγησης και χειρισμού μηχανών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Δεν πραγματοποιήθηκαν μελέτες σχετικά με τις επιδράσεις στην ικανότητα οδήγησης και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χειρισμού μηχανών. Εν τούτοις, οι ασθενείς πρέπει να ενημερώνονται ότι αναφέρθηκε ζάλη κατά τη θεραπεία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</w:t>
      </w:r>
      <w:r w:rsidR="00B42C30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</w:rPr>
      </w:pPr>
      <w:r w:rsidRPr="00F54B01">
        <w:rPr>
          <w:rFonts w:ascii="Times New Roman" w:hAnsi="Times New Roman" w:cs="Times New Roman"/>
          <w:b/>
        </w:rPr>
        <w:t>Ανεπιθύμητες ενέργειες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</w:rPr>
      </w:pPr>
      <w:r w:rsidRPr="00F54B01">
        <w:rPr>
          <w:rFonts w:cs="Times New Roman"/>
          <w:u w:val="single" w:color="000000"/>
        </w:rPr>
        <w:t>Περίληψη του προφίλ</w:t>
      </w:r>
      <w:r w:rsidRPr="00F54B01">
        <w:rPr>
          <w:rFonts w:cs="Times New Roman"/>
          <w:spacing w:val="-7"/>
          <w:u w:val="single" w:color="000000"/>
        </w:rPr>
        <w:t xml:space="preserve"> </w:t>
      </w:r>
      <w:r w:rsidRPr="00F54B01">
        <w:rPr>
          <w:rFonts w:cs="Times New Roman"/>
          <w:u w:val="single" w:color="000000"/>
        </w:rPr>
        <w:t>ασφάλειας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</w:rPr>
        <w:t>HIV</w:t>
      </w:r>
      <w:r w:rsidRPr="00F54B01">
        <w:rPr>
          <w:rFonts w:cs="Times New Roman"/>
          <w:i/>
          <w:lang w:val="el-GR"/>
        </w:rPr>
        <w:t xml:space="preserve">-1 και ηπατίτιδα </w:t>
      </w:r>
      <w:r w:rsidRPr="00F54B01">
        <w:rPr>
          <w:rFonts w:cs="Times New Roman"/>
          <w:i/>
        </w:rPr>
        <w:t>B</w:t>
      </w:r>
      <w:r w:rsidRPr="00F54B01">
        <w:rPr>
          <w:rFonts w:cs="Times New Roman"/>
          <w:i/>
          <w:lang w:val="el-GR"/>
        </w:rPr>
        <w:t xml:space="preserve">: </w:t>
      </w:r>
      <w:r w:rsidRPr="00F54B01">
        <w:rPr>
          <w:rFonts w:cs="Times New Roman"/>
          <w:lang w:val="el-GR"/>
        </w:rPr>
        <w:t xml:space="preserve">Σε ασθενείς που λαμβάνουν </w:t>
      </w:r>
      <w:r w:rsidR="00B42C30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, έχουν</w:t>
      </w:r>
      <w:r w:rsidRPr="00F54B01">
        <w:rPr>
          <w:rFonts w:cs="Times New Roman"/>
          <w:spacing w:val="-32"/>
          <w:lang w:val="el-GR"/>
        </w:rPr>
        <w:t xml:space="preserve"> </w:t>
      </w:r>
      <w:r w:rsidRPr="00F54B01">
        <w:rPr>
          <w:rFonts w:cs="Times New Roman"/>
          <w:lang w:val="el-GR"/>
        </w:rPr>
        <w:t>αναφερθεί σπάνια συμβάντα νεφρικής δυσλειτουργίας, νεφρική έκπτωση και κεντρική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σωληναριοπάθεια (συμπεριλαμβανομένου του συνδρόμου </w:t>
      </w:r>
      <w:r w:rsidRPr="00F54B01">
        <w:rPr>
          <w:rFonts w:cs="Times New Roman"/>
        </w:rPr>
        <w:t>Fanconi</w:t>
      </w:r>
      <w:r w:rsidRPr="00F54B01">
        <w:rPr>
          <w:rFonts w:cs="Times New Roman"/>
          <w:lang w:val="el-GR"/>
        </w:rPr>
        <w:t>) που μερικές φορές οδηγούν σε οστικές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διαταραχές (που συμβάλλουν όχι συχνά σε κατάγματα). Συνιστάται στενή παρακολούθηση της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νεφρικής λειτουργίας για ασθενείς που λαμβάνουν </w:t>
      </w:r>
      <w:r w:rsidR="00B42C30">
        <w:rPr>
          <w:rFonts w:cs="Times New Roman"/>
          <w:lang w:val="el-GR"/>
        </w:rPr>
        <w:t>τενοφοβίρη</w:t>
      </w:r>
      <w:r w:rsidR="00B42C30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(βλ. παράγραφο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</w:rPr>
        <w:t>HIV</w:t>
      </w:r>
      <w:r w:rsidRPr="00F54B01">
        <w:rPr>
          <w:rFonts w:cs="Times New Roman"/>
          <w:i/>
          <w:lang w:val="el-GR"/>
        </w:rPr>
        <w:t xml:space="preserve">-1: </w:t>
      </w:r>
      <w:r w:rsidRPr="00F54B01">
        <w:rPr>
          <w:rFonts w:cs="Times New Roman"/>
          <w:lang w:val="el-GR"/>
        </w:rPr>
        <w:t>Περίπου το ένα τρίτο των ασθενών αναμένεται να εμφανίσει ανεπιθύμητες ενέργειες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ως αποτέλεσμα της θεραπείας με </w:t>
      </w:r>
      <w:r w:rsidR="00B42C30">
        <w:rPr>
          <w:rFonts w:cs="Times New Roman"/>
          <w:lang w:val="el-GR"/>
        </w:rPr>
        <w:t>την τενοφοβίρη δισοπρόξιλη</w:t>
      </w:r>
      <w:r w:rsidRPr="00F54B01">
        <w:rPr>
          <w:rFonts w:cs="Times New Roman"/>
          <w:lang w:val="el-GR"/>
        </w:rPr>
        <w:t>, σε συνδυασμό με άλλες</w:t>
      </w:r>
      <w:r w:rsidRPr="00F54B01">
        <w:rPr>
          <w:rFonts w:cs="Times New Roman"/>
          <w:spacing w:val="-30"/>
          <w:lang w:val="el-GR"/>
        </w:rPr>
        <w:t xml:space="preserve"> </w:t>
      </w:r>
      <w:r w:rsidRPr="00F54B01">
        <w:rPr>
          <w:rFonts w:cs="Times New Roman"/>
          <w:lang w:val="el-GR"/>
        </w:rPr>
        <w:t>αντιρετροϊκές ουσίες. Αυτές οι αντιδράσεις κυμαίνονται συνήθως από ήπια έως μέτρια γαστρεντερικά</w:t>
      </w:r>
      <w:r w:rsidRPr="00F54B01">
        <w:rPr>
          <w:rFonts w:cs="Times New Roman"/>
          <w:spacing w:val="-32"/>
          <w:lang w:val="el-GR"/>
        </w:rPr>
        <w:t xml:space="preserve"> </w:t>
      </w:r>
      <w:r w:rsidRPr="00F54B01">
        <w:rPr>
          <w:rFonts w:cs="Times New Roman"/>
          <w:lang w:val="el-GR"/>
        </w:rPr>
        <w:t>συμβάντα.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Περίπου το 1% των ενηλίκων ασθενών που υποβλήθηκαν σε θεραπεία με </w:t>
      </w:r>
      <w:r w:rsidR="00B42C30">
        <w:rPr>
          <w:rFonts w:cs="Times New Roman"/>
          <w:lang w:val="el-GR"/>
        </w:rPr>
        <w:t>την τενοφοβίρη δισοπρόξιλη</w:t>
      </w:r>
      <w:r w:rsidR="00B42C30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διέκοψαν τη θεραπεία λόγω των γαστρεντερικών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συμβάντων.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συγχορήγηση </w:t>
      </w:r>
      <w:r w:rsidR="00B42C30">
        <w:rPr>
          <w:rFonts w:cs="Times New Roman"/>
          <w:lang w:val="el-GR"/>
        </w:rPr>
        <w:t>τενοφοβίρης</w:t>
      </w:r>
      <w:r w:rsidRPr="00F54B01">
        <w:rPr>
          <w:rFonts w:cs="Times New Roman"/>
          <w:lang w:val="el-GR"/>
        </w:rPr>
        <w:t xml:space="preserve"> με </w:t>
      </w:r>
      <w:r w:rsidR="00AA45B9" w:rsidRPr="00AA45B9">
        <w:rPr>
          <w:rFonts w:cs="Times New Roman"/>
          <w:lang w:val="el-GR"/>
        </w:rPr>
        <w:t>διδανοσίνη</w:t>
      </w:r>
      <w:r w:rsidR="00B42C30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δεν συνιστάται, καθώς ενδέχεται να αυξήσει τον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κίνδυνο ανεπιθύμητων ενεργειών (βλ. παράγραφο 4.5). Σπάνια, έχουν αναφερθεί παγκρεατίτιδα και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γαλακτική οξέωση, ενίοτε μοιραία (βλ. παράγραφο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  <w:lang w:val="el-GR"/>
        </w:rPr>
        <w:t xml:space="preserve">Ηπατίτιδα </w:t>
      </w:r>
      <w:r w:rsidRPr="00F54B01">
        <w:rPr>
          <w:rFonts w:cs="Times New Roman"/>
          <w:i/>
        </w:rPr>
        <w:t>B</w:t>
      </w:r>
      <w:r w:rsidRPr="00F54B01">
        <w:rPr>
          <w:rFonts w:cs="Times New Roman"/>
          <w:i/>
          <w:lang w:val="el-GR"/>
        </w:rPr>
        <w:t xml:space="preserve">: </w:t>
      </w:r>
      <w:r w:rsidRPr="00F54B01">
        <w:rPr>
          <w:rFonts w:cs="Times New Roman"/>
          <w:lang w:val="el-GR"/>
        </w:rPr>
        <w:t>Περίπου το ένα τέταρτο των ασθενών αναμένεται να εμφανίσει ανεπιθύμητες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ενέργειες ως αποτέλεσμα της θεραπείας με </w:t>
      </w:r>
      <w:r w:rsidR="00B42C30">
        <w:rPr>
          <w:rFonts w:cs="Times New Roman"/>
          <w:lang w:val="el-GR"/>
        </w:rPr>
        <w:t>την τενοφοβίρη δισοπρόξιλη</w:t>
      </w:r>
      <w:r w:rsidRPr="00F54B01">
        <w:rPr>
          <w:rFonts w:cs="Times New Roman"/>
          <w:lang w:val="el-GR"/>
        </w:rPr>
        <w:t>, οι περισσότερες από τις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οποίες είναι ήπιες. Σε κλινικές μελέτες ασθενών με λοίμωξη </w:t>
      </w:r>
      <w:r w:rsidRPr="00F54B01">
        <w:rPr>
          <w:rFonts w:cs="Times New Roman"/>
          <w:spacing w:val="-2"/>
          <w:lang w:val="el-GR"/>
        </w:rPr>
        <w:t xml:space="preserve">από </w:t>
      </w:r>
      <w:r w:rsidRPr="00F54B01">
        <w:rPr>
          <w:rFonts w:cs="Times New Roman"/>
          <w:lang w:val="el-GR"/>
        </w:rPr>
        <w:t xml:space="preserve">τον ιό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>, η πιο συ</w:t>
      </w:r>
      <w:r w:rsidR="00B807B9">
        <w:rPr>
          <w:rFonts w:cs="Times New Roman"/>
          <w:lang w:val="el-GR"/>
        </w:rPr>
        <w:t>χ</w:t>
      </w:r>
      <w:r w:rsidRPr="00F54B01">
        <w:rPr>
          <w:rFonts w:cs="Times New Roman"/>
          <w:lang w:val="el-GR"/>
        </w:rPr>
        <w:t>νά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εμφανιζόμενη ανεπιθύμητη ενέργεια </w:t>
      </w:r>
      <w:r w:rsidR="00B42C30" w:rsidRPr="00F54B01">
        <w:rPr>
          <w:rFonts w:cs="Times New Roman"/>
          <w:lang w:val="el-GR"/>
        </w:rPr>
        <w:t>στ</w:t>
      </w:r>
      <w:r w:rsidR="00B42C30">
        <w:rPr>
          <w:rFonts w:cs="Times New Roman"/>
          <w:lang w:val="el-GR"/>
        </w:rPr>
        <w:t>ην τενοφοβίρη δισοπρόξιλη</w:t>
      </w:r>
      <w:r w:rsidR="00B42C30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ήταν η ναυτία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(5,4%).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Οξεία έξαρση της ηπατίτιδας αναφέρθηκε σε ασθενείς που είχαν διακόψει τη θεραπεία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για ηπατίτιδα </w:t>
      </w:r>
      <w:r w:rsidRPr="00F54B01">
        <w:rPr>
          <w:rFonts w:cs="Times New Roman"/>
        </w:rPr>
        <w:t>B</w:t>
      </w:r>
      <w:r w:rsidRPr="00F54B01">
        <w:rPr>
          <w:rFonts w:cs="Times New Roman"/>
          <w:lang w:val="el-GR"/>
        </w:rPr>
        <w:t xml:space="preserve"> (βλ. παράγραφο</w:t>
      </w:r>
      <w:r w:rsidRPr="00F54B01">
        <w:rPr>
          <w:rFonts w:cs="Times New Roman"/>
          <w:spacing w:val="-4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Συνοπτική περίληψη ανεπιθύμητων</w:t>
      </w:r>
      <w:r w:rsidRPr="00F54B01">
        <w:rPr>
          <w:rFonts w:cs="Times New Roman"/>
          <w:spacing w:val="-15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ενεργειών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lastRenderedPageBreak/>
        <w:t xml:space="preserve">Η αξιολόγηση των ανεπιθύμητων ενεργειών </w:t>
      </w:r>
      <w:r w:rsidR="00C9798F">
        <w:rPr>
          <w:rFonts w:cs="Times New Roman"/>
          <w:lang w:val="el-GR"/>
        </w:rPr>
        <w:t>στην τενοφοβίρη δισοπρόξιλη</w:t>
      </w:r>
      <w:r w:rsidRPr="00F54B01">
        <w:rPr>
          <w:rFonts w:cs="Times New Roman"/>
          <w:lang w:val="el-GR"/>
        </w:rPr>
        <w:t xml:space="preserve"> βασίζεται σε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>δεδομένα από κλινικές μελέτες και στην εμπειρία μετά την κυκλοφορία. Όλες οι ανεπιθύμητες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>ενέργειες παρουσιάζονται στον Πίνακα</w:t>
      </w:r>
      <w:r w:rsidRPr="00F54B01">
        <w:rPr>
          <w:rFonts w:cs="Times New Roman"/>
          <w:spacing w:val="-5"/>
          <w:lang w:val="el-GR"/>
        </w:rPr>
        <w:t xml:space="preserve"> </w:t>
      </w:r>
      <w:r w:rsidRPr="00F54B01">
        <w:rPr>
          <w:rFonts w:cs="Times New Roman"/>
          <w:lang w:val="el-GR"/>
        </w:rPr>
        <w:t>2.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  <w:lang w:val="el-GR"/>
        </w:rPr>
        <w:t xml:space="preserve">Κλινικές μελέτες </w:t>
      </w:r>
      <w:r w:rsidRPr="00F54B01">
        <w:rPr>
          <w:rFonts w:cs="Times New Roman"/>
          <w:i/>
        </w:rPr>
        <w:t>HIV</w:t>
      </w:r>
      <w:r w:rsidRPr="00F54B01">
        <w:rPr>
          <w:rFonts w:cs="Times New Roman"/>
          <w:i/>
          <w:lang w:val="el-GR"/>
        </w:rPr>
        <w:t xml:space="preserve">-1: </w:t>
      </w:r>
      <w:r w:rsidRPr="00F54B01">
        <w:rPr>
          <w:rFonts w:cs="Times New Roman"/>
          <w:lang w:val="el-GR"/>
        </w:rPr>
        <w:t>Η αξιολόγηση των ανεπιθύμητων ενεργειών από τα δεδομένα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κλινικών μελετών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 βασίζεται στην εμπειρία από δύο μελέτες σε 653 ασθενείς που είχαν δεχθεί αγωγή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στο παρελθόν, έλαβαν </w:t>
      </w:r>
      <w:r w:rsidR="00C9798F">
        <w:rPr>
          <w:rFonts w:cs="Times New Roman"/>
          <w:lang w:val="el-GR"/>
        </w:rPr>
        <w:t>τενοφοβίρη δισοπρόξιλη</w:t>
      </w:r>
      <w:r w:rsidR="00C9798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443) ή εικονικό φάρμακο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210)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>σε συνδυασμό με άλλα αντιρετροϊκα φαρμακευτικά προϊόντα για 24 εβδομάδες και επίσης σε μία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διπλή τυφλή συγκριτική ελεγχόμενη μελέτη στην οποία 600 πρωτοθεραπευόμενοι ασθενείς έλαβαν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αγωγή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</w:t>
      </w:r>
      <w:r w:rsidR="00C9798F">
        <w:rPr>
          <w:rFonts w:cs="Times New Roman"/>
          <w:lang w:val="el-GR"/>
        </w:rPr>
        <w:t>τενοφοβίρη δισοπρόξιλη</w:t>
      </w:r>
      <w:r w:rsidR="00C9798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 (</w:t>
      </w:r>
      <w:r w:rsidR="00C9798F">
        <w:rPr>
          <w:rFonts w:cs="Times New Roman"/>
        </w:rPr>
        <w:t>n</w:t>
      </w:r>
      <w:r w:rsidR="00C9798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= 299) ή </w:t>
      </w:r>
      <w:r w:rsidR="00203833" w:rsidRPr="00203833">
        <w:rPr>
          <w:rFonts w:cs="Times New Roman"/>
          <w:lang w:val="el-GR"/>
        </w:rPr>
        <w:t>σταβουδίνη</w:t>
      </w:r>
      <w:r w:rsidR="00C9798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v</w:t>
      </w:r>
      <w:r w:rsidRPr="00F54B01">
        <w:rPr>
          <w:rFonts w:cs="Times New Roman"/>
          <w:lang w:val="el-GR"/>
        </w:rPr>
        <w:t xml:space="preserve"> = 301) σε συνδυασμό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</w:t>
      </w:r>
      <w:r w:rsidR="00643ECB" w:rsidRPr="00FB72E2">
        <w:rPr>
          <w:rFonts w:cs="Times New Roman"/>
          <w:lang w:val="el-GR"/>
        </w:rPr>
        <w:t>λαμιβουδίνη</w:t>
      </w:r>
      <w:r w:rsidR="00C9798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</w:t>
      </w:r>
      <w:r w:rsidR="00203833" w:rsidRPr="00203833">
        <w:rPr>
          <w:rFonts w:cs="Times New Roman"/>
          <w:lang w:val="el-GR"/>
        </w:rPr>
        <w:t>εφαβιρένζη</w:t>
      </w:r>
      <w:r w:rsidR="00C9798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για 144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εβδομάδες.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  <w:lang w:val="el-GR"/>
        </w:rPr>
        <w:t xml:space="preserve">Κλινικές μελέτες ηπατίτιδας </w:t>
      </w:r>
      <w:r w:rsidRPr="00F54B01">
        <w:rPr>
          <w:rFonts w:cs="Times New Roman"/>
          <w:i/>
        </w:rPr>
        <w:t>B</w:t>
      </w:r>
      <w:r w:rsidRPr="00F54B01">
        <w:rPr>
          <w:rFonts w:cs="Times New Roman"/>
          <w:i/>
          <w:lang w:val="el-GR"/>
        </w:rPr>
        <w:t xml:space="preserve">: </w:t>
      </w:r>
      <w:r w:rsidRPr="00F54B01">
        <w:rPr>
          <w:rFonts w:cs="Times New Roman"/>
          <w:lang w:val="el-GR"/>
        </w:rPr>
        <w:t>Η αξιολόγηση των ανεπιθύμητων ενεργειών από τα δεδομένα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κλινικών μελετών βασίζεται κυρίως στην εμπειρία από δύο διπλές τυφλές συγκριτικές ελεγχόμενες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μελέτες, στις οποίες 641 ενήλικες ασθενείς με χρόνια ηπατίτιδα Β και αντιρροπούμενη ηπατική νόσο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έλαβαν θεραπεία με </w:t>
      </w:r>
      <w:r w:rsidR="00C9798F">
        <w:rPr>
          <w:rFonts w:cs="Times New Roman"/>
          <w:lang w:val="el-GR"/>
        </w:rPr>
        <w:t>τενοφοβίρη δισοπρόξιλη</w:t>
      </w:r>
      <w:r w:rsidR="00C9798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καθημερινά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426) ή </w:t>
      </w:r>
      <w:r w:rsidR="00AA45B9" w:rsidRPr="00AA45B9">
        <w:rPr>
          <w:rFonts w:cs="Times New Roman"/>
          <w:lang w:val="el-GR"/>
        </w:rPr>
        <w:t>αδεφοβίρη διπιβοξίλη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10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καθημερινά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215) για 48 εβδομάδες. Οι ανεπιθύμητες ενέργειες που παρατηρήθηκαν με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 συνεχιζόμενη θεραπεία για 384 εβδομάδες ήταν συμβατές με το προφίλ ασφαλείας </w:t>
      </w:r>
      <w:r w:rsidR="00796AA2">
        <w:rPr>
          <w:rFonts w:cs="Times New Roman"/>
          <w:lang w:val="el-GR"/>
        </w:rPr>
        <w:t xml:space="preserve">της </w:t>
      </w:r>
      <w:r w:rsidR="00643ECB" w:rsidRPr="00FB72E2">
        <w:rPr>
          <w:rFonts w:cs="Times New Roman"/>
          <w:lang w:val="el-GR"/>
        </w:rPr>
        <w:t>τενοφοβίρη</w:t>
      </w:r>
      <w:r w:rsidR="00796AA2">
        <w:rPr>
          <w:rFonts w:cs="Times New Roman"/>
          <w:lang w:val="el-GR"/>
        </w:rPr>
        <w:t>ς</w:t>
      </w:r>
      <w:r w:rsidR="00643ECB" w:rsidRPr="00FB72E2">
        <w:rPr>
          <w:rFonts w:cs="Times New Roman"/>
          <w:lang w:val="el-GR"/>
        </w:rPr>
        <w:t xml:space="preserve"> </w:t>
      </w:r>
      <w:r w:rsidR="00643ECB" w:rsidRPr="003C6E3B">
        <w:rPr>
          <w:rFonts w:cs="Times New Roman"/>
          <w:lang w:val="el-GR"/>
        </w:rPr>
        <w:t>δισοπρόξιλη</w:t>
      </w:r>
      <w:r w:rsidR="00796AA2" w:rsidRPr="003C6E3B">
        <w:rPr>
          <w:rFonts w:cs="Times New Roman"/>
          <w:lang w:val="el-GR"/>
        </w:rPr>
        <w:t xml:space="preserve">ς </w:t>
      </w:r>
      <w:r w:rsidR="003C6E3B" w:rsidRPr="003C6E3B">
        <w:rPr>
          <w:rFonts w:cs="Times New Roman"/>
          <w:lang w:val="el-GR"/>
        </w:rPr>
        <w:t>(ως ηλεκτρική)</w:t>
      </w:r>
      <w:r w:rsidRPr="003C6E3B">
        <w:rPr>
          <w:rFonts w:cs="Times New Roman"/>
          <w:lang w:val="el-GR"/>
        </w:rPr>
        <w:t>.</w:t>
      </w:r>
      <w:r w:rsidRPr="00F54B01">
        <w:rPr>
          <w:rFonts w:cs="Times New Roman"/>
          <w:lang w:val="el-GR"/>
        </w:rPr>
        <w:t xml:space="preserve"> Μετά από μια αρχική μείωση περίπου -4,9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 (με χρήση της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εξίσωσης </w:t>
      </w:r>
      <w:r w:rsidRPr="00F54B01">
        <w:rPr>
          <w:rFonts w:cs="Times New Roman"/>
        </w:rPr>
        <w:t>Cockcroft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Gault</w:t>
      </w:r>
      <w:r w:rsidRPr="00F54B01">
        <w:rPr>
          <w:rFonts w:cs="Times New Roman"/>
          <w:lang w:val="el-GR"/>
        </w:rPr>
        <w:t xml:space="preserve">) ή -3,9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/1,73 </w:t>
      </w:r>
      <w:r w:rsidRPr="00F54B01">
        <w:rPr>
          <w:rFonts w:cs="Times New Roman"/>
        </w:rPr>
        <w:t>m</w:t>
      </w:r>
      <w:r w:rsidRPr="00F54B01">
        <w:rPr>
          <w:rFonts w:cs="Times New Roman"/>
          <w:position w:val="10"/>
          <w:sz w:val="14"/>
          <w:lang w:val="el-GR"/>
        </w:rPr>
        <w:t xml:space="preserve">2 </w:t>
      </w:r>
      <w:r w:rsidR="008E2BBE">
        <w:rPr>
          <w:rFonts w:cs="Times New Roman"/>
          <w:lang w:val="el-GR"/>
        </w:rPr>
        <w:t>[</w:t>
      </w:r>
      <w:r w:rsidRPr="00F54B01">
        <w:rPr>
          <w:rFonts w:cs="Times New Roman"/>
          <w:lang w:val="el-GR"/>
        </w:rPr>
        <w:t>με χρήση της εξίσωσης τροποποίησης της δίαιτας</w:t>
      </w:r>
      <w:r w:rsidRPr="00F54B01">
        <w:rPr>
          <w:rFonts w:cs="Times New Roman"/>
          <w:spacing w:val="-3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 νεφρική νόσο </w:t>
      </w:r>
      <w:r w:rsidR="008E2BBE">
        <w:rPr>
          <w:rFonts w:cs="Times New Roman"/>
          <w:lang w:val="el-GR"/>
        </w:rPr>
        <w:t>(</w:t>
      </w:r>
      <w:r w:rsidRPr="00F54B01">
        <w:rPr>
          <w:rFonts w:cs="Times New Roman"/>
        </w:rPr>
        <w:t>MDRD</w:t>
      </w:r>
      <w:r w:rsidRPr="00F54B01">
        <w:rPr>
          <w:rFonts w:cs="Times New Roman"/>
          <w:lang w:val="el-GR"/>
        </w:rPr>
        <w:t>)</w:t>
      </w:r>
      <w:r w:rsidR="008E2BBE">
        <w:rPr>
          <w:rFonts w:cs="Times New Roman"/>
          <w:lang w:val="el-GR"/>
        </w:rPr>
        <w:t>]</w:t>
      </w:r>
      <w:r w:rsidRPr="00F54B01">
        <w:rPr>
          <w:rFonts w:cs="Times New Roman"/>
          <w:lang w:val="el-GR"/>
        </w:rPr>
        <w:t xml:space="preserve"> μετά τις πρώτες 4 εβδομάδες θεραπείας, ο ρυθμός της ετήσιας μείωσης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μετά την έναρξη της θεραπείας της νεφρικής λειτουργίας που αναφέρθηκε στους ασθενείς που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έλαβαν θεραπεία με </w:t>
      </w:r>
      <w:r w:rsidR="00C9798F">
        <w:rPr>
          <w:rFonts w:cs="Times New Roman"/>
          <w:lang w:val="el-GR"/>
        </w:rPr>
        <w:t>τενοφοβίρη δισοπρόξιλη</w:t>
      </w:r>
      <w:r w:rsidR="00C9798F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ήταν -1,41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 ανά έτος (με χρήση της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εξίσωσης </w:t>
      </w:r>
      <w:r w:rsidRPr="00F54B01">
        <w:rPr>
          <w:rFonts w:cs="Times New Roman"/>
        </w:rPr>
        <w:t>Cockcroft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Gault</w:t>
      </w:r>
      <w:r w:rsidRPr="00F54B01">
        <w:rPr>
          <w:rFonts w:cs="Times New Roman"/>
          <w:lang w:val="el-GR"/>
        </w:rPr>
        <w:t xml:space="preserve">) και -0,74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/1,73 </w:t>
      </w:r>
      <w:r w:rsidRPr="00F54B01">
        <w:rPr>
          <w:rFonts w:cs="Times New Roman"/>
        </w:rPr>
        <w:t>m</w:t>
      </w:r>
      <w:r w:rsidRPr="00F54B01">
        <w:rPr>
          <w:rFonts w:cs="Times New Roman"/>
          <w:position w:val="10"/>
          <w:sz w:val="14"/>
          <w:lang w:val="el-GR"/>
        </w:rPr>
        <w:t xml:space="preserve">2  </w:t>
      </w:r>
      <w:r w:rsidRPr="00F54B01">
        <w:rPr>
          <w:rFonts w:cs="Times New Roman"/>
          <w:lang w:val="el-GR"/>
        </w:rPr>
        <w:t>ανά έτος (με χρήση της εξίσωσης</w:t>
      </w:r>
      <w:r w:rsidRPr="00F54B01">
        <w:rPr>
          <w:rFonts w:cs="Times New Roman"/>
          <w:spacing w:val="-31"/>
          <w:lang w:val="el-GR"/>
        </w:rPr>
        <w:t xml:space="preserve"> </w:t>
      </w:r>
      <w:r w:rsidRPr="00F54B01">
        <w:rPr>
          <w:rFonts w:cs="Times New Roman"/>
        </w:rPr>
        <w:t>MDRD</w:t>
      </w:r>
      <w:r w:rsidRPr="00F54B01">
        <w:rPr>
          <w:rFonts w:cs="Times New Roman"/>
          <w:lang w:val="el-GR"/>
        </w:rPr>
        <w:t>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  <w:lang w:val="el-GR"/>
        </w:rPr>
        <w:t xml:space="preserve">Ασθενείς με μη αντιρροπούμενη ηπατική νόσο: </w:t>
      </w:r>
      <w:r w:rsidRPr="00F54B01">
        <w:rPr>
          <w:rFonts w:cs="Times New Roman"/>
          <w:lang w:val="el-GR"/>
        </w:rPr>
        <w:t xml:space="preserve">Το προφίλ ασφαλείας </w:t>
      </w:r>
      <w:r w:rsidR="00D525C6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σε ασθενείς με μη αντιρροπούμενη ηπατική νόσο αξιολογήθηκε σε μία διπλή τυφλή,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ενεργά ελεγχόμενη μελέτη (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-174-0108) στη</w:t>
      </w:r>
      <w:r w:rsidR="00796AA2">
        <w:rPr>
          <w:rFonts w:cs="Times New Roman"/>
          <w:lang w:val="el-GR"/>
        </w:rPr>
        <w:t>ν</w:t>
      </w:r>
      <w:r w:rsidRPr="00F54B01">
        <w:rPr>
          <w:rFonts w:cs="Times New Roman"/>
          <w:lang w:val="el-GR"/>
        </w:rPr>
        <w:t xml:space="preserve"> οποία οι ενήλικες ασθενείς έλαβαν θεραπεία με</w:t>
      </w:r>
      <w:r w:rsidRPr="00F54B01">
        <w:rPr>
          <w:rFonts w:cs="Times New Roman"/>
          <w:spacing w:val="-21"/>
          <w:lang w:val="el-GR"/>
        </w:rPr>
        <w:t xml:space="preserve"> </w:t>
      </w:r>
      <w:r w:rsidR="00D525C6">
        <w:rPr>
          <w:rFonts w:cs="Times New Roman"/>
          <w:lang w:val="el-GR"/>
        </w:rPr>
        <w:t>τενοφοβίρη δισοπρόξιλη</w:t>
      </w:r>
      <w:r w:rsidR="00D525C6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45) ή </w:t>
      </w:r>
      <w:r w:rsidR="00203833" w:rsidRPr="00203833">
        <w:rPr>
          <w:rFonts w:cs="Times New Roman"/>
          <w:lang w:val="el-GR"/>
        </w:rPr>
        <w:t>εμτρισιταβίνη</w:t>
      </w:r>
      <w:r w:rsidRPr="00F54B01">
        <w:rPr>
          <w:rFonts w:cs="Times New Roman"/>
          <w:lang w:val="el-GR"/>
        </w:rPr>
        <w:t xml:space="preserve"> συν </w:t>
      </w:r>
      <w:r w:rsidR="00374D7B">
        <w:rPr>
          <w:rFonts w:cs="Times New Roman"/>
          <w:lang w:val="el-GR"/>
        </w:rPr>
        <w:t>τενοφοβίρη δισοπρόξιλη</w:t>
      </w:r>
      <w:r w:rsidR="00374D7B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45) ή</w:t>
      </w:r>
      <w:r w:rsidRPr="00F54B01">
        <w:rPr>
          <w:rFonts w:cs="Times New Roman"/>
          <w:spacing w:val="-30"/>
          <w:lang w:val="el-GR"/>
        </w:rPr>
        <w:t xml:space="preserve"> </w:t>
      </w:r>
      <w:r w:rsidR="00796AA2">
        <w:rPr>
          <w:rFonts w:cs="Times New Roman"/>
          <w:lang w:val="el-GR"/>
        </w:rPr>
        <w:t>εντεκαβίρη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22) για 48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εβδομάδες.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Στο σκέλος της θεραπείας με </w:t>
      </w:r>
      <w:r w:rsidR="00374D7B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, 7% των ασθενών διέκοψαν τη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θεραπεία εξαιτίας κάποιας ανεπιθύμητης ενέργειας, 9% των ασθενών παρουσίασαν επιβεβαιωμένη αύξηση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στη</w:t>
      </w:r>
      <w:r w:rsidR="00B807B9">
        <w:rPr>
          <w:rFonts w:cs="Times New Roman"/>
          <w:lang w:val="el-GR"/>
        </w:rPr>
        <w:t>ν</w:t>
      </w:r>
      <w:r w:rsidRPr="00F54B01">
        <w:rPr>
          <w:rFonts w:cs="Times New Roman"/>
          <w:lang w:val="el-GR"/>
        </w:rPr>
        <w:t xml:space="preserve"> κρεατινίνη ορού ≥0,5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dl</w:t>
      </w:r>
      <w:r w:rsidRPr="00F54B01">
        <w:rPr>
          <w:rFonts w:cs="Times New Roman"/>
          <w:lang w:val="el-GR"/>
        </w:rPr>
        <w:t xml:space="preserve"> ή επιβεβαιωμένος φώσφορος ορού &lt;2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dl</w:t>
      </w:r>
      <w:r w:rsidRPr="00F54B01">
        <w:rPr>
          <w:rFonts w:cs="Times New Roman"/>
          <w:lang w:val="el-GR"/>
        </w:rPr>
        <w:t xml:space="preserve"> μέχρι την 48</w:t>
      </w:r>
      <w:r w:rsidRPr="00F54B01">
        <w:rPr>
          <w:rFonts w:cs="Times New Roman"/>
          <w:position w:val="10"/>
          <w:sz w:val="14"/>
          <w:szCs w:val="14"/>
          <w:lang w:val="el-GR"/>
        </w:rPr>
        <w:t>η</w:t>
      </w:r>
      <w:r w:rsidRPr="00F54B01">
        <w:rPr>
          <w:rFonts w:cs="Times New Roman"/>
          <w:spacing w:val="1"/>
          <w:position w:val="10"/>
          <w:sz w:val="14"/>
          <w:szCs w:val="14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εβδομάδα.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Δεν υπήρξαν στατιστικά σημαντικές διαφορές μεταξύ του συνδυασμού του σκέλους που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περιείχε </w:t>
      </w:r>
      <w:r w:rsidR="00374D7B">
        <w:rPr>
          <w:rFonts w:cs="Times New Roman"/>
          <w:lang w:val="el-GR"/>
        </w:rPr>
        <w:t>τενοφοβίρη</w:t>
      </w:r>
      <w:r w:rsidR="00374D7B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του σκέλους που περιείχε </w:t>
      </w:r>
      <w:r w:rsidR="00796AA2" w:rsidRPr="00796AA2">
        <w:rPr>
          <w:rFonts w:cs="Times New Roman"/>
          <w:lang w:val="el-GR"/>
        </w:rPr>
        <w:t>εντεκαβίρη</w:t>
      </w:r>
      <w:r w:rsidRPr="00F54B01">
        <w:rPr>
          <w:rFonts w:cs="Times New Roman"/>
          <w:lang w:val="el-GR"/>
        </w:rPr>
        <w:t>. Μετά από 168 εβδομάδες, 16% (7/45) της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ομάδας </w:t>
      </w:r>
      <w:r w:rsidR="00374D7B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, 4% (2/45) της ομάδας της </w:t>
      </w:r>
      <w:r w:rsidR="00203833" w:rsidRPr="00203833">
        <w:rPr>
          <w:rFonts w:cs="Times New Roman"/>
          <w:lang w:val="el-GR"/>
        </w:rPr>
        <w:t>εμτρισιταβίνη</w:t>
      </w:r>
      <w:r w:rsidR="00796AA2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συν </w:t>
      </w:r>
      <w:r w:rsidR="00374D7B">
        <w:rPr>
          <w:rFonts w:cs="Times New Roman"/>
          <w:lang w:val="el-GR"/>
        </w:rPr>
        <w:t>τενοφοβίρη</w:t>
      </w:r>
      <w:r w:rsidR="00796AA2">
        <w:rPr>
          <w:rFonts w:cs="Times New Roman"/>
          <w:lang w:val="el-GR"/>
        </w:rPr>
        <w:t>ς</w:t>
      </w:r>
      <w:r w:rsidR="00374D7B">
        <w:rPr>
          <w:rFonts w:cs="Times New Roman"/>
          <w:lang w:val="el-GR"/>
        </w:rPr>
        <w:t xml:space="preserve"> δισοπρόξιλη</w:t>
      </w:r>
      <w:r w:rsidR="00796AA2">
        <w:rPr>
          <w:rFonts w:cs="Times New Roman"/>
          <w:lang w:val="el-GR"/>
        </w:rPr>
        <w:t xml:space="preserve">ς </w:t>
      </w:r>
      <w:r w:rsidRPr="00F54B01">
        <w:rPr>
          <w:rFonts w:cs="Times New Roman"/>
          <w:lang w:val="el-GR"/>
        </w:rPr>
        <w:t>και 14</w:t>
      </w:r>
      <w:r w:rsidR="00796AA2">
        <w:rPr>
          <w:rFonts w:cs="Times New Roman"/>
          <w:lang w:val="el-GR"/>
        </w:rPr>
        <w:t xml:space="preserve">% (3/22) της ομάδας της </w:t>
      </w:r>
      <w:r w:rsidR="00796AA2" w:rsidRPr="00796AA2">
        <w:rPr>
          <w:rFonts w:cs="Times New Roman"/>
          <w:lang w:val="el-GR"/>
        </w:rPr>
        <w:t>εντεκαβίρη</w:t>
      </w:r>
      <w:r w:rsidR="00796AA2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παρουσίασαν αποτυχία ανεκτικότητας. </w:t>
      </w:r>
      <w:r w:rsidR="008E2A52">
        <w:rPr>
          <w:rFonts w:cs="Times New Roman"/>
          <w:lang w:val="el-GR"/>
        </w:rPr>
        <w:t xml:space="preserve">13% </w:t>
      </w:r>
      <w:r w:rsidRPr="00F54B01">
        <w:rPr>
          <w:rFonts w:cs="Times New Roman"/>
          <w:lang w:val="el-GR"/>
        </w:rPr>
        <w:t xml:space="preserve"> (6/45) της ομάδας </w:t>
      </w:r>
      <w:r w:rsidR="00374D7B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>, 13% (6/45) της ομάδας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της </w:t>
      </w:r>
      <w:r w:rsidR="00203833" w:rsidRPr="00203833">
        <w:rPr>
          <w:rFonts w:cs="Times New Roman"/>
          <w:lang w:val="el-GR"/>
        </w:rPr>
        <w:t>εμτρισιταβίνη</w:t>
      </w:r>
      <w:r w:rsidR="00796AA2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συν </w:t>
      </w:r>
      <w:r w:rsidR="00374D7B">
        <w:rPr>
          <w:rFonts w:cs="Times New Roman"/>
          <w:lang w:val="el-GR"/>
        </w:rPr>
        <w:t>τενοφοβίρη</w:t>
      </w:r>
      <w:r w:rsidR="00796AA2">
        <w:rPr>
          <w:rFonts w:cs="Times New Roman"/>
          <w:lang w:val="el-GR"/>
        </w:rPr>
        <w:t>ς</w:t>
      </w:r>
      <w:r w:rsidR="00374D7B">
        <w:rPr>
          <w:rFonts w:cs="Times New Roman"/>
          <w:lang w:val="el-GR"/>
        </w:rPr>
        <w:t xml:space="preserve"> δισοπρόξιλη</w:t>
      </w:r>
      <w:r w:rsidR="00796AA2">
        <w:rPr>
          <w:rFonts w:cs="Times New Roman"/>
          <w:lang w:val="el-GR"/>
        </w:rPr>
        <w:t>ς</w:t>
      </w:r>
      <w:r w:rsidR="00374D7B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και 9% (2/22) της ομάδας τ</w:t>
      </w:r>
      <w:r w:rsidR="00796AA2">
        <w:rPr>
          <w:rFonts w:cs="Times New Roman"/>
          <w:lang w:val="el-GR"/>
        </w:rPr>
        <w:t>ης</w:t>
      </w:r>
      <w:r w:rsidRPr="00F54B01">
        <w:rPr>
          <w:rFonts w:cs="Times New Roman"/>
          <w:lang w:val="el-GR"/>
        </w:rPr>
        <w:t xml:space="preserve"> </w:t>
      </w:r>
      <w:r w:rsidR="00796AA2" w:rsidRPr="00796AA2">
        <w:rPr>
          <w:rFonts w:cs="Times New Roman"/>
          <w:lang w:val="el-GR"/>
        </w:rPr>
        <w:t>εντεκαβίρη</w:t>
      </w:r>
      <w:r w:rsidR="00796AA2">
        <w:rPr>
          <w:rFonts w:cs="Times New Roman"/>
          <w:lang w:val="el-GR"/>
        </w:rPr>
        <w:t>ς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είχαν επιβεβαιωμένη αύξηση στην κρεατινίνη ορού </w:t>
      </w:r>
      <w:r w:rsidR="008E2BBE">
        <w:rPr>
          <w:rFonts w:cs="Times New Roman"/>
          <w:b/>
          <w:bCs/>
          <w:lang w:val="el-GR"/>
        </w:rPr>
        <w:t>≥</w:t>
      </w:r>
      <w:r w:rsidRPr="00F54B01">
        <w:rPr>
          <w:rFonts w:cs="Times New Roman"/>
          <w:lang w:val="el-GR"/>
        </w:rPr>
        <w:t xml:space="preserve">0,5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dl</w:t>
      </w:r>
      <w:r w:rsidR="008E2BBE">
        <w:rPr>
          <w:rFonts w:cs="Times New Roman"/>
          <w:lang w:val="el-GR"/>
        </w:rPr>
        <w:t xml:space="preserve"> ή επιβεβαιωμένο φώσφορο ορού &lt;</w:t>
      </w:r>
      <w:r w:rsidRPr="00F54B01">
        <w:rPr>
          <w:rFonts w:cs="Times New Roman"/>
          <w:lang w:val="el-GR"/>
        </w:rPr>
        <w:t>2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dl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Κατά την 168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εβδομάδα, σε αυτόν τον πληθυσμό ασθενών με μη αντιρροπούμενη ηπατική νόσο,</w:t>
      </w:r>
      <w:r w:rsidRPr="00F54B01">
        <w:rPr>
          <w:rFonts w:cs="Times New Roman"/>
          <w:spacing w:val="-3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 ποσοστό θανάτου ήταν 13% (6/45) στην ομάδα </w:t>
      </w:r>
      <w:r w:rsidR="00374D7B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>, 11% (5/45)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στην ομάδα της </w:t>
      </w:r>
      <w:r w:rsidR="00203833" w:rsidRPr="00203833">
        <w:rPr>
          <w:rFonts w:cs="Times New Roman"/>
          <w:lang w:val="el-GR"/>
        </w:rPr>
        <w:t>εμτρισιταβίνη</w:t>
      </w:r>
      <w:r w:rsidR="00796AA2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συν </w:t>
      </w:r>
      <w:r w:rsidR="00374D7B">
        <w:rPr>
          <w:rFonts w:cs="Times New Roman"/>
          <w:lang w:val="el-GR"/>
        </w:rPr>
        <w:t>τενοφοβίρη</w:t>
      </w:r>
      <w:r w:rsidR="00796AA2">
        <w:rPr>
          <w:rFonts w:cs="Times New Roman"/>
          <w:lang w:val="el-GR"/>
        </w:rPr>
        <w:t>ς</w:t>
      </w:r>
      <w:r w:rsidR="00374D7B">
        <w:rPr>
          <w:rFonts w:cs="Times New Roman"/>
          <w:lang w:val="el-GR"/>
        </w:rPr>
        <w:t xml:space="preserve"> δισοπρόξιλη</w:t>
      </w:r>
      <w:r w:rsidR="00796AA2">
        <w:rPr>
          <w:rFonts w:cs="Times New Roman"/>
          <w:lang w:val="el-GR"/>
        </w:rPr>
        <w:t>ς</w:t>
      </w:r>
      <w:r w:rsidR="00374D7B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14% (3/22) στην ομάδα </w:t>
      </w:r>
      <w:r w:rsidR="00B807B9">
        <w:rPr>
          <w:rFonts w:cs="Times New Roman"/>
          <w:lang w:val="el-GR"/>
        </w:rPr>
        <w:t xml:space="preserve">της </w:t>
      </w:r>
      <w:r w:rsidR="00796AA2" w:rsidRPr="00796AA2">
        <w:rPr>
          <w:rFonts w:cs="Times New Roman"/>
          <w:lang w:val="el-GR"/>
        </w:rPr>
        <w:t>εντεκαβίρη</w:t>
      </w:r>
      <w:r w:rsidRPr="00F54B01">
        <w:rPr>
          <w:rFonts w:cs="Times New Roman"/>
          <w:lang w:val="el-GR"/>
        </w:rPr>
        <w:t xml:space="preserve">. Το ποσοστό ηπατοκυτταρικού καρκινώματος ήταν 18% (8/45) στην ομάδα </w:t>
      </w:r>
      <w:r w:rsidR="00374D7B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, 7% (3/45) στην ομάδα της </w:t>
      </w:r>
      <w:r w:rsidR="00203833" w:rsidRPr="00203833">
        <w:rPr>
          <w:rFonts w:cs="Times New Roman"/>
          <w:lang w:val="el-GR"/>
        </w:rPr>
        <w:t>εμτρισιταβίνη</w:t>
      </w:r>
      <w:r w:rsidR="00796AA2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συν </w:t>
      </w:r>
      <w:r w:rsidR="00374D7B">
        <w:rPr>
          <w:rFonts w:cs="Times New Roman"/>
          <w:lang w:val="el-GR"/>
        </w:rPr>
        <w:t>τενοφοβίρη</w:t>
      </w:r>
      <w:r w:rsidR="00796AA2">
        <w:rPr>
          <w:rFonts w:cs="Times New Roman"/>
          <w:lang w:val="el-GR"/>
        </w:rPr>
        <w:t>ς</w:t>
      </w:r>
      <w:r w:rsidR="00374D7B">
        <w:rPr>
          <w:rFonts w:cs="Times New Roman"/>
          <w:lang w:val="el-GR"/>
        </w:rPr>
        <w:t xml:space="preserve"> δισοπρόξιλη</w:t>
      </w:r>
      <w:r w:rsidR="00796AA2">
        <w:rPr>
          <w:rFonts w:cs="Times New Roman"/>
          <w:lang w:val="el-GR"/>
        </w:rPr>
        <w:t>ς</w:t>
      </w:r>
      <w:r w:rsidR="00374D7B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και 9%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(2/22) στην ομάδα τ</w:t>
      </w:r>
      <w:r w:rsidR="00796AA2">
        <w:rPr>
          <w:rFonts w:cs="Times New Roman"/>
          <w:lang w:val="el-GR"/>
        </w:rPr>
        <w:t>ης</w:t>
      </w:r>
      <w:r w:rsidRPr="00F54B01">
        <w:rPr>
          <w:rFonts w:cs="Times New Roman"/>
          <w:spacing w:val="-4"/>
          <w:lang w:val="el-GR"/>
        </w:rPr>
        <w:t xml:space="preserve"> </w:t>
      </w:r>
      <w:r w:rsidR="00796AA2" w:rsidRPr="00796AA2">
        <w:rPr>
          <w:rFonts w:cs="Times New Roman"/>
          <w:lang w:val="el-GR"/>
        </w:rPr>
        <w:t>εντεκαβίρη</w:t>
      </w:r>
      <w:r w:rsidR="00796AA2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Οι ασθενείς με υψηλό βαθμό </w:t>
      </w:r>
      <w:r w:rsidRPr="00F54B01">
        <w:rPr>
          <w:rFonts w:cs="Times New Roman"/>
        </w:rPr>
        <w:t>CPT</w:t>
      </w:r>
      <w:r w:rsidRPr="00F54B01">
        <w:rPr>
          <w:rFonts w:cs="Times New Roman"/>
          <w:lang w:val="el-GR"/>
        </w:rPr>
        <w:t xml:space="preserve"> κατά την έναρξη της θεραπείας είχαν πιο αυξημένο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κίνδυνο εμφάνισης σοβαρών ανεπιθύμητων ενεργειών (βλ. παράγραφο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1E7767">
      <w:pPr>
        <w:rPr>
          <w:rFonts w:ascii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 xml:space="preserve">Ασθενείς με χρόνια ηπατίτιδα Β με αντοχή στη λαμιβουδίνη: </w:t>
      </w:r>
      <w:r w:rsidRPr="00F54B01">
        <w:rPr>
          <w:rFonts w:ascii="Times New Roman" w:hAnsi="Times New Roman" w:cs="Times New Roman"/>
          <w:lang w:val="el-GR"/>
        </w:rPr>
        <w:t>Δεν αναγνωρίστηκαν νέες</w:t>
      </w:r>
      <w:r w:rsidRPr="00F54B01">
        <w:rPr>
          <w:rFonts w:ascii="Times New Roman" w:hAnsi="Times New Roman" w:cs="Times New Roman"/>
          <w:spacing w:val="-23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ανεπιθύμητες ενέργειες </w:t>
      </w:r>
      <w:r w:rsidR="00374D7B" w:rsidRPr="00F54B01">
        <w:rPr>
          <w:rFonts w:ascii="Times New Roman" w:hAnsi="Times New Roman" w:cs="Times New Roman"/>
          <w:lang w:val="el-GR"/>
        </w:rPr>
        <w:t>στ</w:t>
      </w:r>
      <w:r w:rsidR="00374D7B">
        <w:rPr>
          <w:rFonts w:ascii="Times New Roman" w:hAnsi="Times New Roman" w:cs="Times New Roman"/>
          <w:lang w:val="el-GR"/>
        </w:rPr>
        <w:t>ην</w:t>
      </w:r>
      <w:r w:rsidR="00374D7B" w:rsidRPr="00F54B01">
        <w:rPr>
          <w:rFonts w:ascii="Times New Roman" w:hAnsi="Times New Roman" w:cs="Times New Roman"/>
          <w:lang w:val="el-GR"/>
        </w:rPr>
        <w:t xml:space="preserve"> </w:t>
      </w:r>
      <w:r w:rsidR="00374D7B" w:rsidRPr="00374D7B">
        <w:rPr>
          <w:rFonts w:ascii="Times New Roman" w:hAnsi="Times New Roman" w:cs="Times New Roman"/>
          <w:lang w:val="el-GR"/>
        </w:rPr>
        <w:t xml:space="preserve">τενοφοβίρη δισοπρόξιλη </w:t>
      </w:r>
      <w:r w:rsidRPr="00F54B01">
        <w:rPr>
          <w:rFonts w:ascii="Times New Roman" w:hAnsi="Times New Roman" w:cs="Times New Roman"/>
          <w:lang w:val="el-GR"/>
        </w:rPr>
        <w:t>από μια τυχαιοποιημένη, διπλά τυφλή</w:t>
      </w:r>
      <w:r w:rsidRPr="00F54B01">
        <w:rPr>
          <w:rFonts w:ascii="Times New Roman" w:hAnsi="Times New Roman" w:cs="Times New Roman"/>
          <w:spacing w:val="-26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μελέτη</w:t>
      </w:r>
      <w:r w:rsidR="001E7767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(</w:t>
      </w:r>
      <w:r w:rsidRPr="00F54B01">
        <w:rPr>
          <w:rFonts w:ascii="Times New Roman" w:hAnsi="Times New Roman" w:cs="Times New Roman"/>
        </w:rPr>
        <w:t>GS</w:t>
      </w:r>
      <w:r w:rsidRPr="00F54B01">
        <w:rPr>
          <w:rFonts w:ascii="Times New Roman" w:hAnsi="Times New Roman" w:cs="Times New Roman"/>
          <w:lang w:val="el-GR"/>
        </w:rPr>
        <w:t>-</w:t>
      </w:r>
      <w:r w:rsidRPr="00F54B01">
        <w:rPr>
          <w:rFonts w:ascii="Times New Roman" w:hAnsi="Times New Roman" w:cs="Times New Roman"/>
        </w:rPr>
        <w:t>US</w:t>
      </w:r>
      <w:r w:rsidRPr="00F54B01">
        <w:rPr>
          <w:rFonts w:ascii="Times New Roman" w:hAnsi="Times New Roman" w:cs="Times New Roman"/>
          <w:lang w:val="el-GR"/>
        </w:rPr>
        <w:t xml:space="preserve">-174-0121) στην οποία 280 ασθενείς με αντοχή </w:t>
      </w:r>
      <w:r w:rsidR="00374D7B" w:rsidRPr="00F54B01">
        <w:rPr>
          <w:rFonts w:ascii="Times New Roman" w:hAnsi="Times New Roman" w:cs="Times New Roman"/>
          <w:lang w:val="el-GR"/>
        </w:rPr>
        <w:t>στ</w:t>
      </w:r>
      <w:r w:rsidR="009A5D71">
        <w:rPr>
          <w:rFonts w:ascii="Times New Roman" w:hAnsi="Times New Roman" w:cs="Times New Roman"/>
          <w:lang w:val="el-GR"/>
        </w:rPr>
        <w:t>η</w:t>
      </w:r>
      <w:r w:rsidR="00374D7B" w:rsidRPr="00F54B01">
        <w:rPr>
          <w:rFonts w:ascii="Times New Roman" w:hAnsi="Times New Roman" w:cs="Times New Roman"/>
          <w:lang w:val="el-GR"/>
        </w:rPr>
        <w:t xml:space="preserve"> </w:t>
      </w:r>
      <w:r w:rsidR="00643ECB" w:rsidRPr="00FB72E2">
        <w:rPr>
          <w:rFonts w:ascii="Times New Roman" w:hAnsi="Times New Roman" w:cs="Times New Roman"/>
          <w:lang w:val="el-GR"/>
        </w:rPr>
        <w:t>λαμιβουδίνη</w:t>
      </w:r>
      <w:r w:rsidR="00374D7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έλαβαν θεραπεία</w:t>
      </w:r>
      <w:r w:rsidRPr="00F54B01">
        <w:rPr>
          <w:rFonts w:ascii="Times New Roman" w:hAnsi="Times New Roman" w:cs="Times New Roman"/>
          <w:spacing w:val="-15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με </w:t>
      </w:r>
      <w:r w:rsidR="00374D7B" w:rsidRPr="00374D7B">
        <w:rPr>
          <w:rFonts w:ascii="Times New Roman" w:hAnsi="Times New Roman" w:cs="Times New Roman"/>
          <w:lang w:val="el-GR"/>
        </w:rPr>
        <w:t xml:space="preserve">τενοφοβίρη δισοπρόξιλη </w:t>
      </w:r>
      <w:r w:rsidRPr="00F54B01">
        <w:rPr>
          <w:rFonts w:ascii="Times New Roman" w:hAnsi="Times New Roman" w:cs="Times New Roman"/>
          <w:lang w:val="el-GR"/>
        </w:rPr>
        <w:t>(</w:t>
      </w:r>
      <w:r w:rsidRPr="00F54B01">
        <w:rPr>
          <w:rFonts w:ascii="Times New Roman" w:hAnsi="Times New Roman" w:cs="Times New Roman"/>
        </w:rPr>
        <w:t>n</w:t>
      </w:r>
      <w:r w:rsidRPr="00F54B01">
        <w:rPr>
          <w:rFonts w:ascii="Times New Roman" w:hAnsi="Times New Roman" w:cs="Times New Roman"/>
          <w:lang w:val="el-GR"/>
        </w:rPr>
        <w:t xml:space="preserve"> = 141) ή </w:t>
      </w:r>
      <w:r w:rsidR="00203833" w:rsidRPr="00203833">
        <w:rPr>
          <w:rFonts w:ascii="Times New Roman" w:hAnsi="Times New Roman" w:cs="Times New Roman"/>
          <w:lang w:val="el-GR"/>
        </w:rPr>
        <w:t>εμτρισιταβίνη</w:t>
      </w:r>
      <w:r w:rsidRPr="00F54B01">
        <w:rPr>
          <w:rFonts w:ascii="Times New Roman" w:hAnsi="Times New Roman" w:cs="Times New Roman"/>
          <w:lang w:val="el-GR"/>
        </w:rPr>
        <w:t>/</w:t>
      </w:r>
      <w:r w:rsidR="00374D7B" w:rsidRPr="00374D7B">
        <w:rPr>
          <w:rFonts w:ascii="Times New Roman" w:hAnsi="Times New Roman" w:cs="Times New Roman"/>
          <w:lang w:val="el-GR"/>
        </w:rPr>
        <w:t xml:space="preserve">τενοφοβίρη δισοπρόξιλη </w:t>
      </w:r>
      <w:r w:rsidRPr="00F54B01">
        <w:rPr>
          <w:rFonts w:ascii="Times New Roman" w:hAnsi="Times New Roman" w:cs="Times New Roman"/>
          <w:lang w:val="el-GR"/>
        </w:rPr>
        <w:t>(</w:t>
      </w:r>
      <w:r w:rsidRPr="00F54B01">
        <w:rPr>
          <w:rFonts w:ascii="Times New Roman" w:hAnsi="Times New Roman" w:cs="Times New Roman"/>
        </w:rPr>
        <w:t>n</w:t>
      </w:r>
      <w:r w:rsidRPr="00F54B01">
        <w:rPr>
          <w:rFonts w:ascii="Times New Roman" w:hAnsi="Times New Roman" w:cs="Times New Roman"/>
          <w:lang w:val="el-GR"/>
        </w:rPr>
        <w:t xml:space="preserve"> = 139)</w:t>
      </w:r>
      <w:r w:rsidRPr="00F54B01">
        <w:rPr>
          <w:rFonts w:ascii="Times New Roman" w:hAnsi="Times New Roman" w:cs="Times New Roman"/>
          <w:spacing w:val="-29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για 240</w:t>
      </w:r>
      <w:r w:rsidRPr="00F54B0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εβδομάδες.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Παρακάτω παρουσιάζονται ανά σύστημα, κατηγορία οργάνου και συχνότητα οι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ανεπιθύμητες ενέργειες </w:t>
      </w:r>
      <w:r w:rsidRPr="00F54B01">
        <w:rPr>
          <w:rFonts w:cs="Times New Roman"/>
          <w:lang w:val="el-GR"/>
        </w:rPr>
        <w:lastRenderedPageBreak/>
        <w:t>που ενδέχεται (τουλάχιστον πιθανολογείται) να συσχετίζονται με τη θεραπεία. Εντός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κάθε κατηγορίας συχνότητας εμφάνισης, οι ανεπιθύμητες ενέργειες παρατίθενται κατά φθίνουσα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σειρά σοβαρότητας. Οι συχνότητες ορίζονται ως πολύ συχνές (≥ 1/10), συχνές (≥ 1/100 έως &lt; 1/10),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όχι συχνές (≥ 1/1.000 έως &lt; 1/100) ή σπάνιες (≥ 1/10.000 έως &lt;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1/1.000).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ind w:left="0" w:firstLine="0"/>
        <w:rPr>
          <w:rFonts w:cs="Times New Roman"/>
          <w:b w:val="0"/>
          <w:bCs w:val="0"/>
          <w:lang w:val="el-GR"/>
        </w:rPr>
      </w:pPr>
      <w:r w:rsidRPr="00F54B01">
        <w:rPr>
          <w:rFonts w:cs="Times New Roman"/>
          <w:lang w:val="el-GR"/>
        </w:rPr>
        <w:t xml:space="preserve">Πίνακας 2: Συνοπτική περίληψη </w:t>
      </w:r>
      <w:r w:rsidRPr="00F54B01">
        <w:rPr>
          <w:rFonts w:cs="Times New Roman"/>
          <w:spacing w:val="-3"/>
          <w:lang w:val="el-GR"/>
        </w:rPr>
        <w:t xml:space="preserve">των </w:t>
      </w:r>
      <w:r w:rsidRPr="00F54B01">
        <w:rPr>
          <w:rFonts w:cs="Times New Roman"/>
          <w:lang w:val="el-GR"/>
        </w:rPr>
        <w:t xml:space="preserve">ανεπιθύμητων ενεργειών που σχετίζονται με </w:t>
      </w:r>
      <w:r w:rsidR="00374D7B">
        <w:rPr>
          <w:rFonts w:cs="Times New Roman"/>
          <w:lang w:val="el-GR"/>
        </w:rPr>
        <w:t>την τενοφοβίρη δισοπρόξιλη</w:t>
      </w:r>
      <w:r w:rsidRPr="00F54B01">
        <w:rPr>
          <w:rFonts w:cs="Times New Roman"/>
          <w:lang w:val="el-GR"/>
        </w:rPr>
        <w:t xml:space="preserve"> βάσει των κλινικών μελετών και της εμπειρίας μετά την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κυκλοφορία</w:t>
      </w:r>
    </w:p>
    <w:tbl>
      <w:tblPr>
        <w:tblW w:w="92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480"/>
      </w:tblGrid>
      <w:tr w:rsidR="009D104A" w:rsidRPr="00F54B01" w:rsidTr="008809ED">
        <w:trPr>
          <w:trHeight w:hRule="exact"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  <w:b/>
              </w:rPr>
              <w:t>Συχνότητα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74D7B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Τ</w:t>
            </w:r>
            <w:r w:rsidRPr="00374D7B">
              <w:rPr>
                <w:rFonts w:ascii="Times New Roman" w:hAnsi="Times New Roman" w:cs="Times New Roman"/>
                <w:b/>
                <w:lang w:val="el-GR"/>
              </w:rPr>
              <w:t>ενοφοβίρη δισοπρόξιλη</w:t>
            </w:r>
          </w:p>
        </w:tc>
      </w:tr>
      <w:tr w:rsidR="009D104A" w:rsidRPr="00CA6D48" w:rsidTr="008809ED">
        <w:trPr>
          <w:trHeight w:hRule="exact" w:val="264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F54B01">
              <w:rPr>
                <w:rFonts w:ascii="Times New Roman" w:hAnsi="Times New Roman" w:cs="Times New Roman"/>
                <w:i/>
                <w:lang w:val="el-GR"/>
              </w:rPr>
              <w:t>Διαταραχές του μεταβολισμού και της</w:t>
            </w:r>
            <w:r w:rsidRPr="00F54B01">
              <w:rPr>
                <w:rFonts w:ascii="Times New Roman" w:hAnsi="Times New Roman" w:cs="Times New Roman"/>
                <w:i/>
                <w:spacing w:val="-8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i/>
                <w:lang w:val="el-GR"/>
              </w:rPr>
              <w:t>θρέψης:</w:t>
            </w:r>
          </w:p>
        </w:tc>
      </w:tr>
      <w:tr w:rsidR="009D104A" w:rsidRPr="00F54B01" w:rsidTr="008809ED">
        <w:trPr>
          <w:trHeight w:hRule="exact"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Πολύ</w:t>
            </w:r>
            <w:r w:rsidRPr="00F54B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54B01">
              <w:rPr>
                <w:rFonts w:ascii="Times New Roman" w:hAnsi="Times New Roman" w:cs="Times New Roman"/>
              </w:rPr>
              <w:t>υποφωσφαταιμία</w:t>
            </w:r>
            <w:r w:rsidRPr="00F54B01">
              <w:rPr>
                <w:rFonts w:ascii="Times New Roman" w:hAnsi="Times New Roman" w:cs="Times New Roman"/>
                <w:position w:val="10"/>
                <w:sz w:val="14"/>
              </w:rPr>
              <w:t>1</w:t>
            </w:r>
          </w:p>
        </w:tc>
      </w:tr>
      <w:tr w:rsidR="009D104A" w:rsidRPr="00F54B01" w:rsidTr="008809ED">
        <w:trPr>
          <w:trHeight w:hRule="exact"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Όχι</w:t>
            </w:r>
            <w:r w:rsidRPr="00F54B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54B01">
              <w:rPr>
                <w:rFonts w:ascii="Times New Roman" w:hAnsi="Times New Roman" w:cs="Times New Roman"/>
              </w:rPr>
              <w:t>υποκαλιαιμία</w:t>
            </w:r>
            <w:r w:rsidRPr="00F54B01">
              <w:rPr>
                <w:rFonts w:ascii="Times New Roman" w:hAnsi="Times New Roman" w:cs="Times New Roman"/>
                <w:position w:val="10"/>
                <w:sz w:val="14"/>
              </w:rPr>
              <w:t>1</w:t>
            </w:r>
          </w:p>
        </w:tc>
      </w:tr>
      <w:tr w:rsidR="009D104A" w:rsidRPr="00F54B01" w:rsidTr="008809ED">
        <w:trPr>
          <w:trHeight w:hRule="exact" w:val="26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Σπάνιες: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γαλακτική</w:t>
            </w:r>
            <w:r w:rsidRPr="00F54B0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οξέωση</w:t>
            </w:r>
          </w:p>
        </w:tc>
      </w:tr>
      <w:tr w:rsidR="009D104A" w:rsidRPr="00F54B01" w:rsidTr="008809ED">
        <w:trPr>
          <w:trHeight w:hRule="exact" w:val="263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  <w:i/>
              </w:rPr>
              <w:t>Διαταραχές του νευρικού</w:t>
            </w:r>
            <w:r w:rsidRPr="00F54B01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F54B01">
              <w:rPr>
                <w:rFonts w:ascii="Times New Roman" w:hAnsi="Times New Roman" w:cs="Times New Roman"/>
                <w:i/>
              </w:rPr>
              <w:t>συστήματος:</w:t>
            </w:r>
          </w:p>
        </w:tc>
      </w:tr>
      <w:tr w:rsidR="009D104A" w:rsidRPr="00F54B01" w:rsidTr="008809ED">
        <w:trPr>
          <w:trHeight w:hRule="exact"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Πολύ</w:t>
            </w:r>
            <w:r w:rsidRPr="00F54B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ζάλη</w:t>
            </w:r>
          </w:p>
        </w:tc>
      </w:tr>
      <w:tr w:rsidR="009D104A" w:rsidRPr="00F54B01" w:rsidTr="008809ED">
        <w:trPr>
          <w:trHeight w:hRule="exact"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κεφαλαλγία</w:t>
            </w:r>
          </w:p>
        </w:tc>
      </w:tr>
      <w:tr w:rsidR="009D104A" w:rsidRPr="00F54B01" w:rsidTr="008809ED">
        <w:trPr>
          <w:trHeight w:hRule="exact" w:val="264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  <w:i/>
              </w:rPr>
              <w:t>Διαταραχές του</w:t>
            </w:r>
            <w:r w:rsidRPr="00F54B01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F54B01">
              <w:rPr>
                <w:rFonts w:ascii="Times New Roman" w:hAnsi="Times New Roman" w:cs="Times New Roman"/>
                <w:i/>
              </w:rPr>
              <w:t>γαστρεντερικού:</w:t>
            </w:r>
          </w:p>
        </w:tc>
      </w:tr>
      <w:tr w:rsidR="009D104A" w:rsidRPr="00F54B01" w:rsidTr="008809ED">
        <w:trPr>
          <w:trHeight w:hRule="exact"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Πολύ</w:t>
            </w:r>
            <w:r w:rsidRPr="00F54B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B807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 xml:space="preserve">διάρροια, </w:t>
            </w:r>
            <w:r w:rsidR="00B807B9">
              <w:rPr>
                <w:rFonts w:ascii="Times New Roman" w:hAnsi="Times New Roman" w:cs="Times New Roman"/>
                <w:lang w:val="el-GR"/>
              </w:rPr>
              <w:t>έ</w:t>
            </w:r>
            <w:r w:rsidRPr="00F54B01">
              <w:rPr>
                <w:rFonts w:ascii="Times New Roman" w:hAnsi="Times New Roman" w:cs="Times New Roman"/>
              </w:rPr>
              <w:t>μετ</w:t>
            </w:r>
            <w:r w:rsidR="00B807B9">
              <w:rPr>
                <w:rFonts w:ascii="Times New Roman" w:hAnsi="Times New Roman" w:cs="Times New Roman"/>
                <w:lang w:val="el-GR"/>
              </w:rPr>
              <w:t>ος</w:t>
            </w:r>
            <w:r w:rsidRPr="00F54B01">
              <w:rPr>
                <w:rFonts w:ascii="Times New Roman" w:hAnsi="Times New Roman" w:cs="Times New Roman"/>
              </w:rPr>
              <w:t>,</w:t>
            </w:r>
            <w:r w:rsidRPr="00F54B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ναυτία</w:t>
            </w:r>
          </w:p>
        </w:tc>
      </w:tr>
      <w:tr w:rsidR="009D104A" w:rsidRPr="00CA6D48" w:rsidTr="008809ED">
        <w:trPr>
          <w:trHeight w:hRule="exact"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F54B01">
              <w:rPr>
                <w:rFonts w:ascii="Times New Roman" w:hAnsi="Times New Roman" w:cs="Times New Roman"/>
                <w:lang w:val="el-GR"/>
              </w:rPr>
              <w:t>κοιλιακό άλγος, κοιλιακή διάταση,</w:t>
            </w:r>
            <w:r w:rsidRPr="00F54B01">
              <w:rPr>
                <w:rFonts w:ascii="Times New Roman" w:hAnsi="Times New Roman" w:cs="Times New Roman"/>
                <w:spacing w:val="-6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lang w:val="el-GR"/>
              </w:rPr>
              <w:t>μετεωρισμός</w:t>
            </w:r>
          </w:p>
        </w:tc>
      </w:tr>
      <w:tr w:rsidR="009D104A" w:rsidRPr="00F54B01" w:rsidTr="008809ED">
        <w:trPr>
          <w:trHeight w:hRule="exact" w:val="26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Όχι</w:t>
            </w:r>
            <w:r w:rsidRPr="00F54B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παγκρεατίτιδα</w:t>
            </w:r>
          </w:p>
        </w:tc>
      </w:tr>
      <w:tr w:rsidR="009D104A" w:rsidRPr="00CA6D48" w:rsidTr="008809ED">
        <w:trPr>
          <w:trHeight w:hRule="exact" w:val="263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F54B01">
              <w:rPr>
                <w:rFonts w:ascii="Times New Roman" w:hAnsi="Times New Roman" w:cs="Times New Roman"/>
                <w:i/>
                <w:lang w:val="el-GR"/>
              </w:rPr>
              <w:t>Διαταραχές του ήπατος και των</w:t>
            </w:r>
            <w:r w:rsidRPr="00F54B01">
              <w:rPr>
                <w:rFonts w:ascii="Times New Roman" w:hAnsi="Times New Roman" w:cs="Times New Roman"/>
                <w:i/>
                <w:spacing w:val="-6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i/>
                <w:lang w:val="el-GR"/>
              </w:rPr>
              <w:t>χοληφόρων:</w:t>
            </w:r>
          </w:p>
        </w:tc>
      </w:tr>
      <w:tr w:rsidR="009D104A" w:rsidRPr="00F54B01" w:rsidTr="008809ED">
        <w:trPr>
          <w:trHeight w:hRule="exact"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αυξημένες</w:t>
            </w:r>
            <w:r w:rsidRPr="00F54B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αμινοτρανφεράσες</w:t>
            </w:r>
          </w:p>
        </w:tc>
      </w:tr>
      <w:tr w:rsidR="009D104A" w:rsidRPr="00F54B01" w:rsidTr="008809ED">
        <w:trPr>
          <w:trHeight w:hRule="exact"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Σπάνιες: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ηπατική στεάτωση,</w:t>
            </w:r>
            <w:r w:rsidRPr="00F54B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ηπατίτιδα</w:t>
            </w:r>
          </w:p>
        </w:tc>
      </w:tr>
      <w:tr w:rsidR="009D104A" w:rsidRPr="00CA6D48" w:rsidTr="008809ED">
        <w:trPr>
          <w:trHeight w:hRule="exact" w:val="264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F54B01">
              <w:rPr>
                <w:rFonts w:ascii="Times New Roman" w:hAnsi="Times New Roman" w:cs="Times New Roman"/>
                <w:i/>
                <w:lang w:val="el-GR"/>
              </w:rPr>
              <w:t>Διαταραχές του δέρματος και του υποδόριου</w:t>
            </w:r>
            <w:r w:rsidRPr="00F54B01">
              <w:rPr>
                <w:rFonts w:ascii="Times New Roman" w:hAnsi="Times New Roman" w:cs="Times New Roman"/>
                <w:i/>
                <w:spacing w:val="-6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i/>
                <w:lang w:val="el-GR"/>
              </w:rPr>
              <w:t>ιστού:</w:t>
            </w:r>
          </w:p>
        </w:tc>
      </w:tr>
      <w:tr w:rsidR="009D104A" w:rsidRPr="00F54B01" w:rsidTr="008809ED">
        <w:trPr>
          <w:trHeight w:hRule="exact"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Πολύ</w:t>
            </w:r>
            <w:r w:rsidRPr="00F54B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εξάνθημα</w:t>
            </w:r>
          </w:p>
        </w:tc>
      </w:tr>
      <w:tr w:rsidR="009D104A" w:rsidRPr="00F54B01" w:rsidTr="008809ED">
        <w:trPr>
          <w:trHeight w:hRule="exact"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Σπάνιες: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αγγειοίδημα</w:t>
            </w:r>
          </w:p>
        </w:tc>
      </w:tr>
      <w:tr w:rsidR="009D104A" w:rsidRPr="00CA6D48" w:rsidTr="008809ED">
        <w:trPr>
          <w:trHeight w:hRule="exact" w:val="262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F54B01">
              <w:rPr>
                <w:rFonts w:ascii="Times New Roman" w:hAnsi="Times New Roman" w:cs="Times New Roman"/>
                <w:i/>
                <w:lang w:val="el-GR"/>
              </w:rPr>
              <w:t>Διαταραχές του μυοσκελετικού συστήματος και του συνδετικού</w:t>
            </w:r>
            <w:r w:rsidRPr="00F54B01">
              <w:rPr>
                <w:rFonts w:ascii="Times New Roman" w:hAnsi="Times New Roman" w:cs="Times New Roman"/>
                <w:i/>
                <w:spacing w:val="-12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i/>
                <w:lang w:val="el-GR"/>
              </w:rPr>
              <w:t>ιστού:</w:t>
            </w:r>
          </w:p>
        </w:tc>
      </w:tr>
      <w:tr w:rsidR="009D104A" w:rsidRPr="00F54B01" w:rsidTr="008809ED">
        <w:trPr>
          <w:trHeight w:hRule="exact"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Όχι</w:t>
            </w:r>
            <w:r w:rsidRPr="00F54B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54B01">
              <w:rPr>
                <w:rFonts w:ascii="Times New Roman" w:hAnsi="Times New Roman" w:cs="Times New Roman"/>
              </w:rPr>
              <w:t>ραβδομυόλυση</w:t>
            </w:r>
            <w:r w:rsidRPr="00F54B01">
              <w:rPr>
                <w:rFonts w:ascii="Times New Roman" w:hAnsi="Times New Roman" w:cs="Times New Roman"/>
                <w:position w:val="10"/>
                <w:sz w:val="14"/>
              </w:rPr>
              <w:t>1</w:t>
            </w:r>
            <w:r w:rsidRPr="00F54B01">
              <w:rPr>
                <w:rFonts w:ascii="Times New Roman" w:hAnsi="Times New Roman" w:cs="Times New Roman"/>
              </w:rPr>
              <w:t>, μυϊκή</w:t>
            </w:r>
            <w:r w:rsidRPr="00F54B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αδυναμία</w:t>
            </w:r>
            <w:r w:rsidRPr="00F54B01">
              <w:rPr>
                <w:rFonts w:ascii="Times New Roman" w:hAnsi="Times New Roman" w:cs="Times New Roman"/>
                <w:position w:val="10"/>
                <w:sz w:val="14"/>
              </w:rPr>
              <w:t>1</w:t>
            </w:r>
          </w:p>
        </w:tc>
      </w:tr>
      <w:tr w:rsidR="009D104A" w:rsidRPr="00CA6D48" w:rsidTr="008809ED">
        <w:trPr>
          <w:trHeight w:hRule="exact"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Σπάνιες: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l-GR"/>
              </w:rPr>
            </w:pPr>
            <w:r w:rsidRPr="00F54B01">
              <w:rPr>
                <w:rFonts w:ascii="Times New Roman" w:hAnsi="Times New Roman" w:cs="Times New Roman"/>
                <w:lang w:val="el-GR"/>
              </w:rPr>
              <w:t>οστεομαλακία (που εκδηλώνεται ως οστικό άλγος και συμβάλλει όχι συχνά</w:t>
            </w:r>
            <w:r w:rsidRPr="00F54B01">
              <w:rPr>
                <w:rFonts w:ascii="Times New Roman" w:hAnsi="Times New Roman" w:cs="Times New Roman"/>
                <w:spacing w:val="-21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lang w:val="el-GR"/>
              </w:rPr>
              <w:t>σε κατάγματα)</w:t>
            </w:r>
            <w:r w:rsidRPr="00F54B01">
              <w:rPr>
                <w:rFonts w:ascii="Times New Roman" w:hAnsi="Times New Roman" w:cs="Times New Roman"/>
                <w:position w:val="10"/>
                <w:sz w:val="14"/>
                <w:lang w:val="el-GR"/>
              </w:rPr>
              <w:t>1, 2</w:t>
            </w:r>
            <w:r w:rsidRPr="00F54B01">
              <w:rPr>
                <w:rFonts w:ascii="Times New Roman" w:hAnsi="Times New Roman" w:cs="Times New Roman"/>
                <w:lang w:val="el-GR"/>
              </w:rPr>
              <w:t>,</w:t>
            </w:r>
            <w:r w:rsidRPr="00F54B01">
              <w:rPr>
                <w:rFonts w:ascii="Times New Roman" w:hAnsi="Times New Roman" w:cs="Times New Roman"/>
                <w:spacing w:val="-4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lang w:val="el-GR"/>
              </w:rPr>
              <w:t>μυοπάθεια</w:t>
            </w:r>
            <w:r w:rsidRPr="00F54B01">
              <w:rPr>
                <w:rFonts w:ascii="Times New Roman" w:hAnsi="Times New Roman" w:cs="Times New Roman"/>
                <w:position w:val="10"/>
                <w:sz w:val="14"/>
                <w:lang w:val="el-GR"/>
              </w:rPr>
              <w:t>1</w:t>
            </w:r>
          </w:p>
        </w:tc>
      </w:tr>
      <w:tr w:rsidR="009D104A" w:rsidRPr="00CA6D48" w:rsidTr="008809ED">
        <w:trPr>
          <w:trHeight w:hRule="exact" w:val="265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F54B01">
              <w:rPr>
                <w:rFonts w:ascii="Times New Roman" w:hAnsi="Times New Roman" w:cs="Times New Roman"/>
                <w:i/>
                <w:lang w:val="el-GR"/>
              </w:rPr>
              <w:t>Διαταραχές των νεφρών και των ουροφόρων</w:t>
            </w:r>
            <w:r w:rsidRPr="00F54B01">
              <w:rPr>
                <w:rFonts w:ascii="Times New Roman" w:hAnsi="Times New Roman" w:cs="Times New Roman"/>
                <w:i/>
                <w:spacing w:val="-8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i/>
                <w:lang w:val="el-GR"/>
              </w:rPr>
              <w:t>οδών:</w:t>
            </w:r>
          </w:p>
        </w:tc>
      </w:tr>
      <w:tr w:rsidR="009D104A" w:rsidRPr="00CA6D48" w:rsidTr="008809ED">
        <w:trPr>
          <w:trHeight w:hRule="exact"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Όχι</w:t>
            </w:r>
            <w:r w:rsidRPr="00F54B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F54B01">
              <w:rPr>
                <w:rFonts w:ascii="Times New Roman" w:hAnsi="Times New Roman" w:cs="Times New Roman"/>
                <w:lang w:val="el-GR"/>
              </w:rPr>
              <w:t>αυξημένη κρεατινίνη, κεντρική νεφρική</w:t>
            </w:r>
            <w:r w:rsidRPr="00F54B01">
              <w:rPr>
                <w:rFonts w:ascii="Times New Roman" w:hAnsi="Times New Roman" w:cs="Times New Roman"/>
                <w:spacing w:val="-13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lang w:val="el-GR"/>
              </w:rPr>
              <w:t>σωληναριοπάθεια (συμπεριλαμβανομένου του συνδρόμου</w:t>
            </w:r>
            <w:r w:rsidRPr="00F54B01">
              <w:rPr>
                <w:rFonts w:ascii="Times New Roman" w:hAnsi="Times New Roman" w:cs="Times New Roman"/>
                <w:spacing w:val="-16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Fanconi</w:t>
            </w:r>
            <w:r w:rsidRPr="00F54B01">
              <w:rPr>
                <w:rFonts w:ascii="Times New Roman" w:hAnsi="Times New Roman" w:cs="Times New Roman"/>
                <w:lang w:val="el-GR"/>
              </w:rPr>
              <w:t>)</w:t>
            </w:r>
          </w:p>
        </w:tc>
      </w:tr>
      <w:tr w:rsidR="009D104A" w:rsidRPr="00CA6D48" w:rsidTr="008809ED">
        <w:trPr>
          <w:trHeight w:hRule="exact"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el-GR"/>
              </w:rPr>
            </w:pP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Σπάνιες: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F54B01">
              <w:rPr>
                <w:rFonts w:ascii="Times New Roman" w:hAnsi="Times New Roman" w:cs="Times New Roman"/>
                <w:lang w:val="el-GR"/>
              </w:rPr>
              <w:t>οξεία νεφρική ανεπάρκεια, νεφρική ανεπάρκεια, οξεία σωληναριακή</w:t>
            </w:r>
            <w:r w:rsidRPr="00F54B01">
              <w:rPr>
                <w:rFonts w:ascii="Times New Roman" w:hAnsi="Times New Roman" w:cs="Times New Roman"/>
                <w:spacing w:val="-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lang w:val="el-GR"/>
              </w:rPr>
              <w:t>νέκρωση, νεφρίτις (συμπεριλαμβανομένης οξείας διάμεσης νεφρίτιδας)</w:t>
            </w:r>
            <w:r w:rsidRPr="00F54B01">
              <w:rPr>
                <w:rFonts w:ascii="Times New Roman" w:hAnsi="Times New Roman" w:cs="Times New Roman"/>
                <w:position w:val="10"/>
                <w:sz w:val="14"/>
                <w:lang w:val="el-GR"/>
              </w:rPr>
              <w:t>2</w:t>
            </w:r>
            <w:r w:rsidRPr="00F54B01">
              <w:rPr>
                <w:rFonts w:ascii="Times New Roman" w:hAnsi="Times New Roman" w:cs="Times New Roman"/>
                <w:lang w:val="el-GR"/>
              </w:rPr>
              <w:t>,</w:t>
            </w:r>
            <w:r w:rsidRPr="00F54B01">
              <w:rPr>
                <w:rFonts w:ascii="Times New Roman" w:hAnsi="Times New Roman" w:cs="Times New Roman"/>
                <w:spacing w:val="-12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lang w:val="el-GR"/>
              </w:rPr>
              <w:t>νεφρογενής άποιος</w:t>
            </w:r>
            <w:r w:rsidRPr="00F54B01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lang w:val="el-GR"/>
              </w:rPr>
              <w:t>διαβήτης</w:t>
            </w:r>
          </w:p>
        </w:tc>
      </w:tr>
      <w:tr w:rsidR="009D104A" w:rsidRPr="00CA6D48" w:rsidTr="008809ED">
        <w:trPr>
          <w:trHeight w:hRule="exact" w:val="262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F54B01">
              <w:rPr>
                <w:rFonts w:ascii="Times New Roman" w:hAnsi="Times New Roman" w:cs="Times New Roman"/>
                <w:i/>
                <w:lang w:val="el-GR"/>
              </w:rPr>
              <w:t>Γενικές διαταραχές και καταστάσεις της οδού</w:t>
            </w:r>
            <w:r w:rsidRPr="00F54B01">
              <w:rPr>
                <w:rFonts w:ascii="Times New Roman" w:hAnsi="Times New Roman" w:cs="Times New Roman"/>
                <w:i/>
                <w:spacing w:val="-12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i/>
                <w:lang w:val="el-GR"/>
              </w:rPr>
              <w:t>χορήγησης:</w:t>
            </w:r>
          </w:p>
        </w:tc>
      </w:tr>
      <w:tr w:rsidR="009D104A" w:rsidRPr="00F54B01" w:rsidTr="008809ED">
        <w:trPr>
          <w:trHeight w:hRule="exact"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Πολύ</w:t>
            </w:r>
            <w:r w:rsidRPr="00F54B0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καταβολή</w:t>
            </w:r>
          </w:p>
        </w:tc>
      </w:tr>
      <w:tr w:rsidR="009D104A" w:rsidRPr="00F54B01" w:rsidTr="008809ED">
        <w:trPr>
          <w:trHeight w:hRule="exact"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Συχνές: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54B01">
              <w:rPr>
                <w:rFonts w:ascii="Times New Roman" w:hAnsi="Times New Roman" w:cs="Times New Roman"/>
              </w:rPr>
              <w:t>κόπωση</w:t>
            </w:r>
          </w:p>
        </w:tc>
      </w:tr>
    </w:tbl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1 </w:t>
      </w:r>
      <w:r w:rsidRPr="00F54B01">
        <w:rPr>
          <w:rFonts w:ascii="Times New Roman" w:hAnsi="Times New Roman" w:cs="Times New Roman"/>
          <w:sz w:val="18"/>
          <w:lang w:val="el-GR"/>
        </w:rPr>
        <w:t>Αυτή η ανεπιθύμητη ενέργεια μπορεί να εμφανιστεί ως συνέπεια της κεντρικής νεφρικής σωληναριοπάθειας. Δεν</w:t>
      </w:r>
      <w:r w:rsidRPr="00F54B01">
        <w:rPr>
          <w:rFonts w:ascii="Times New Roman" w:hAnsi="Times New Roman" w:cs="Times New Roman"/>
          <w:spacing w:val="-11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θεωρείται αιτιωδώς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συσχετιζόμενη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με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="001E606F">
        <w:rPr>
          <w:rFonts w:ascii="Times New Roman" w:hAnsi="Times New Roman" w:cs="Times New Roman"/>
          <w:sz w:val="18"/>
          <w:lang w:val="el-GR"/>
        </w:rPr>
        <w:t xml:space="preserve">την </w:t>
      </w:r>
      <w:r w:rsidR="001E606F" w:rsidRPr="001E606F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στην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περίπτωση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απουσίας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αυτής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της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συνθήκης.</w:t>
      </w:r>
    </w:p>
    <w:p w:rsidR="009D104A" w:rsidRPr="00AE2A28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2 </w:t>
      </w:r>
      <w:r w:rsidRPr="00F54B01">
        <w:rPr>
          <w:rFonts w:ascii="Times New Roman" w:hAnsi="Times New Roman" w:cs="Times New Roman"/>
          <w:sz w:val="18"/>
          <w:lang w:val="el-GR"/>
        </w:rPr>
        <w:t>Αυτή η ανεπιθύμητη ενέργεια αναγνωρίστηκε μέσω της παρακολούθησης μετά την κυκλοφορία, αλλά δεν</w:t>
      </w:r>
      <w:r w:rsidRPr="00F54B01">
        <w:rPr>
          <w:rFonts w:ascii="Times New Roman" w:hAnsi="Times New Roman" w:cs="Times New Roman"/>
          <w:spacing w:val="-2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παρατηρήθηκε</w:t>
      </w:r>
      <w:r w:rsidR="001E606F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σε τυχαιοποιημένες ελεγχόμενες κλινικές μελέτες ή στο διευρυμένο πρόγραμμα πρόσβασης </w:t>
      </w:r>
      <w:r w:rsidR="001E606F" w:rsidRPr="00F54B01">
        <w:rPr>
          <w:rFonts w:ascii="Times New Roman" w:hAnsi="Times New Roman" w:cs="Times New Roman"/>
          <w:sz w:val="18"/>
          <w:lang w:val="el-GR"/>
        </w:rPr>
        <w:t>στ</w:t>
      </w:r>
      <w:r w:rsidR="001E606F">
        <w:rPr>
          <w:rFonts w:ascii="Times New Roman" w:hAnsi="Times New Roman" w:cs="Times New Roman"/>
          <w:sz w:val="18"/>
          <w:lang w:val="el-GR"/>
        </w:rPr>
        <w:t>ην</w:t>
      </w:r>
      <w:r w:rsidR="001E606F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="001E606F" w:rsidRPr="001E606F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Η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κατηγορία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συχνότητας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εκτιμήθηκε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από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έναν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στατιστικό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υπολογισμό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με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βάση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το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συνολικό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αριθμό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των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ασθενών που είχαν εκτεθεί </w:t>
      </w:r>
      <w:r w:rsidR="001E606F" w:rsidRPr="00F54B01">
        <w:rPr>
          <w:rFonts w:ascii="Times New Roman" w:hAnsi="Times New Roman" w:cs="Times New Roman"/>
          <w:sz w:val="18"/>
          <w:lang w:val="el-GR"/>
        </w:rPr>
        <w:t>στ</w:t>
      </w:r>
      <w:r w:rsidR="001E606F">
        <w:rPr>
          <w:rFonts w:ascii="Times New Roman" w:hAnsi="Times New Roman" w:cs="Times New Roman"/>
          <w:sz w:val="18"/>
          <w:lang w:val="el-GR"/>
        </w:rPr>
        <w:t>ην</w:t>
      </w:r>
      <w:r w:rsidR="001E606F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="001E606F" w:rsidRPr="001E606F">
        <w:rPr>
          <w:rFonts w:ascii="Times New Roman" w:hAnsi="Times New Roman" w:cs="Times New Roman"/>
          <w:sz w:val="18"/>
          <w:lang w:val="el-GR"/>
        </w:rPr>
        <w:t xml:space="preserve">τενοφοβίρη δισοπρόξιλη </w:t>
      </w:r>
      <w:r w:rsidRPr="00F54B01">
        <w:rPr>
          <w:rFonts w:ascii="Times New Roman" w:hAnsi="Times New Roman" w:cs="Times New Roman"/>
          <w:sz w:val="18"/>
          <w:lang w:val="el-GR"/>
        </w:rPr>
        <w:t>σε τυχαιοποιημένες ελεγχόμενες κλινικές δοκιμές και το</w:t>
      </w:r>
      <w:r w:rsidRPr="00F54B01">
        <w:rPr>
          <w:rFonts w:ascii="Times New Roman" w:hAnsi="Times New Roman" w:cs="Times New Roman"/>
          <w:spacing w:val="-2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διευρυμένο πρόγραμμα</w:t>
      </w:r>
      <w:r w:rsidRPr="00F54B01">
        <w:rPr>
          <w:rFonts w:ascii="Times New Roman" w:hAnsi="Times New Roman" w:cs="Times New Roman"/>
          <w:spacing w:val="-6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πρόσβασης.</w:t>
      </w:r>
      <w:r w:rsidR="00AE2A28">
        <w:rPr>
          <w:rFonts w:ascii="Times New Roman" w:hAnsi="Times New Roman" w:cs="Times New Roman"/>
          <w:sz w:val="18"/>
          <w:lang w:val="el-GR"/>
        </w:rPr>
        <w:t xml:space="preserve"> (</w:t>
      </w:r>
      <w:r w:rsidR="00AE2A28">
        <w:rPr>
          <w:rFonts w:ascii="Times New Roman" w:hAnsi="Times New Roman" w:cs="Times New Roman"/>
          <w:sz w:val="18"/>
        </w:rPr>
        <w:t>n</w:t>
      </w:r>
      <w:r w:rsidR="00AE2A28" w:rsidRPr="008809ED">
        <w:rPr>
          <w:rFonts w:ascii="Times New Roman" w:hAnsi="Times New Roman" w:cs="Times New Roman"/>
          <w:sz w:val="18"/>
          <w:lang w:val="el-GR"/>
        </w:rPr>
        <w:t>=7.319)</w:t>
      </w:r>
      <w:r w:rsidR="00AE2A28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Περιγραφή επιλεγμένων ανεπιθύμητων</w:t>
      </w:r>
      <w:r w:rsidRPr="00F54B01">
        <w:rPr>
          <w:rFonts w:cs="Times New Roman"/>
          <w:spacing w:val="-20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ενεργειών</w:t>
      </w:r>
    </w:p>
    <w:p w:rsidR="00AE2A28" w:rsidRDefault="00302B89" w:rsidP="009A7039">
      <w:pPr>
        <w:rPr>
          <w:rFonts w:ascii="Times New Roman" w:hAnsi="Times New Roman" w:cs="Times New Roman"/>
          <w:i/>
          <w:spacing w:val="-1"/>
          <w:lang w:val="el-GR"/>
        </w:rPr>
      </w:pPr>
      <w:r w:rsidRPr="00F54B01">
        <w:rPr>
          <w:rFonts w:ascii="Times New Roman" w:hAnsi="Times New Roman" w:cs="Times New Roman"/>
          <w:i/>
        </w:rPr>
        <w:t>HIV</w:t>
      </w:r>
      <w:r w:rsidRPr="00F54B01">
        <w:rPr>
          <w:rFonts w:ascii="Times New Roman" w:hAnsi="Times New Roman" w:cs="Times New Roman"/>
          <w:i/>
          <w:lang w:val="el-GR"/>
        </w:rPr>
        <w:t>-1 και ηπατίτιδα</w:t>
      </w:r>
      <w:r w:rsidRPr="00F54B01">
        <w:rPr>
          <w:rFonts w:ascii="Times New Roman" w:hAnsi="Times New Roman" w:cs="Times New Roman"/>
          <w:i/>
          <w:spacing w:val="-8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Β:</w:t>
      </w:r>
      <w:r w:rsidRPr="00F54B01">
        <w:rPr>
          <w:rFonts w:ascii="Times New Roman" w:hAnsi="Times New Roman" w:cs="Times New Roman"/>
          <w:i/>
          <w:spacing w:val="-1"/>
          <w:lang w:val="el-GR"/>
        </w:rPr>
        <w:t xml:space="preserve"> </w:t>
      </w:r>
    </w:p>
    <w:p w:rsidR="00AE2A28" w:rsidRDefault="00AE2A28" w:rsidP="009A7039">
      <w:pPr>
        <w:rPr>
          <w:rFonts w:ascii="Times New Roman" w:hAnsi="Times New Roman" w:cs="Times New Roman"/>
          <w:i/>
          <w:spacing w:val="-1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</w:rPr>
        <w:t>N</w:t>
      </w:r>
      <w:r w:rsidRPr="00F54B01">
        <w:rPr>
          <w:rFonts w:ascii="Times New Roman" w:hAnsi="Times New Roman" w:cs="Times New Roman"/>
          <w:i/>
          <w:lang w:val="el-GR"/>
        </w:rPr>
        <w:t>εφρική</w:t>
      </w:r>
      <w:r w:rsidRPr="00F54B01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δυσλειτουργία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Καθώς </w:t>
      </w:r>
      <w:r w:rsidR="00AE2A28">
        <w:rPr>
          <w:rFonts w:cs="Times New Roman"/>
          <w:lang w:val="el-GR"/>
        </w:rPr>
        <w:t>η τενοφοβίρη</w:t>
      </w:r>
      <w:r w:rsidRPr="00F54B01">
        <w:rPr>
          <w:rFonts w:cs="Times New Roman"/>
          <w:lang w:val="el-GR"/>
        </w:rPr>
        <w:t xml:space="preserve"> μπορεί να προκαλέσει νεφρική βλάβη συνιστάται η στενή παρακολούθηση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της νεφρικής λειτουργίας (βλ. παραγράφους 4.4 και 4.8 </w:t>
      </w:r>
      <w:r w:rsidRPr="00F54B01">
        <w:rPr>
          <w:rFonts w:cs="Times New Roman"/>
          <w:i/>
          <w:lang w:val="el-GR"/>
        </w:rPr>
        <w:t>Περίληψη του προφίλ ασφάλειας</w:t>
      </w:r>
      <w:r w:rsidRPr="00F54B01">
        <w:rPr>
          <w:rFonts w:cs="Times New Roman"/>
          <w:lang w:val="el-GR"/>
        </w:rPr>
        <w:t>). Η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κεντρική νεφρική σωληναριοπάθεια γενικά επιλύθηκε ή βελτιώθηκε μετά από τη διακοπή </w:t>
      </w:r>
      <w:r w:rsidR="00AE2A28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>. Ωστόσο, σε ορισμένους ασθενείς, οι μειώσεις στην κάθαρση κρεατινίνης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δεν επιλύθηκαν εντελώς παρά τη διακοπή </w:t>
      </w:r>
      <w:r w:rsidR="00AE2A28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>. Ασθενείς με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κίνδυνο νεφρικής δυσλειτουργίας (όπως ασθενείς με νεφρικούς παράγοντες κινδύνου κατά την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έναρξη, προχωρημένη λοίμωξη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, ή ασθενείς που λαμβάνουν ταυτόχρονα νεφροτοξικά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φαρμακευτικά προϊόντα) έχουν αυξημένο κίνδυνο να </w:t>
      </w:r>
      <w:r w:rsidRPr="00F54B01">
        <w:rPr>
          <w:rFonts w:cs="Times New Roman"/>
          <w:lang w:val="el-GR"/>
        </w:rPr>
        <w:lastRenderedPageBreak/>
        <w:t>παρουσιάσουν ελλιπή ανάκτηση της νεφρικής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λειτουργίας παρά τη διακοπή </w:t>
      </w:r>
      <w:r w:rsidR="00AE2A28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(βλ. παράγραφο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</w:rPr>
        <w:t>HIV</w:t>
      </w:r>
      <w:r w:rsidRPr="00F54B01">
        <w:rPr>
          <w:rFonts w:ascii="Times New Roman" w:hAnsi="Times New Roman" w:cs="Times New Roman"/>
          <w:i/>
          <w:lang w:val="el-GR"/>
        </w:rPr>
        <w:t>-1:</w:t>
      </w:r>
    </w:p>
    <w:p w:rsidR="009D104A" w:rsidRPr="00AE2A28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Αλληλεπίδραση με</w:t>
      </w:r>
      <w:r w:rsidRPr="00F54B01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="00AA45B9" w:rsidRPr="00AA45B9">
        <w:rPr>
          <w:rFonts w:ascii="Times New Roman" w:hAnsi="Times New Roman" w:cs="Times New Roman"/>
          <w:i/>
          <w:lang w:val="el-GR"/>
        </w:rPr>
        <w:t>διδανοσίνη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συγχορήγηση </w:t>
      </w:r>
      <w:r w:rsidR="00AE2A28">
        <w:rPr>
          <w:rFonts w:cs="Times New Roman"/>
          <w:lang w:val="el-GR"/>
        </w:rPr>
        <w:t>της</w:t>
      </w:r>
      <w:r w:rsidR="00AE2A28" w:rsidRPr="008809ED">
        <w:rPr>
          <w:rFonts w:cs="Times New Roman"/>
          <w:lang w:val="el-GR"/>
        </w:rPr>
        <w:t xml:space="preserve"> </w:t>
      </w:r>
      <w:r w:rsidR="00AE2A28">
        <w:rPr>
          <w:rFonts w:cs="Times New Roman"/>
          <w:lang w:val="el-GR"/>
        </w:rPr>
        <w:t>τενοφοβίρης δισοπρόξιλης</w:t>
      </w:r>
      <w:r w:rsidRPr="00F54B01">
        <w:rPr>
          <w:rFonts w:cs="Times New Roman"/>
          <w:lang w:val="el-GR"/>
        </w:rPr>
        <w:t xml:space="preserve"> με </w:t>
      </w:r>
      <w:r w:rsidR="00AA45B9" w:rsidRPr="00AA45B9">
        <w:rPr>
          <w:rFonts w:cs="Times New Roman"/>
          <w:lang w:val="el-GR"/>
        </w:rPr>
        <w:t>διδανοσίνη</w:t>
      </w:r>
      <w:r w:rsidR="00AE2A28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δεν συνιστάται καθώς οδηγεί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σε 40-60%</w:t>
      </w:r>
      <w:r w:rsidR="009A5D7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αύξηση στη συστηματικ</w:t>
      </w:r>
      <w:r w:rsidR="00AE2A28">
        <w:rPr>
          <w:rFonts w:cs="Times New Roman"/>
          <w:lang w:val="el-GR"/>
        </w:rPr>
        <w:t>ή</w:t>
      </w:r>
      <w:r w:rsidRPr="00F54B01">
        <w:rPr>
          <w:rFonts w:cs="Times New Roman"/>
          <w:lang w:val="el-GR"/>
        </w:rPr>
        <w:t xml:space="preserve"> έκθεση </w:t>
      </w:r>
      <w:r w:rsidR="00AE2A28" w:rsidRPr="00F54B01">
        <w:rPr>
          <w:rFonts w:cs="Times New Roman"/>
          <w:lang w:val="el-GR"/>
        </w:rPr>
        <w:t>στ</w:t>
      </w:r>
      <w:r w:rsidR="009A5D71">
        <w:rPr>
          <w:rFonts w:cs="Times New Roman"/>
          <w:lang w:val="el-GR"/>
        </w:rPr>
        <w:t>η</w:t>
      </w:r>
      <w:r w:rsidR="00AE2A28" w:rsidRPr="00F54B01">
        <w:rPr>
          <w:rFonts w:cs="Times New Roman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διδανοσίνη</w:t>
      </w:r>
      <w:r w:rsidRPr="00F54B01">
        <w:rPr>
          <w:rFonts w:cs="Times New Roman"/>
          <w:lang w:val="el-GR"/>
        </w:rPr>
        <w:t>, που μπορεί να αυξήσει τον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κίνδυνο εμφάνισης ανεπιθύμητων ενεργειών σχετιζόμενων με </w:t>
      </w:r>
      <w:r w:rsidR="00AE2A28" w:rsidRPr="00F54B01">
        <w:rPr>
          <w:rFonts w:cs="Times New Roman"/>
          <w:lang w:val="el-GR"/>
        </w:rPr>
        <w:t>τ</w:t>
      </w:r>
      <w:r w:rsidR="009A5D71">
        <w:rPr>
          <w:rFonts w:cs="Times New Roman"/>
          <w:lang w:val="el-GR"/>
        </w:rPr>
        <w:t>η</w:t>
      </w:r>
      <w:r w:rsidR="00AE2A28" w:rsidRPr="00F54B01">
        <w:rPr>
          <w:rFonts w:cs="Times New Roman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διδανοσίνη</w:t>
      </w:r>
      <w:r w:rsidR="00AE2A28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(βλ. παράγραφο 4.5).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Σπάνια, έχουν αναφερθεί παγκρεατίτιδα και γαλακτική οξέωση, ενίοτε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>μοιραία.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Μεταβολικές</w:t>
      </w:r>
      <w:r w:rsidRPr="00F54B01">
        <w:rPr>
          <w:rFonts w:ascii="Times New Roman" w:hAnsi="Times New Roman" w:cs="Times New Roman"/>
          <w:i/>
          <w:spacing w:val="-4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παράμετροι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Το σωματικό βάρος και τα επίπεδα των λιπιδίων και της γλυκόζης στο αίμα ενδέχεται να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αυξηθούν κατά τη διάρκεια της αντιρετροϊικής θεραπείας (βλέπε παράγραφο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>4.4)</w:t>
      </w:r>
    </w:p>
    <w:p w:rsidR="001E7767" w:rsidRPr="00F54B01" w:rsidRDefault="001E7767" w:rsidP="009A7039">
      <w:pPr>
        <w:rPr>
          <w:rFonts w:ascii="Times New Roman" w:hAnsi="Times New Roman" w:cs="Times New Roman"/>
          <w:i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Σύνδρομο επανεργοποίησης του ανοσοποιητικού</w:t>
      </w:r>
      <w:r w:rsidRPr="00F54B01">
        <w:rPr>
          <w:rFonts w:ascii="Times New Roman" w:hAnsi="Times New Roman" w:cs="Times New Roman"/>
          <w:i/>
          <w:spacing w:val="-1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συστήματος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Σε ασθενείς με λοίμωξη από 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 με σοβαρή ανοσολογική ανεπάρκεια ενδέχεται να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εμφανιστεί, κατά την έναρξη της </w:t>
      </w:r>
      <w:r w:rsidRPr="00F54B01">
        <w:rPr>
          <w:rFonts w:cs="Times New Roman"/>
        </w:rPr>
        <w:t>CART</w:t>
      </w:r>
      <w:r w:rsidRPr="00F54B01">
        <w:rPr>
          <w:rFonts w:cs="Times New Roman"/>
          <w:lang w:val="el-GR"/>
        </w:rPr>
        <w:t>, μία φλεγμονώδης αντίδραση σε λοιμώξεις από ασυμπτωματικά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υπολειμματικά ευκαιριακά παθογόνα. </w:t>
      </w:r>
      <w:r w:rsidRPr="00F54B01">
        <w:rPr>
          <w:rFonts w:cs="Times New Roman"/>
        </w:rPr>
        <w:t>A</w:t>
      </w:r>
      <w:r w:rsidRPr="00F54B01">
        <w:rPr>
          <w:rFonts w:cs="Times New Roman"/>
          <w:lang w:val="el-GR"/>
        </w:rPr>
        <w:t xml:space="preserve">υτοάνοσες διαταραχές (όπως η νόσος του </w:t>
      </w:r>
      <w:r w:rsidRPr="00F54B01">
        <w:rPr>
          <w:rFonts w:cs="Times New Roman"/>
        </w:rPr>
        <w:t>Graves</w:t>
      </w:r>
      <w:r w:rsidRPr="00F54B01">
        <w:rPr>
          <w:rFonts w:cs="Times New Roman"/>
          <w:lang w:val="el-GR"/>
        </w:rPr>
        <w:t>)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έχουν επίσης αναφερθεί. Ωστόσο, ο αναφερόμενος χρόνος έως την έναρξη είναι περισσότερο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μεταβλητός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και αυτά τα γεγονότα μπορεί να συμβούν πολλούς μήνες μετά την έναρξη της θεραπείας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(βλ. παράγραφο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Οστεονέκρωση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Έχουν αναφερθεί περιπτώσεις οστεονέκρωσης κυρίως σε ασθενείς με γνωστούς γενικά</w:t>
      </w:r>
      <w:r w:rsidRPr="00F54B01">
        <w:rPr>
          <w:rFonts w:cs="Times New Roman"/>
          <w:spacing w:val="-3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παράγοντες κινδύνου, προχωρημένη λοίμωξη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μακράς διάρκειας έκθεση σε </w:t>
      </w:r>
      <w:r w:rsidRPr="00F54B01">
        <w:rPr>
          <w:rFonts w:cs="Times New Roman"/>
        </w:rPr>
        <w:t>CART</w:t>
      </w:r>
      <w:r w:rsidRPr="00F54B01">
        <w:rPr>
          <w:rFonts w:cs="Times New Roman"/>
          <w:lang w:val="el-GR"/>
        </w:rPr>
        <w:t>. Η συχνότητα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αυτών είναι άγνωστη (βλ. παράγραφο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Ηπατίτιδα</w:t>
      </w:r>
      <w:r w:rsidRPr="00F54B01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B</w:t>
      </w:r>
      <w:r w:rsidRPr="00F54B01">
        <w:rPr>
          <w:rFonts w:ascii="Times New Roman" w:hAnsi="Times New Roman" w:cs="Times New Roman"/>
          <w:i/>
          <w:lang w:val="el-GR"/>
        </w:rPr>
        <w:t>: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Εξάρσεις ηπατίτιδας κατά τη διάρκεια της</w:t>
      </w:r>
      <w:r w:rsidRPr="00F54B01">
        <w:rPr>
          <w:rFonts w:ascii="Times New Roman" w:hAnsi="Times New Roman" w:cs="Times New Roman"/>
          <w:i/>
          <w:spacing w:val="-1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θεραπείας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Σε μελέτες με πρωτοθεραπευόμενους με νουκλεοσίδια ασθενείς, αυξήσεις στην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κατά τη</w:t>
      </w:r>
      <w:r w:rsidRPr="00F54B01">
        <w:rPr>
          <w:rFonts w:cs="Times New Roman"/>
          <w:spacing w:val="-29"/>
          <w:lang w:val="el-GR"/>
        </w:rPr>
        <w:t xml:space="preserve"> </w:t>
      </w:r>
      <w:r w:rsidR="009A5D71">
        <w:rPr>
          <w:rFonts w:cs="Times New Roman"/>
          <w:lang w:val="el-GR"/>
        </w:rPr>
        <w:t>διάρκεια της θεραπείας &gt;</w:t>
      </w:r>
      <w:r w:rsidRPr="00F54B01">
        <w:rPr>
          <w:rFonts w:cs="Times New Roman"/>
          <w:lang w:val="el-GR"/>
        </w:rPr>
        <w:t>10 φορές το ΑΦΟ (Ανώτατο Φυσιολογικό Όριο) και &gt;2 φορές την τιμή κατά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την έναρξη εμφανίστηκαν στο 2,6% των ασθενών που λάμβαναν θεραπεία με </w:t>
      </w:r>
      <w:r w:rsidR="00AE2A28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έναντι του 1,9% των ασθενών που ελάμβαναν </w:t>
      </w:r>
      <w:r w:rsidR="00AA45B9" w:rsidRPr="00AA45B9">
        <w:rPr>
          <w:rFonts w:cs="Times New Roman"/>
          <w:lang w:val="el-GR"/>
        </w:rPr>
        <w:t>αδεφοβίρη διπιβοξίλη</w:t>
      </w:r>
      <w:r w:rsidRPr="00F54B01">
        <w:rPr>
          <w:rFonts w:cs="Times New Roman"/>
          <w:lang w:val="el-GR"/>
        </w:rPr>
        <w:t>. Μεταξύ των ασθενών</w:t>
      </w:r>
      <w:r w:rsidRPr="00F54B01">
        <w:rPr>
          <w:rFonts w:cs="Times New Roman"/>
          <w:spacing w:val="-3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που λάμβαναν </w:t>
      </w:r>
      <w:r w:rsidR="00AE2A28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, οι αυξήσεις στην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κατά τη διάρκεια της θεραπείας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είχαν διάμεσο χρόνο μέχρι την έναρξη τις 8 εβδομάδες, επιλύθηκαν με τη συνέχιση της θεραπείας και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στην πλειοψηφία των </w:t>
      </w:r>
      <w:r w:rsidR="009A5D71">
        <w:rPr>
          <w:rFonts w:cs="Times New Roman"/>
          <w:lang w:val="el-GR"/>
        </w:rPr>
        <w:t>περιπτώσεων, συσχετίστηκαν με ≥</w:t>
      </w:r>
      <w:r w:rsidRPr="00F54B01">
        <w:rPr>
          <w:rFonts w:cs="Times New Roman"/>
          <w:lang w:val="el-GR"/>
        </w:rPr>
        <w:t xml:space="preserve">2 </w:t>
      </w:r>
      <w:r w:rsidRPr="00F54B01">
        <w:rPr>
          <w:rFonts w:cs="Times New Roman"/>
        </w:rPr>
        <w:t>log</w:t>
      </w:r>
      <w:r w:rsidRPr="00F54B01">
        <w:rPr>
          <w:rFonts w:cs="Times New Roman"/>
          <w:position w:val="-2"/>
          <w:sz w:val="14"/>
          <w:szCs w:val="14"/>
          <w:lang w:val="el-GR"/>
        </w:rPr>
        <w:t xml:space="preserve">10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μείωση στο ιικό φορτίο</w:t>
      </w:r>
      <w:r w:rsidRPr="00F54B01">
        <w:rPr>
          <w:rFonts w:cs="Times New Roman"/>
          <w:spacing w:val="-3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που προηγήθηκε ή συνέπεσε με την αύξηση της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>. Συνιστάται η περιοδική παρακολούθηση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της ηπατικής λειτουργίας κατά τη διάρκεια της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>θεραπείας.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Εξάρσεις ηπατίτιδας μετά τη διακοπή της</w:t>
      </w:r>
      <w:r w:rsidRPr="00F54B01">
        <w:rPr>
          <w:rFonts w:ascii="Times New Roman" w:hAnsi="Times New Roman" w:cs="Times New Roman"/>
          <w:i/>
          <w:spacing w:val="-11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θεραπείας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Σε ασθενείς με λοίμωξη από τον ιό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>, παρουσιάστηκε κλινική και εργαστηριακή απόδειξη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των εξάρσεων ηπατίτιδας, μετά τη διακοπή της θεραπείας για τον ιό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(βλ. παράγραφο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Παιδιατρικός</w:t>
      </w:r>
      <w:r w:rsidRPr="00F54B01">
        <w:rPr>
          <w:rFonts w:cs="Times New Roman"/>
          <w:spacing w:val="-4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πληθυσμός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</w:rPr>
        <w:t>HIV</w:t>
      </w:r>
      <w:r w:rsidRPr="00F54B01">
        <w:rPr>
          <w:rFonts w:ascii="Times New Roman" w:hAnsi="Times New Roman" w:cs="Times New Roman"/>
          <w:i/>
          <w:lang w:val="el-GR"/>
        </w:rPr>
        <w:t>-1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Η αξιολόγηση των ανεπιθύμητων ενεργειών βασίζεται σε δύο τυχαιοποιημένες μελέτες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>(μελέτες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-104-0321 και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-104-0352) σε 184 παιδιατρ</w:t>
      </w:r>
      <w:r w:rsidR="00796AA2">
        <w:rPr>
          <w:rFonts w:cs="Times New Roman"/>
          <w:lang w:val="el-GR"/>
        </w:rPr>
        <w:t>ικούς ασθενείς (ηλικίας 2 έως &lt;</w:t>
      </w:r>
      <w:r w:rsidRPr="00F54B01">
        <w:rPr>
          <w:rFonts w:cs="Times New Roman"/>
          <w:lang w:val="el-GR"/>
        </w:rPr>
        <w:t>18 ετών)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που είχαν προσβληθεί από 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-1, οι οποίοι έλαβαν θεραπεία με </w:t>
      </w:r>
      <w:r w:rsidR="003E10DA">
        <w:rPr>
          <w:rFonts w:cs="Times New Roman"/>
          <w:lang w:val="el-GR"/>
        </w:rPr>
        <w:t>τενοφοβίρη δισοπρόξιλη</w:t>
      </w:r>
      <w:r w:rsidR="003E10D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93) ή εικονικό φάρμακο/ενεργό συγκριτικό παράγοντα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91) σε συνδυασμό με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>άλλες αντιρετροϊκές ουσίες για 48 εβδομάδες (βλ. παράγραφο 5.1). Οι ανεπιθύμητες ενέργειες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που παρατηρήθηκαν στους παιδιατρικούς ασθενείς που έλαβαν θεραπεία με </w:t>
      </w:r>
      <w:r w:rsidR="003E10DA">
        <w:rPr>
          <w:rFonts w:cs="Times New Roman"/>
          <w:lang w:val="el-GR"/>
        </w:rPr>
        <w:t>τενοφοβίρη δισοπρόξιλη</w:t>
      </w:r>
      <w:r w:rsidR="003E10D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ήταν συμβατές με εκείνες που παρατηρήθηκαν στις κλινικές μελέτες τ</w:t>
      </w:r>
      <w:r w:rsidR="00796AA2">
        <w:rPr>
          <w:rFonts w:cs="Times New Roman"/>
          <w:lang w:val="el-GR"/>
        </w:rPr>
        <w:t>ης</w:t>
      </w:r>
      <w:r w:rsidRPr="00F54B01">
        <w:rPr>
          <w:rFonts w:cs="Times New Roman"/>
          <w:lang w:val="el-GR"/>
        </w:rPr>
        <w:t xml:space="preserve"> </w:t>
      </w:r>
      <w:r w:rsidR="003E10DA">
        <w:rPr>
          <w:rFonts w:cs="Times New Roman"/>
          <w:lang w:val="el-GR"/>
        </w:rPr>
        <w:t>τενοφοβίρη δισοπρόξιλη</w:t>
      </w:r>
      <w:r w:rsidR="003E10D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στους ενήλικες (βλ. παράγραφο 4.8 </w:t>
      </w:r>
      <w:r w:rsidRPr="00F54B01">
        <w:rPr>
          <w:rFonts w:cs="Times New Roman"/>
          <w:i/>
          <w:lang w:val="el-GR"/>
        </w:rPr>
        <w:t xml:space="preserve">Συνοπτική περίληψη ανεπιθύμητων ενεργειών </w:t>
      </w:r>
      <w:r w:rsidRPr="00F54B01">
        <w:rPr>
          <w:rFonts w:cs="Times New Roman"/>
          <w:lang w:val="el-GR"/>
        </w:rPr>
        <w:t>και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5.1).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Μειώσεις της ΟΠ έχουν αναφερθεί σε παιδιατρικούς ασθενείς. Σε εφήβους που έχουν προσβληθεί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από 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-1, οι βαθμολογίες </w:t>
      </w:r>
      <w:r w:rsidRPr="00F54B01">
        <w:rPr>
          <w:rFonts w:cs="Times New Roman"/>
        </w:rPr>
        <w:t>BMD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που παρατηρήθηκαν στα άτομα που έλαβαν</w:t>
      </w:r>
      <w:r w:rsidRPr="00F54B01">
        <w:rPr>
          <w:rFonts w:cs="Times New Roman"/>
          <w:spacing w:val="-19"/>
          <w:lang w:val="el-GR"/>
        </w:rPr>
        <w:t xml:space="preserve"> </w:t>
      </w:r>
      <w:r w:rsidR="003E10DA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ήταν χαμηλότερες από εκείνες που παρατηρήθηκαν σε άτομα που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έλαβαν εικονικό φάρμακο. Σε παιδιά που έχουν προσβληθεί από 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-1, οι βαθμολογίες </w:t>
      </w:r>
      <w:r w:rsidRPr="00F54B01">
        <w:rPr>
          <w:rFonts w:cs="Times New Roman"/>
        </w:rPr>
        <w:t>BMD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που </w:t>
      </w:r>
      <w:r w:rsidRPr="00F54B01">
        <w:rPr>
          <w:rFonts w:cs="Times New Roman"/>
          <w:lang w:val="el-GR"/>
        </w:rPr>
        <w:lastRenderedPageBreak/>
        <w:t xml:space="preserve">παρατηρήθηκαν στα άτομα που άλλαξαν σε </w:t>
      </w:r>
      <w:r w:rsidR="003E10DA">
        <w:rPr>
          <w:rFonts w:cs="Times New Roman"/>
          <w:lang w:val="el-GR"/>
        </w:rPr>
        <w:t>τενοφοβίρη δισοπρόξιλη</w:t>
      </w:r>
      <w:r w:rsidR="003E10D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ήταν χαμηλότερες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από εκείνες που παρατηρήθηκαν σε άτομα που παρέμειναν στην αγωγή τους που περιείχε </w:t>
      </w:r>
      <w:r w:rsidR="00203833" w:rsidRPr="00203833">
        <w:rPr>
          <w:rFonts w:cs="Times New Roman"/>
          <w:lang w:val="el-GR"/>
        </w:rPr>
        <w:t>σταβουδίνη</w:t>
      </w:r>
      <w:r w:rsidR="003E10DA"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</w:t>
      </w:r>
      <w:r w:rsidR="00203833" w:rsidRPr="00203833">
        <w:rPr>
          <w:rFonts w:cs="Times New Roman"/>
          <w:lang w:val="el-GR"/>
        </w:rPr>
        <w:t>ζιδοβουδίνη</w:t>
      </w:r>
      <w:r w:rsidR="003E10D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(βλ. παραγράφους 4.4 και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5.1).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Στη 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-104-0352, 4 από τους 89 παιδιατρικούς ασθενείς που εκτέθηκαν </w:t>
      </w:r>
      <w:r w:rsidR="003E10DA" w:rsidRPr="00F54B01">
        <w:rPr>
          <w:rFonts w:cs="Times New Roman"/>
          <w:lang w:val="el-GR"/>
        </w:rPr>
        <w:t>στ</w:t>
      </w:r>
      <w:r w:rsidR="003E10DA">
        <w:rPr>
          <w:rFonts w:cs="Times New Roman"/>
          <w:lang w:val="el-GR"/>
        </w:rPr>
        <w:t>ην</w:t>
      </w:r>
      <w:r w:rsidR="003E10DA" w:rsidRPr="00F54B01">
        <w:rPr>
          <w:rFonts w:cs="Times New Roman"/>
          <w:spacing w:val="-21"/>
          <w:lang w:val="el-GR"/>
        </w:rPr>
        <w:t xml:space="preserve"> </w:t>
      </w:r>
      <w:r w:rsidR="003E10DA">
        <w:rPr>
          <w:rFonts w:cs="Times New Roman"/>
          <w:lang w:val="el-GR"/>
        </w:rPr>
        <w:t>τενοφοβίρη δισοπρόξιλη</w:t>
      </w:r>
      <w:r w:rsidR="003E10D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(διάμεση έκθεση </w:t>
      </w:r>
      <w:r w:rsidR="003E10DA" w:rsidRPr="00F54B01">
        <w:rPr>
          <w:rFonts w:cs="Times New Roman"/>
          <w:lang w:val="el-GR"/>
        </w:rPr>
        <w:t>στ</w:t>
      </w:r>
      <w:r w:rsidR="003E10DA">
        <w:rPr>
          <w:rFonts w:cs="Times New Roman"/>
          <w:lang w:val="el-GR"/>
        </w:rPr>
        <w:t>ην</w:t>
      </w:r>
      <w:r w:rsidR="003E10DA" w:rsidRPr="00F54B01">
        <w:rPr>
          <w:rFonts w:cs="Times New Roman"/>
          <w:lang w:val="el-GR"/>
        </w:rPr>
        <w:t xml:space="preserve"> </w:t>
      </w:r>
      <w:r w:rsidR="003E10DA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312 εβδομάδες)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διέκοψαν λόγω ανεπιθύμητων ενεργειών συμβατών με κεντρική νεφρική σωληναριοπάθεια. Επτά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ασθενείς είχαν τιμές υπολογιζόμενου ρυθμού σπειραματικής διήθησης (</w:t>
      </w:r>
      <w:r w:rsidRPr="00F54B01">
        <w:rPr>
          <w:rFonts w:cs="Times New Roman"/>
        </w:rPr>
        <w:t>GFR</w:t>
      </w:r>
      <w:r w:rsidRPr="00F54B01">
        <w:rPr>
          <w:rFonts w:cs="Times New Roman"/>
          <w:lang w:val="el-GR"/>
        </w:rPr>
        <w:t>) μεταξύ 70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και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90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/1,73 </w:t>
      </w:r>
      <w:r w:rsidRPr="00F54B01">
        <w:rPr>
          <w:rFonts w:cs="Times New Roman"/>
        </w:rPr>
        <w:t>m</w:t>
      </w:r>
      <w:r w:rsidRPr="00F54B01">
        <w:rPr>
          <w:rFonts w:cs="Times New Roman"/>
          <w:position w:val="10"/>
          <w:sz w:val="14"/>
          <w:lang w:val="el-GR"/>
        </w:rPr>
        <w:t>2</w:t>
      </w:r>
      <w:r w:rsidRPr="00F54B01">
        <w:rPr>
          <w:rFonts w:cs="Times New Roman"/>
          <w:lang w:val="el-GR"/>
        </w:rPr>
        <w:t>. Μεταξύ αυτών, δύο ασθενείς εμφάνισαν κλινικά σημαντική μείωση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στον υπολογιζόμενο </w:t>
      </w:r>
      <w:r w:rsidRPr="00F54B01">
        <w:rPr>
          <w:rFonts w:cs="Times New Roman"/>
        </w:rPr>
        <w:t>GFR</w:t>
      </w:r>
      <w:r w:rsidRPr="00F54B01">
        <w:rPr>
          <w:rFonts w:cs="Times New Roman"/>
          <w:lang w:val="el-GR"/>
        </w:rPr>
        <w:t xml:space="preserve"> η οποία βελτιώθηκε μετά τη διακοπή </w:t>
      </w:r>
      <w:r w:rsidR="003E10DA" w:rsidRPr="00F54B01">
        <w:rPr>
          <w:rFonts w:cs="Times New Roman"/>
          <w:lang w:val="el-GR"/>
        </w:rPr>
        <w:t>τ</w:t>
      </w:r>
      <w:r w:rsidR="003E10DA">
        <w:rPr>
          <w:rFonts w:cs="Times New Roman"/>
          <w:lang w:val="el-GR"/>
        </w:rPr>
        <w:t>ης τενοφοβίρη δισοπρόξιλη</w:t>
      </w:r>
      <w:r w:rsidRPr="00F54B01">
        <w:rPr>
          <w:rFonts w:cs="Times New Roman"/>
          <w:lang w:val="el-GR"/>
        </w:rPr>
        <w:t>.</w:t>
      </w:r>
    </w:p>
    <w:p w:rsidR="001E7767" w:rsidRPr="00F54B01" w:rsidRDefault="001E7767" w:rsidP="009A7039">
      <w:pPr>
        <w:rPr>
          <w:rFonts w:ascii="Times New Roman" w:hAnsi="Times New Roman" w:cs="Times New Roman"/>
          <w:i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Χρόνια ηπατίτιδα</w:t>
      </w:r>
      <w:r w:rsidRPr="00F54B01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B</w:t>
      </w:r>
    </w:p>
    <w:p w:rsidR="009D104A" w:rsidRPr="00F54B01" w:rsidRDefault="00302B89" w:rsidP="001E7767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Η αξιολόγηση των ανεπιθύμητων ενεργειών βασίζεται σε μία τυχαιοποιημένη μελέτη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(μελέτη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-174-0115) σε 106 εφήβους ασθενείς (ηλικίας 12 έως &lt; 18 ετών) με χρόνια ηπατίτιδα </w:t>
      </w:r>
      <w:r w:rsidRPr="00F54B01">
        <w:rPr>
          <w:rFonts w:cs="Times New Roman"/>
        </w:rPr>
        <w:t>B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οι οποίοι έλαβαν θεραπεία με </w:t>
      </w:r>
      <w:r w:rsidR="003E10DA">
        <w:rPr>
          <w:rFonts w:cs="Times New Roman"/>
          <w:lang w:val="el-GR"/>
        </w:rPr>
        <w:t>τενοφοβίρη δισοπρόξιλη</w:t>
      </w:r>
      <w:r w:rsidR="003E10D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52) ή εικονικό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φάρμακο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54) για 72 εβδομάδες. Οι ανεπιθύμητες ενέργειες που παρατηρήθηκαν στους εφήβους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ασθενείς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που έλαβαν θεραπεία με </w:t>
      </w:r>
      <w:r w:rsidR="003E10DA">
        <w:rPr>
          <w:rFonts w:cs="Times New Roman"/>
          <w:lang w:val="el-GR"/>
        </w:rPr>
        <w:t>τενοφοβίρη δισοπρόξιλη</w:t>
      </w:r>
      <w:r w:rsidR="003E10D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ήταν συμβατές με εκείνες που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παρατηρήθηκαν στις κλινικές μελέτες </w:t>
      </w:r>
      <w:r w:rsidR="003E10DA" w:rsidRPr="00F54B01">
        <w:rPr>
          <w:rFonts w:cs="Times New Roman"/>
          <w:lang w:val="el-GR"/>
        </w:rPr>
        <w:t>τ</w:t>
      </w:r>
      <w:r w:rsidR="003E10DA">
        <w:rPr>
          <w:rFonts w:cs="Times New Roman"/>
          <w:lang w:val="el-GR"/>
        </w:rPr>
        <w:t>ης</w:t>
      </w:r>
      <w:r w:rsidR="003E10DA" w:rsidRPr="00F54B01">
        <w:rPr>
          <w:rFonts w:cs="Times New Roman"/>
          <w:lang w:val="el-GR"/>
        </w:rPr>
        <w:t xml:space="preserve"> </w:t>
      </w:r>
      <w:r w:rsidR="003E10DA">
        <w:rPr>
          <w:rFonts w:cs="Times New Roman"/>
          <w:lang w:val="el-GR"/>
        </w:rPr>
        <w:t>τενοφοβίρης δισοπρόξιλης</w:t>
      </w:r>
      <w:r w:rsidR="003E10D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στους ενήλικες (βλ. παράγραφο 4.8</w:t>
      </w:r>
      <w:r w:rsidRPr="00F54B01">
        <w:rPr>
          <w:rFonts w:cs="Times New Roman"/>
          <w:spacing w:val="-24"/>
          <w:lang w:val="el-GR"/>
        </w:rPr>
        <w:t xml:space="preserve"> </w:t>
      </w:r>
      <w:r w:rsidR="008E2A52" w:rsidRPr="008E2A52">
        <w:rPr>
          <w:rFonts w:cs="Times New Roman"/>
          <w:i/>
          <w:spacing w:val="-24"/>
          <w:lang w:val="el-GR"/>
        </w:rPr>
        <w:t>«</w:t>
      </w:r>
      <w:r w:rsidRPr="008E2A52">
        <w:rPr>
          <w:rFonts w:cs="Times New Roman"/>
          <w:i/>
          <w:lang w:val="el-GR"/>
        </w:rPr>
        <w:t>Συνοπτική</w:t>
      </w:r>
      <w:r w:rsidRPr="00F54B01">
        <w:rPr>
          <w:rFonts w:cs="Times New Roman"/>
          <w:i/>
          <w:lang w:val="el-GR"/>
        </w:rPr>
        <w:t xml:space="preserve"> περίληψη ανεπιθύμητων ενεργειών</w:t>
      </w:r>
      <w:r w:rsidR="008E2A52">
        <w:rPr>
          <w:rFonts w:cs="Times New Roman"/>
          <w:i/>
          <w:lang w:val="el-GR"/>
        </w:rPr>
        <w:t>»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lang w:val="el-GR"/>
        </w:rPr>
        <w:t>και</w:t>
      </w:r>
      <w:r w:rsidRPr="00F54B01">
        <w:rPr>
          <w:rFonts w:cs="Times New Roman"/>
          <w:spacing w:val="-5"/>
          <w:lang w:val="el-GR"/>
        </w:rPr>
        <w:t xml:space="preserve"> </w:t>
      </w:r>
      <w:r w:rsidRPr="00F54B01">
        <w:rPr>
          <w:rFonts w:cs="Times New Roman"/>
          <w:lang w:val="el-GR"/>
        </w:rPr>
        <w:t>5.1).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Μειώσεις της ΟΠ έχουν παρατηρηθεί σε εφήβους που έχουν προσβληθεί από τον ιό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>.</w:t>
      </w:r>
      <w:r w:rsidRPr="00F54B01">
        <w:rPr>
          <w:rFonts w:cs="Times New Roman"/>
          <w:spacing w:val="-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Οι βαθμολογίες </w:t>
      </w:r>
      <w:r w:rsidRPr="00F54B01">
        <w:rPr>
          <w:rFonts w:cs="Times New Roman"/>
        </w:rPr>
        <w:t>BMD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που παρατηρήθηκαν στα άτομα που έλαβαν </w:t>
      </w:r>
      <w:r w:rsidR="003E10DA">
        <w:rPr>
          <w:rFonts w:cs="Times New Roman"/>
          <w:lang w:val="el-GR"/>
        </w:rPr>
        <w:t>τενοφοβίρη δισοπρόξιλη</w:t>
      </w:r>
      <w:r w:rsidR="003E10D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ήταν χαμηλότερες από εκείνες που παρατηρήθηκαν σε άτομα που έλαβαν εικονικό φάρμακο</w:t>
      </w:r>
      <w:r w:rsidRPr="00F54B01">
        <w:rPr>
          <w:rFonts w:cs="Times New Roman"/>
          <w:spacing w:val="-9"/>
          <w:lang w:val="el-GR"/>
        </w:rPr>
        <w:t xml:space="preserve"> </w:t>
      </w:r>
      <w:r w:rsidRPr="00F54B01">
        <w:rPr>
          <w:rFonts w:cs="Times New Roman"/>
          <w:lang w:val="el-GR"/>
        </w:rPr>
        <w:t>(βλ. παραγράφους 4.4 και</w:t>
      </w:r>
      <w:r w:rsidRPr="00F54B01">
        <w:rPr>
          <w:rFonts w:cs="Times New Roman"/>
          <w:spacing w:val="-4"/>
          <w:lang w:val="el-GR"/>
        </w:rPr>
        <w:t xml:space="preserve"> </w:t>
      </w:r>
      <w:r w:rsidRPr="00F54B01">
        <w:rPr>
          <w:rFonts w:cs="Times New Roman"/>
          <w:lang w:val="el-GR"/>
        </w:rPr>
        <w:t>5.1).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Άλλοι ειδικοί</w:t>
      </w:r>
      <w:r w:rsidRPr="00F54B01">
        <w:rPr>
          <w:rFonts w:cs="Times New Roman"/>
          <w:spacing w:val="-6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πληθυσμοί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Ηλικιωμένοι</w:t>
      </w:r>
    </w:p>
    <w:p w:rsidR="009D104A" w:rsidRPr="00F54B01" w:rsidRDefault="003E10DA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Η τενοφοβίρη δισοπρόξιλη</w:t>
      </w:r>
      <w:r w:rsidR="00302B89" w:rsidRPr="00F54B01">
        <w:rPr>
          <w:rFonts w:cs="Times New Roman"/>
          <w:lang w:val="el-GR"/>
        </w:rPr>
        <w:t xml:space="preserve"> δεν έχει μελετηθεί σε ασθενείς ηλικίας πάνω από 65. Οι</w:t>
      </w:r>
      <w:r w:rsidR="00302B89" w:rsidRPr="00F54B01">
        <w:rPr>
          <w:rFonts w:cs="Times New Roman"/>
          <w:spacing w:val="-23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ηλικιωμένοι ασθενείς είναι πιο πιθανό να έχουν μειωμένη νεφρική λειτουργία, ως εκ τούτου απαιτείται</w:t>
      </w:r>
      <w:r w:rsidR="00302B89" w:rsidRPr="00F54B01">
        <w:rPr>
          <w:rFonts w:cs="Times New Roman"/>
          <w:spacing w:val="-25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προσοχή κατά τη θεραπεία ηλικιωμένων ασθενών με </w:t>
      </w:r>
      <w:r w:rsidR="005C3ABB">
        <w:rPr>
          <w:rFonts w:cs="Times New Roman"/>
          <w:lang w:val="el-GR"/>
        </w:rPr>
        <w:t>την τενοφοβίρη δισοπρόξιλη</w:t>
      </w:r>
      <w:r w:rsidR="00302B89" w:rsidRPr="00F54B01">
        <w:rPr>
          <w:rFonts w:cs="Times New Roman"/>
          <w:lang w:val="el-GR"/>
        </w:rPr>
        <w:t xml:space="preserve"> ((βλ. παράγραφο</w:t>
      </w:r>
      <w:r w:rsidR="00302B89" w:rsidRPr="00F54B01">
        <w:rPr>
          <w:rFonts w:cs="Times New Roman"/>
          <w:spacing w:val="-24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Ασθενείς με νεφρική</w:t>
      </w:r>
      <w:r w:rsidRPr="00F54B01">
        <w:rPr>
          <w:rFonts w:ascii="Times New Roman" w:hAnsi="Times New Roman" w:cs="Times New Roman"/>
          <w:i/>
          <w:spacing w:val="-6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δυσλειτουργία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Εφόσον </w:t>
      </w:r>
      <w:r w:rsidR="005C3ABB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 xml:space="preserve"> μπορεί να προκαλέσει νεφρική τοξικότητα, συνιστάται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στενή παρακολούθηση της νεφρικής λειτουργίας σε ενήλικες ασθενείς με νεφρική δυσλειτουργία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που λαμβάνουν θεραπεία με </w:t>
      </w:r>
      <w:r w:rsidR="005C3ABB">
        <w:rPr>
          <w:rFonts w:cs="Times New Roman"/>
          <w:lang w:val="el-GR"/>
        </w:rPr>
        <w:t>τενοφοβίρη</w:t>
      </w:r>
      <w:r w:rsidR="005C3ABB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(βλ. παραγράφους 4.2, 4.4 και 5.2). Η χρήση </w:t>
      </w:r>
      <w:r w:rsidR="005C3ABB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δεν συνιστάται σε παιδιατρικούς ασθενείς με νεφρική δυσλειτουργία (βλ. παραγράφους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4.2 και</w:t>
      </w:r>
      <w:r w:rsidRPr="00F54B01">
        <w:rPr>
          <w:rFonts w:cs="Times New Roman"/>
          <w:spacing w:val="1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Αναφορά πιθανολογούμενων ανεπιθύμητων</w:t>
      </w:r>
      <w:r w:rsidRPr="00F54B01">
        <w:rPr>
          <w:rFonts w:cs="Times New Roman"/>
          <w:spacing w:val="-23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ενεργειών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Η αναφορά πιθανολογούμενων ανεπιθύμητων ενεργειών μετά από τη χορήγηση άδειας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κυκλοφορίας του φαρμακευτικού προϊόντος είναι σημαντική. Επιτρέπει τη συνεχή παρακολούθηση της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σχέσης οφέλους-κινδύνου του φαρμακευτικού προϊόντος. Ζητείται από τους επαγγελματίες του τομέα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της υγειονομικής περίθαλψης να αναφέρουν οποιεσδήποτε πιθανολογούμενες ανεπιθύμητες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ενέργειες </w:t>
      </w:r>
      <w:r w:rsidR="005C3ABB" w:rsidRPr="00FC5E77">
        <w:rPr>
          <w:rFonts w:cs="Times New Roman"/>
          <w:lang w:val="el-GR"/>
        </w:rPr>
        <w:t xml:space="preserve">στον Εθνικό Οργανισμό Φαρμάκων, Μεσογείων 284, </w:t>
      </w:r>
      <w:r w:rsidR="005C3ABB" w:rsidRPr="00A82D2C">
        <w:rPr>
          <w:rFonts w:cs="Times New Roman"/>
        </w:rPr>
        <w:t>GR</w:t>
      </w:r>
      <w:r w:rsidR="005C3ABB" w:rsidRPr="008809ED">
        <w:rPr>
          <w:rFonts w:cs="Times New Roman"/>
          <w:lang w:val="el-GR"/>
        </w:rPr>
        <w:t xml:space="preserve">-15562 Χολαργός, Αθήνα, Τηλ: + 30 21 32040380/337, Φαξ: + 30 21 06549585. </w:t>
      </w:r>
      <w:r w:rsidR="005C3ABB" w:rsidRPr="009558AE">
        <w:rPr>
          <w:rFonts w:cs="Times New Roman"/>
        </w:rPr>
        <w:t xml:space="preserve">Ιστότοπος: </w:t>
      </w:r>
      <w:hyperlink r:id="rId9" w:history="1">
        <w:r w:rsidR="005C3ABB" w:rsidRPr="00A82D2C">
          <w:rPr>
            <w:rStyle w:val="-"/>
            <w:rFonts w:cs="Times New Roman"/>
          </w:rPr>
          <w:t>http</w:t>
        </w:r>
        <w:r w:rsidR="005C3ABB" w:rsidRPr="009558AE">
          <w:rPr>
            <w:rStyle w:val="-"/>
            <w:rFonts w:cs="Times New Roman"/>
          </w:rPr>
          <w:t>://</w:t>
        </w:r>
        <w:r w:rsidR="005C3ABB" w:rsidRPr="00A82D2C">
          <w:rPr>
            <w:rStyle w:val="-"/>
            <w:rFonts w:cs="Times New Roman"/>
          </w:rPr>
          <w:t>www</w:t>
        </w:r>
        <w:r w:rsidR="005C3ABB" w:rsidRPr="009558AE">
          <w:rPr>
            <w:rStyle w:val="-"/>
            <w:rFonts w:cs="Times New Roman"/>
          </w:rPr>
          <w:t>.</w:t>
        </w:r>
        <w:r w:rsidR="005C3ABB" w:rsidRPr="00A82D2C">
          <w:rPr>
            <w:rStyle w:val="-"/>
            <w:rFonts w:cs="Times New Roman"/>
          </w:rPr>
          <w:t>eof</w:t>
        </w:r>
        <w:r w:rsidR="005C3ABB" w:rsidRPr="009558AE">
          <w:rPr>
            <w:rStyle w:val="-"/>
            <w:rFonts w:cs="Times New Roman"/>
          </w:rPr>
          <w:t>.</w:t>
        </w:r>
        <w:r w:rsidR="005C3ABB" w:rsidRPr="00A82D2C">
          <w:rPr>
            <w:rStyle w:val="-"/>
            <w:rFonts w:cs="Times New Roman"/>
          </w:rPr>
          <w:t>gr</w:t>
        </w:r>
      </w:hyperlink>
      <w:r w:rsidR="005C3ABB">
        <w:rPr>
          <w:rStyle w:val="-"/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</w:rPr>
      </w:pPr>
      <w:r w:rsidRPr="00F54B01">
        <w:rPr>
          <w:rFonts w:ascii="Times New Roman" w:hAnsi="Times New Roman" w:cs="Times New Roman"/>
          <w:b/>
        </w:rPr>
        <w:t>Υπερδοσολογία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</w:rPr>
      </w:pPr>
      <w:r w:rsidRPr="00F54B01">
        <w:rPr>
          <w:rFonts w:cs="Times New Roman"/>
          <w:u w:val="single" w:color="000000"/>
        </w:rPr>
        <w:t>Συμπτώματα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Σε περίπτωση υπερδοσολογίας, ο ασθενής πρέπει να παρακολουθηθεί για ενδείξεις τοξικότητας</w:t>
      </w:r>
      <w:r w:rsidRPr="00F54B01">
        <w:rPr>
          <w:rFonts w:cs="Times New Roman"/>
          <w:spacing w:val="-30"/>
          <w:lang w:val="el-GR"/>
        </w:rPr>
        <w:t xml:space="preserve"> </w:t>
      </w:r>
      <w:r w:rsidRPr="00F54B01">
        <w:rPr>
          <w:rFonts w:cs="Times New Roman"/>
          <w:lang w:val="el-GR"/>
        </w:rPr>
        <w:t>(βλ. παραγράφους 4.8 και 5.3) και πρέπει να εφαρμοστεί συνήθης υποστηρικτική θεραπεία,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όπως απαιτείται.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Θεραπεία</w:t>
      </w:r>
    </w:p>
    <w:p w:rsidR="009D104A" w:rsidRPr="00F54B01" w:rsidRDefault="005C3ABB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Η τενοφοβίρη</w:t>
      </w:r>
      <w:r w:rsidR="00302B89" w:rsidRPr="00F54B01">
        <w:rPr>
          <w:rFonts w:cs="Times New Roman"/>
          <w:lang w:val="el-GR"/>
        </w:rPr>
        <w:t xml:space="preserve"> μπορεί να α</w:t>
      </w:r>
      <w:r w:rsidR="008E2A52">
        <w:rPr>
          <w:rFonts w:cs="Times New Roman"/>
          <w:lang w:val="el-GR"/>
        </w:rPr>
        <w:t>πομ</w:t>
      </w:r>
      <w:r w:rsidR="00302B89" w:rsidRPr="00F54B01">
        <w:rPr>
          <w:rFonts w:cs="Times New Roman"/>
          <w:lang w:val="el-GR"/>
        </w:rPr>
        <w:t xml:space="preserve">ακρυνθεί με αιμοκάθαρση. Η διάμεση κάθαρση </w:t>
      </w:r>
      <w:r>
        <w:rPr>
          <w:rFonts w:cs="Times New Roman"/>
          <w:lang w:val="el-GR"/>
        </w:rPr>
        <w:t>της τενοφοβίρης</w:t>
      </w:r>
      <w:r w:rsidR="00302B89" w:rsidRPr="00F54B01">
        <w:rPr>
          <w:rFonts w:cs="Times New Roman"/>
          <w:spacing w:val="-27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με αιμοκάθαρση είναι 134 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>/</w:t>
      </w:r>
      <w:r w:rsidR="00302B89" w:rsidRPr="00F54B01">
        <w:rPr>
          <w:rFonts w:cs="Times New Roman"/>
        </w:rPr>
        <w:t>min</w:t>
      </w:r>
      <w:r w:rsidR="00302B89" w:rsidRPr="00F54B01">
        <w:rPr>
          <w:rFonts w:cs="Times New Roman"/>
          <w:lang w:val="el-GR"/>
        </w:rPr>
        <w:t xml:space="preserve">. Δεν είναι γνωστό εάν </w:t>
      </w:r>
      <w:r>
        <w:rPr>
          <w:rFonts w:cs="Times New Roman"/>
          <w:lang w:val="el-GR"/>
        </w:rPr>
        <w:t>η τενοφοβίρη</w:t>
      </w:r>
      <w:r w:rsidR="00302B89" w:rsidRPr="00F54B01">
        <w:rPr>
          <w:rFonts w:cs="Times New Roman"/>
          <w:lang w:val="el-GR"/>
        </w:rPr>
        <w:t xml:space="preserve"> μπορεί να α</w:t>
      </w:r>
      <w:r w:rsidR="008E2A52">
        <w:rPr>
          <w:rFonts w:cs="Times New Roman"/>
          <w:lang w:val="el-GR"/>
        </w:rPr>
        <w:t>πομ</w:t>
      </w:r>
      <w:r w:rsidR="00302B89" w:rsidRPr="00F54B01">
        <w:rPr>
          <w:rFonts w:cs="Times New Roman"/>
          <w:lang w:val="el-GR"/>
        </w:rPr>
        <w:t>ακρυνθεί</w:t>
      </w:r>
      <w:r w:rsidR="00302B89" w:rsidRPr="00F54B01">
        <w:rPr>
          <w:rFonts w:cs="Times New Roman"/>
          <w:spacing w:val="-25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με περιτοναϊκή</w:t>
      </w:r>
      <w:r w:rsidR="00302B89" w:rsidRPr="00F54B01">
        <w:rPr>
          <w:rFonts w:cs="Times New Roman"/>
          <w:spacing w:val="-5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κάθαρση.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numPr>
          <w:ilvl w:val="0"/>
          <w:numId w:val="22"/>
        </w:numPr>
        <w:tabs>
          <w:tab w:val="left" w:pos="567"/>
        </w:tabs>
        <w:ind w:left="567"/>
        <w:rPr>
          <w:rFonts w:cs="Times New Roman"/>
          <w:b w:val="0"/>
          <w:bCs w:val="0"/>
        </w:rPr>
      </w:pPr>
      <w:r w:rsidRPr="00F54B01">
        <w:rPr>
          <w:rFonts w:cs="Times New Roman"/>
        </w:rPr>
        <w:lastRenderedPageBreak/>
        <w:t>ΦΑΡΜΑΚΟΛΟΓΙΚΕΣ</w:t>
      </w:r>
      <w:r w:rsidRPr="00F54B01">
        <w:rPr>
          <w:rFonts w:cs="Times New Roman"/>
          <w:spacing w:val="-1"/>
        </w:rPr>
        <w:t xml:space="preserve"> </w:t>
      </w:r>
      <w:r w:rsidRPr="00F54B01">
        <w:rPr>
          <w:rFonts w:cs="Times New Roman"/>
        </w:rPr>
        <w:t>ΙΔΙΟΤΗΤΕΣ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eastAsia="Times New Roman" w:hAnsi="Times New Roman" w:cs="Times New Roman"/>
        </w:rPr>
      </w:pPr>
      <w:r w:rsidRPr="00F54B01">
        <w:rPr>
          <w:rFonts w:ascii="Times New Roman" w:hAnsi="Times New Roman" w:cs="Times New Roman"/>
          <w:b/>
        </w:rPr>
        <w:t>Φαρμακοδυναμικές</w:t>
      </w:r>
      <w:r w:rsidRPr="00F54B01">
        <w:rPr>
          <w:rFonts w:ascii="Times New Roman" w:hAnsi="Times New Roman" w:cs="Times New Roman"/>
          <w:b/>
          <w:spacing w:val="-3"/>
        </w:rPr>
        <w:t xml:space="preserve"> </w:t>
      </w:r>
      <w:r w:rsidRPr="00F54B01">
        <w:rPr>
          <w:rFonts w:ascii="Times New Roman" w:hAnsi="Times New Roman" w:cs="Times New Roman"/>
          <w:b/>
        </w:rPr>
        <w:t>ιδιότητες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Φαρμακοθεραπευτική κατηγορία: Αντιικό για συστηματική χρήση, νουκλεοσιδικοί και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νουκλεοτιδικοί αναστολείς της ανάστροφης μεταγραφάσης, κωδικός </w:t>
      </w:r>
      <w:r w:rsidRPr="00F54B01">
        <w:rPr>
          <w:rFonts w:cs="Times New Roman"/>
        </w:rPr>
        <w:t>ATC</w:t>
      </w:r>
      <w:r w:rsidRPr="00F54B01">
        <w:rPr>
          <w:rFonts w:cs="Times New Roman"/>
          <w:lang w:val="el-GR"/>
        </w:rPr>
        <w:t>: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</w:rPr>
        <w:t>J</w:t>
      </w:r>
      <w:r w:rsidRPr="00F54B01">
        <w:rPr>
          <w:rFonts w:cs="Times New Roman"/>
          <w:lang w:val="el-GR"/>
        </w:rPr>
        <w:t>05Α</w:t>
      </w:r>
      <w:r w:rsidRPr="00F54B01">
        <w:rPr>
          <w:rFonts w:cs="Times New Roman"/>
        </w:rPr>
        <w:t>F</w:t>
      </w:r>
      <w:r w:rsidRPr="00F54B01">
        <w:rPr>
          <w:rFonts w:cs="Times New Roman"/>
          <w:lang w:val="el-GR"/>
        </w:rPr>
        <w:t>07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Μηχανισμός δράσης και φαρμακοδυναμικές</w:t>
      </w:r>
      <w:r w:rsidRPr="00F54B01">
        <w:rPr>
          <w:rFonts w:cs="Times New Roman"/>
          <w:spacing w:val="-11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επιδράσεις</w:t>
      </w:r>
    </w:p>
    <w:p w:rsidR="009D104A" w:rsidRPr="00F54B01" w:rsidRDefault="00B304A1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Η </w:t>
      </w:r>
      <w:r w:rsidR="00CF210F">
        <w:rPr>
          <w:rFonts w:cs="Times New Roman"/>
          <w:lang w:val="el-GR"/>
        </w:rPr>
        <w:t xml:space="preserve">τενοφοβίρη δισοπρόξιλη (ως ηλεκτρική) </w:t>
      </w:r>
      <w:r w:rsidR="00302B89" w:rsidRPr="00F54B01">
        <w:rPr>
          <w:rFonts w:cs="Times New Roman"/>
          <w:lang w:val="el-GR"/>
        </w:rPr>
        <w:t xml:space="preserve">είναι το άλας του προφαρμάκου </w:t>
      </w:r>
      <w:r>
        <w:rPr>
          <w:rFonts w:cs="Times New Roman"/>
          <w:lang w:val="el-GR"/>
        </w:rPr>
        <w:t>τενοφοβίρη δισοπρόξιλη</w:t>
      </w:r>
      <w:r w:rsidR="00302B89" w:rsidRPr="00F54B01">
        <w:rPr>
          <w:rFonts w:cs="Times New Roman"/>
          <w:lang w:val="el-GR"/>
        </w:rPr>
        <w:t>.</w:t>
      </w:r>
      <w:r w:rsidR="00302B89" w:rsidRPr="00F54B01">
        <w:rPr>
          <w:rFonts w:cs="Times New Roman"/>
          <w:spacing w:val="-28"/>
          <w:lang w:val="el-GR"/>
        </w:rPr>
        <w:t xml:space="preserve"> </w:t>
      </w:r>
      <w:r>
        <w:rPr>
          <w:rFonts w:cs="Times New Roman"/>
          <w:lang w:val="el-GR"/>
        </w:rPr>
        <w:t>Η τενοφοβίρη δισοπρόξιλη</w:t>
      </w:r>
      <w:r w:rsidR="00302B89" w:rsidRPr="00F54B01">
        <w:rPr>
          <w:rFonts w:cs="Times New Roman"/>
          <w:lang w:val="el-GR"/>
        </w:rPr>
        <w:t xml:space="preserve"> απορροφάται και μετατρέπεται στην ενεργή ουσία </w:t>
      </w:r>
      <w:r>
        <w:rPr>
          <w:rFonts w:cs="Times New Roman"/>
          <w:lang w:val="el-GR"/>
        </w:rPr>
        <w:t>τενοφοβίρη</w:t>
      </w:r>
      <w:r w:rsidR="00302B89" w:rsidRPr="00F54B01">
        <w:rPr>
          <w:rFonts w:cs="Times New Roman"/>
          <w:lang w:val="el-GR"/>
        </w:rPr>
        <w:t>, η οποία είναι</w:t>
      </w:r>
      <w:r w:rsidR="00302B89" w:rsidRPr="00F54B01">
        <w:rPr>
          <w:rFonts w:cs="Times New Roman"/>
          <w:spacing w:val="-3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ένα</w:t>
      </w:r>
      <w:r w:rsidR="001E7767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ανάλογο μονοφωσφορικού νουκλεοσιδίου (νουκλεοτίδιο). Στη συνέχεια, </w:t>
      </w:r>
      <w:r>
        <w:rPr>
          <w:rFonts w:cs="Times New Roman"/>
          <w:lang w:val="el-GR"/>
        </w:rPr>
        <w:t>η τενοφοβίρη</w:t>
      </w:r>
      <w:r w:rsidR="00302B89" w:rsidRPr="00F54B01">
        <w:rPr>
          <w:rFonts w:cs="Times New Roman"/>
          <w:spacing w:val="-2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μετατρέπεται στον ενεργό μεταβολίτη </w:t>
      </w:r>
      <w:r w:rsidR="009A5D71">
        <w:rPr>
          <w:rFonts w:cs="Times New Roman"/>
          <w:lang w:val="el-GR"/>
        </w:rPr>
        <w:t xml:space="preserve">διφωσφορική </w:t>
      </w:r>
      <w:r>
        <w:rPr>
          <w:rFonts w:cs="Times New Roman"/>
          <w:lang w:val="el-GR"/>
        </w:rPr>
        <w:t>τενοφοβίρη</w:t>
      </w:r>
      <w:r w:rsidR="00302B89" w:rsidRPr="00F54B01">
        <w:rPr>
          <w:rFonts w:cs="Times New Roman"/>
          <w:lang w:val="el-GR"/>
        </w:rPr>
        <w:t>, ένα υποχρεωτικό τερματιστή αλυσίδας, από</w:t>
      </w:r>
      <w:r w:rsidR="00302B89" w:rsidRPr="00F54B01">
        <w:rPr>
          <w:rFonts w:cs="Times New Roman"/>
          <w:spacing w:val="-27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κυτταρικά ένζυμα συνεχούς έκφρασης. </w:t>
      </w:r>
      <w:r>
        <w:rPr>
          <w:rFonts w:cs="Times New Roman"/>
          <w:lang w:val="el-GR"/>
        </w:rPr>
        <w:t>Η τενοφοβίρη διφωσφορική</w:t>
      </w:r>
      <w:r w:rsidR="00302B89" w:rsidRPr="00F54B01">
        <w:rPr>
          <w:rFonts w:cs="Times New Roman"/>
          <w:lang w:val="el-GR"/>
        </w:rPr>
        <w:t xml:space="preserve"> εμφανίζει ενδοκυτταρικό χρόνο</w:t>
      </w:r>
      <w:r w:rsidR="00302B89" w:rsidRPr="00F54B01">
        <w:rPr>
          <w:rFonts w:cs="Times New Roman"/>
          <w:spacing w:val="-29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ημιζωής</w:t>
      </w:r>
      <w:r w:rsidR="001E7767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10 ωρών σε ενεργοποιημένα μονοπύρηνα κύτταρα του περιφερικού αίματος (</w:t>
      </w:r>
      <w:r w:rsidR="00302B89" w:rsidRPr="00F54B01">
        <w:rPr>
          <w:rFonts w:cs="Times New Roman"/>
        </w:rPr>
        <w:t>PBMCs</w:t>
      </w:r>
      <w:r w:rsidR="00302B89" w:rsidRPr="00F54B01">
        <w:rPr>
          <w:rFonts w:cs="Times New Roman"/>
          <w:lang w:val="el-GR"/>
        </w:rPr>
        <w:t>) και 50 ωρών</w:t>
      </w:r>
      <w:r w:rsidR="00302B89" w:rsidRPr="00F54B01">
        <w:rPr>
          <w:rFonts w:cs="Times New Roman"/>
          <w:spacing w:val="-23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σε εν ηρεμία μονοπύρηνα κύτταρα. </w:t>
      </w:r>
      <w:r w:rsidR="00F84ABB">
        <w:rPr>
          <w:rFonts w:cs="Times New Roman"/>
          <w:lang w:val="el-GR"/>
        </w:rPr>
        <w:t>Η τενοφοβίρη διφωσφορική</w:t>
      </w:r>
      <w:r w:rsidR="00302B89" w:rsidRPr="00F54B01">
        <w:rPr>
          <w:rFonts w:cs="Times New Roman"/>
          <w:lang w:val="el-GR"/>
        </w:rPr>
        <w:t xml:space="preserve"> αναστέλλει την ανάστροφη</w:t>
      </w:r>
      <w:r w:rsidR="00302B89" w:rsidRPr="00F54B01">
        <w:rPr>
          <w:rFonts w:cs="Times New Roman"/>
          <w:spacing w:val="-19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μεταγραφάση </w:t>
      </w:r>
      <w:r w:rsidR="00302B89" w:rsidRPr="00F54B01">
        <w:rPr>
          <w:rFonts w:cs="Times New Roman"/>
        </w:rPr>
        <w:t>HIV</w:t>
      </w:r>
      <w:r w:rsidR="00302B89" w:rsidRPr="00F54B01">
        <w:rPr>
          <w:rFonts w:cs="Times New Roman"/>
          <w:lang w:val="el-GR"/>
        </w:rPr>
        <w:t xml:space="preserve">-1 και την πολυμεράση </w:t>
      </w:r>
      <w:r w:rsidR="00302B89" w:rsidRPr="00F54B01">
        <w:rPr>
          <w:rFonts w:cs="Times New Roman"/>
        </w:rPr>
        <w:t>HBV</w:t>
      </w:r>
      <w:r w:rsidR="00302B89" w:rsidRPr="00F54B01">
        <w:rPr>
          <w:rFonts w:cs="Times New Roman"/>
          <w:lang w:val="el-GR"/>
        </w:rPr>
        <w:t xml:space="preserve"> με άμεσο ανταγωνισμό δέσμευσης στο</w:t>
      </w:r>
      <w:r w:rsidR="00302B89" w:rsidRPr="00F54B01">
        <w:rPr>
          <w:rFonts w:cs="Times New Roman"/>
          <w:spacing w:val="-8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φυσικό δεσοξυριβονουκλεοτίδιο-υπόστρωμα, καθώς και με τερματισμό της αλυσίδας του </w:t>
      </w:r>
      <w:r w:rsidR="00302B89" w:rsidRPr="00F54B01">
        <w:rPr>
          <w:rFonts w:cs="Times New Roman"/>
        </w:rPr>
        <w:t>DNA</w:t>
      </w:r>
      <w:r w:rsidR="00302B89" w:rsidRPr="00F54B01">
        <w:rPr>
          <w:rFonts w:cs="Times New Roman"/>
          <w:lang w:val="el-GR"/>
        </w:rPr>
        <w:t xml:space="preserve"> μετά</w:t>
      </w:r>
      <w:r w:rsidR="00302B89" w:rsidRPr="00F54B01">
        <w:rPr>
          <w:rFonts w:cs="Times New Roman"/>
          <w:spacing w:val="-17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την ενσωμάτωση στο </w:t>
      </w:r>
      <w:r w:rsidR="00302B89" w:rsidRPr="00F54B01">
        <w:rPr>
          <w:rFonts w:cs="Times New Roman"/>
        </w:rPr>
        <w:t>DNA</w:t>
      </w:r>
      <w:r w:rsidR="00302B89" w:rsidRPr="00F54B01">
        <w:rPr>
          <w:rFonts w:cs="Times New Roman"/>
          <w:lang w:val="el-GR"/>
        </w:rPr>
        <w:t xml:space="preserve">. </w:t>
      </w:r>
      <w:r w:rsidR="00F84ABB">
        <w:rPr>
          <w:rFonts w:cs="Times New Roman"/>
          <w:lang w:val="el-GR"/>
        </w:rPr>
        <w:t>Η τενοφοβίρη διφωσφορική</w:t>
      </w:r>
      <w:r w:rsidR="00302B89" w:rsidRPr="00F54B01">
        <w:rPr>
          <w:rFonts w:cs="Times New Roman"/>
          <w:lang w:val="el-GR"/>
        </w:rPr>
        <w:t xml:space="preserve"> είναι ασθενής αναστολέας των</w:t>
      </w:r>
      <w:r w:rsidR="00302B89" w:rsidRPr="00F54B01">
        <w:rPr>
          <w:rFonts w:cs="Times New Roman"/>
          <w:spacing w:val="-21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κυτταρικών πολυμερασών α, β και γ. Σε συγκεντρώσεις μέχρι 300 μ</w:t>
      </w:r>
      <w:r w:rsidR="00302B89" w:rsidRPr="00F54B01">
        <w:rPr>
          <w:rFonts w:cs="Times New Roman"/>
        </w:rPr>
        <w:t>mol</w:t>
      </w:r>
      <w:r w:rsidR="00302B89" w:rsidRPr="00F54B01">
        <w:rPr>
          <w:rFonts w:cs="Times New Roman"/>
          <w:lang w:val="el-GR"/>
        </w:rPr>
        <w:t>/</w:t>
      </w:r>
      <w:r w:rsidR="00302B89" w:rsidRPr="00F54B01">
        <w:rPr>
          <w:rFonts w:cs="Times New Roman"/>
        </w:rPr>
        <w:t>l</w:t>
      </w:r>
      <w:r w:rsidR="00302B89" w:rsidRPr="00F54B01">
        <w:rPr>
          <w:rFonts w:cs="Times New Roman"/>
          <w:lang w:val="el-GR"/>
        </w:rPr>
        <w:t>, επίσης δεν έχει διαπιστωθεί</w:t>
      </w:r>
      <w:r w:rsidR="00302B89" w:rsidRPr="00F54B01">
        <w:rPr>
          <w:rFonts w:cs="Times New Roman"/>
          <w:spacing w:val="-27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επίδραση </w:t>
      </w:r>
      <w:r w:rsidR="00F84ABB">
        <w:rPr>
          <w:rFonts w:cs="Times New Roman"/>
          <w:lang w:val="el-GR"/>
        </w:rPr>
        <w:t>της τενοφοβίρης</w:t>
      </w:r>
      <w:r w:rsidR="00302B89" w:rsidRPr="00F54B01">
        <w:rPr>
          <w:rFonts w:cs="Times New Roman"/>
          <w:lang w:val="el-GR"/>
        </w:rPr>
        <w:t xml:space="preserve"> στη σύνθεση του μιτοχονδριακού </w:t>
      </w:r>
      <w:r w:rsidR="00302B89" w:rsidRPr="00F54B01">
        <w:rPr>
          <w:rFonts w:cs="Times New Roman"/>
        </w:rPr>
        <w:t>DNA</w:t>
      </w:r>
      <w:r w:rsidR="00302B89" w:rsidRPr="00F54B01">
        <w:rPr>
          <w:rFonts w:cs="Times New Roman"/>
          <w:lang w:val="el-GR"/>
        </w:rPr>
        <w:t xml:space="preserve"> ή στην παραγωγή γαλακτικού οξέος,</w:t>
      </w:r>
      <w:r w:rsidR="00302B89" w:rsidRPr="00F54B01">
        <w:rPr>
          <w:rFonts w:cs="Times New Roman"/>
          <w:spacing w:val="-2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σε δοκιμασίες </w:t>
      </w:r>
      <w:r w:rsidR="00302B89" w:rsidRPr="00F54B01">
        <w:rPr>
          <w:rFonts w:cs="Times New Roman"/>
          <w:i/>
        </w:rPr>
        <w:t>in</w:t>
      </w:r>
      <w:r w:rsidR="00302B89" w:rsidRPr="00F54B01">
        <w:rPr>
          <w:rFonts w:cs="Times New Roman"/>
          <w:i/>
          <w:spacing w:val="-3"/>
          <w:lang w:val="el-GR"/>
        </w:rPr>
        <w:t xml:space="preserve"> </w:t>
      </w:r>
      <w:r w:rsidR="00302B89" w:rsidRPr="00F54B01">
        <w:rPr>
          <w:rFonts w:cs="Times New Roman"/>
          <w:i/>
        </w:rPr>
        <w:t>vitro</w:t>
      </w:r>
      <w:r w:rsidR="00302B89"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Δεδομένα σχετικά με τον</w:t>
      </w:r>
      <w:r w:rsidRPr="00F54B01">
        <w:rPr>
          <w:rFonts w:ascii="Times New Roman" w:hAnsi="Times New Roman" w:cs="Times New Roman"/>
          <w:i/>
          <w:spacing w:val="1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spacing w:val="-2"/>
        </w:rPr>
        <w:t>HIV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</w:rPr>
        <w:t>HIV</w:t>
      </w:r>
      <w:r w:rsidRPr="00F54B01">
        <w:rPr>
          <w:rFonts w:cs="Times New Roman"/>
          <w:i/>
          <w:lang w:val="el-GR"/>
        </w:rPr>
        <w:t xml:space="preserve"> αντι-ιική δράση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vitro</w:t>
      </w:r>
      <w:r w:rsidRPr="00F54B01">
        <w:rPr>
          <w:rFonts w:cs="Times New Roman"/>
          <w:i/>
          <w:lang w:val="el-GR"/>
        </w:rPr>
        <w:t xml:space="preserve">: </w:t>
      </w:r>
      <w:r w:rsidRPr="00F54B01">
        <w:rPr>
          <w:rFonts w:cs="Times New Roman"/>
          <w:lang w:val="el-GR"/>
        </w:rPr>
        <w:t xml:space="preserve">Η συγκέντρωση </w:t>
      </w:r>
      <w:r w:rsidR="00F84ABB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που απαιτείται για 50% αναστολή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EC</w:t>
      </w:r>
      <w:r w:rsidRPr="00F54B01">
        <w:rPr>
          <w:rFonts w:cs="Times New Roman"/>
          <w:position w:val="-2"/>
          <w:sz w:val="14"/>
          <w:lang w:val="el-GR"/>
        </w:rPr>
        <w:t>50</w:t>
      </w:r>
      <w:r w:rsidRPr="00F54B01">
        <w:rPr>
          <w:rFonts w:cs="Times New Roman"/>
          <w:lang w:val="el-GR"/>
        </w:rPr>
        <w:t xml:space="preserve">) του αρχέγονου εργαστηριακού στελέχους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</w:t>
      </w:r>
      <w:r w:rsidRPr="00F54B01">
        <w:rPr>
          <w:rFonts w:cs="Times New Roman"/>
          <w:position w:val="-2"/>
          <w:sz w:val="14"/>
        </w:rPr>
        <w:t>IIIB</w:t>
      </w:r>
      <w:r w:rsidRPr="00F54B01">
        <w:rPr>
          <w:rFonts w:cs="Times New Roman"/>
          <w:position w:val="-2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είναι 1-6 μ</w:t>
      </w:r>
      <w:r w:rsidRPr="00F54B01">
        <w:rPr>
          <w:rFonts w:cs="Times New Roman"/>
        </w:rPr>
        <w:t>mol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l</w:t>
      </w:r>
      <w:r w:rsidRPr="00F54B01">
        <w:rPr>
          <w:rFonts w:cs="Times New Roman"/>
          <w:lang w:val="el-GR"/>
        </w:rPr>
        <w:t xml:space="preserve"> σε λεμφοειδείς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κυτταρικές γραμμές και 1</w:t>
      </w:r>
      <w:proofErr w:type="gramStart"/>
      <w:r w:rsidRPr="00F54B01">
        <w:rPr>
          <w:rFonts w:cs="Times New Roman"/>
          <w:lang w:val="el-GR"/>
        </w:rPr>
        <w:t>,1</w:t>
      </w:r>
      <w:proofErr w:type="gramEnd"/>
      <w:r w:rsidRPr="00F54B01">
        <w:rPr>
          <w:rFonts w:cs="Times New Roman"/>
          <w:lang w:val="el-GR"/>
        </w:rPr>
        <w:t xml:space="preserve"> μ</w:t>
      </w:r>
      <w:r w:rsidRPr="00F54B01">
        <w:rPr>
          <w:rFonts w:cs="Times New Roman"/>
        </w:rPr>
        <w:t>mol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l</w:t>
      </w:r>
      <w:r w:rsidRPr="00F54B01">
        <w:rPr>
          <w:rFonts w:cs="Times New Roman"/>
          <w:lang w:val="el-GR"/>
        </w:rPr>
        <w:t xml:space="preserve"> ενάντια σε πρωτογενείς α</w:t>
      </w:r>
      <w:r w:rsidR="008E2A52">
        <w:rPr>
          <w:rFonts w:cs="Times New Roman"/>
          <w:lang w:val="el-GR"/>
        </w:rPr>
        <w:t>πομ</w:t>
      </w:r>
      <w:r w:rsidRPr="00F54B01">
        <w:rPr>
          <w:rFonts w:cs="Times New Roman"/>
          <w:lang w:val="el-GR"/>
        </w:rPr>
        <w:t xml:space="preserve">ονωμένους ιούς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 του υποτύπου Β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σε </w:t>
      </w:r>
      <w:r w:rsidRPr="00F54B01">
        <w:rPr>
          <w:rFonts w:cs="Times New Roman"/>
        </w:rPr>
        <w:t>PBMCs</w:t>
      </w:r>
      <w:r w:rsidRPr="00F54B01">
        <w:rPr>
          <w:rFonts w:cs="Times New Roman"/>
          <w:lang w:val="el-GR"/>
        </w:rPr>
        <w:t xml:space="preserve">. Επίσης, </w:t>
      </w:r>
      <w:r w:rsidR="002D7B2D">
        <w:rPr>
          <w:rFonts w:cs="Times New Roman"/>
          <w:lang w:val="el-GR"/>
        </w:rPr>
        <w:t>η τενοφοβίρη</w:t>
      </w:r>
      <w:r w:rsidRPr="00F54B01">
        <w:rPr>
          <w:rFonts w:cs="Times New Roman"/>
          <w:lang w:val="el-GR"/>
        </w:rPr>
        <w:t xml:space="preserve"> είναι </w:t>
      </w:r>
      <w:r w:rsidR="002D7B2D" w:rsidRPr="00F54B01">
        <w:rPr>
          <w:rFonts w:cs="Times New Roman"/>
          <w:lang w:val="el-GR"/>
        </w:rPr>
        <w:t>ενεργ</w:t>
      </w:r>
      <w:r w:rsidR="002D7B2D">
        <w:rPr>
          <w:rFonts w:cs="Times New Roman"/>
          <w:lang w:val="el-GR"/>
        </w:rPr>
        <w:t>ή</w:t>
      </w:r>
      <w:r w:rsidR="002D7B2D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ενάντια στους υποτύπους Α, </w:t>
      </w:r>
      <w:r w:rsidRPr="00F54B01">
        <w:rPr>
          <w:rFonts w:cs="Times New Roman"/>
        </w:rPr>
        <w:t>C</w:t>
      </w:r>
      <w:r w:rsidRPr="00F54B01">
        <w:rPr>
          <w:rFonts w:cs="Times New Roman"/>
          <w:lang w:val="el-GR"/>
        </w:rPr>
        <w:t xml:space="preserve">, </w:t>
      </w:r>
      <w:r w:rsidRPr="00F54B01">
        <w:rPr>
          <w:rFonts w:cs="Times New Roman"/>
        </w:rPr>
        <w:t>D</w:t>
      </w:r>
      <w:r w:rsidRPr="00F54B01">
        <w:rPr>
          <w:rFonts w:cs="Times New Roman"/>
          <w:lang w:val="el-GR"/>
        </w:rPr>
        <w:t xml:space="preserve">, </w:t>
      </w:r>
      <w:r w:rsidRPr="00F54B01">
        <w:rPr>
          <w:rFonts w:cs="Times New Roman"/>
        </w:rPr>
        <w:t>E</w:t>
      </w:r>
      <w:r w:rsidRPr="00F54B01">
        <w:rPr>
          <w:rFonts w:cs="Times New Roman"/>
          <w:lang w:val="el-GR"/>
        </w:rPr>
        <w:t xml:space="preserve">, </w:t>
      </w:r>
      <w:r w:rsidRPr="00F54B01">
        <w:rPr>
          <w:rFonts w:cs="Times New Roman"/>
        </w:rPr>
        <w:t>F</w:t>
      </w:r>
      <w:r w:rsidRPr="00F54B01">
        <w:rPr>
          <w:rFonts w:cs="Times New Roman"/>
          <w:lang w:val="el-GR"/>
        </w:rPr>
        <w:t xml:space="preserve">, </w:t>
      </w:r>
      <w:r w:rsidRPr="00F54B01">
        <w:rPr>
          <w:rFonts w:cs="Times New Roman"/>
        </w:rPr>
        <w:t>G</w:t>
      </w:r>
      <w:r w:rsidRPr="00F54B01">
        <w:rPr>
          <w:rFonts w:cs="Times New Roman"/>
          <w:lang w:val="el-GR"/>
        </w:rPr>
        <w:t xml:space="preserve"> και Ο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ενάντια στον </w:t>
      </w:r>
      <w:r w:rsidRPr="00F54B01">
        <w:rPr>
          <w:rFonts w:cs="Times New Roman"/>
        </w:rPr>
        <w:t>HIV</w:t>
      </w:r>
      <w:r w:rsidRPr="00F54B01">
        <w:rPr>
          <w:rFonts w:cs="Times New Roman"/>
          <w:position w:val="-2"/>
          <w:sz w:val="14"/>
        </w:rPr>
        <w:t>BaL</w:t>
      </w:r>
      <w:r w:rsidRPr="00F54B01">
        <w:rPr>
          <w:rFonts w:cs="Times New Roman"/>
          <w:position w:val="-2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σε πρωτογενή μονοκύτταρα/μακροφάγα. </w:t>
      </w:r>
      <w:r w:rsidR="002D7B2D">
        <w:rPr>
          <w:rFonts w:cs="Times New Roman"/>
          <w:lang w:val="el-GR"/>
        </w:rPr>
        <w:t>Η τενοφοβίρη</w:t>
      </w:r>
      <w:r w:rsidRPr="00F54B01">
        <w:rPr>
          <w:rFonts w:cs="Times New Roman"/>
          <w:lang w:val="el-GR"/>
        </w:rPr>
        <w:t xml:space="preserve"> εμφανίζεται</w:t>
      </w:r>
      <w:r w:rsidRPr="00F54B01">
        <w:rPr>
          <w:rFonts w:cs="Times New Roman"/>
          <w:spacing w:val="-9"/>
          <w:lang w:val="el-GR"/>
        </w:rPr>
        <w:t xml:space="preserve"> </w:t>
      </w:r>
      <w:r w:rsidR="002D7B2D" w:rsidRPr="00F54B01">
        <w:rPr>
          <w:rFonts w:cs="Times New Roman"/>
          <w:lang w:val="el-GR"/>
        </w:rPr>
        <w:t>δραστικ</w:t>
      </w:r>
      <w:r w:rsidR="002D7B2D">
        <w:rPr>
          <w:rFonts w:cs="Times New Roman"/>
          <w:lang w:val="el-GR"/>
        </w:rPr>
        <w:t>ή</w:t>
      </w:r>
      <w:r w:rsidR="002D7B2D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vitro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ενάντια στον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-2, με </w:t>
      </w:r>
      <w:r w:rsidRPr="00F54B01">
        <w:rPr>
          <w:rFonts w:cs="Times New Roman"/>
        </w:rPr>
        <w:t>EC</w:t>
      </w:r>
      <w:r w:rsidRPr="00F54B01">
        <w:rPr>
          <w:rFonts w:cs="Times New Roman"/>
          <w:position w:val="-2"/>
          <w:sz w:val="14"/>
          <w:lang w:val="el-GR"/>
        </w:rPr>
        <w:t xml:space="preserve">50  </w:t>
      </w:r>
      <w:r w:rsidRPr="00F54B01">
        <w:rPr>
          <w:rFonts w:cs="Times New Roman"/>
          <w:lang w:val="el-GR"/>
        </w:rPr>
        <w:t>ίση με 4,9 μ</w:t>
      </w:r>
      <w:r w:rsidRPr="00F54B01">
        <w:rPr>
          <w:rFonts w:cs="Times New Roman"/>
        </w:rPr>
        <w:t>mol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l</w:t>
      </w:r>
      <w:r w:rsidRPr="00F54B01">
        <w:rPr>
          <w:rFonts w:cs="Times New Roman"/>
          <w:lang w:val="el-GR"/>
        </w:rPr>
        <w:t xml:space="preserve"> σε κύτταρα</w:t>
      </w:r>
      <w:r w:rsidRPr="00F54B01">
        <w:rPr>
          <w:rFonts w:cs="Times New Roman"/>
          <w:spacing w:val="-33"/>
          <w:lang w:val="el-GR"/>
        </w:rPr>
        <w:t xml:space="preserve"> </w:t>
      </w:r>
      <w:r w:rsidRPr="00F54B01">
        <w:rPr>
          <w:rFonts w:cs="Times New Roman"/>
          <w:lang w:val="el-GR"/>
        </w:rPr>
        <w:t>ΜΤ-4.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9D104A" w:rsidRPr="00F54B01" w:rsidRDefault="008E2BBE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050640" behindDoc="1" locked="0" layoutInCell="1" allowOverlap="1" wp14:anchorId="0E27A8CD" wp14:editId="228387A8">
                <wp:simplePos x="0" y="0"/>
                <wp:positionH relativeFrom="page">
                  <wp:posOffset>5130800</wp:posOffset>
                </wp:positionH>
                <wp:positionV relativeFrom="paragraph">
                  <wp:posOffset>308610</wp:posOffset>
                </wp:positionV>
                <wp:extent cx="35560" cy="1270"/>
                <wp:effectExtent l="6350" t="13335" r="5715" b="4445"/>
                <wp:wrapNone/>
                <wp:docPr id="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8080" y="486"/>
                          <a:chExt cx="56" cy="2"/>
                        </a:xfrm>
                      </wpg:grpSpPr>
                      <wps:wsp>
                        <wps:cNvPr id="5" name="Freeform 170"/>
                        <wps:cNvSpPr>
                          <a:spLocks/>
                        </wps:cNvSpPr>
                        <wps:spPr bwMode="auto">
                          <a:xfrm>
                            <a:off x="8080" y="486"/>
                            <a:ext cx="56" cy="2"/>
                          </a:xfrm>
                          <a:custGeom>
                            <a:avLst/>
                            <a:gdLst>
                              <a:gd name="T0" fmla="+- 0 8080 8080"/>
                              <a:gd name="T1" fmla="*/ T0 w 56"/>
                              <a:gd name="T2" fmla="+- 0 8135 8080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404pt;margin-top:24.3pt;width:2.8pt;height:.1pt;z-index:-265840;mso-position-horizontal-relative:page" coordorigin="8080,486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">
                <v:shape id="Freeform 170" o:spid="_x0000_s1027" style="position:absolute;left:8080;top:486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z78IA&#10;AADaAAAADwAAAGRycy9kb3ducmV2LnhtbESPT2uDQBTE74F8h+UFekvWCgmpdZUSUHps86fnh/uq&#10;ovvWuFu1375bKPQ4zMxvmDRfTC8mGl1rWcHjLgJBXFndcq3geim2RxDOI2vsLZOCb3KQZ+tViom2&#10;M7/TdPa1CBB2CSpovB8SKV3VkEG3swNx8D7taNAHOdZSjzgHuOllHEUHabDlsNDgQKeGqu78ZRR8&#10;vBVL2T65fSnj6X6I4ut0KzqlHjbLyzMIT4v/D/+1X7WCPfxeCT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7PvwgAAANoAAAAPAAAAAAAAAAAAAAAAAJgCAABkcnMvZG93&#10;bnJldi54bWxQSwUGAAAAAAQABAD1AAAAhwMAAAAA&#10;" path="m,l55,e" filled="f" strokeweight=".48pt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 w:rsidR="00302B89" w:rsidRPr="00F54B01">
        <w:rPr>
          <w:rFonts w:cs="Times New Roman"/>
          <w:i/>
          <w:lang w:val="el-GR"/>
        </w:rPr>
        <w:t xml:space="preserve">Αντοχή: </w:t>
      </w:r>
      <w:r w:rsidR="00302B89" w:rsidRPr="00F54B01">
        <w:rPr>
          <w:rFonts w:cs="Times New Roman"/>
          <w:lang w:val="el-GR"/>
        </w:rPr>
        <w:t xml:space="preserve">Έχουν επιλεγεί </w:t>
      </w:r>
      <w:r w:rsidR="00302B89" w:rsidRPr="00F54B01">
        <w:rPr>
          <w:rFonts w:cs="Times New Roman"/>
          <w:i/>
        </w:rPr>
        <w:t>in</w:t>
      </w:r>
      <w:r w:rsidR="00302B89" w:rsidRPr="00F54B01">
        <w:rPr>
          <w:rFonts w:cs="Times New Roman"/>
          <w:i/>
          <w:lang w:val="el-GR"/>
        </w:rPr>
        <w:t xml:space="preserve"> </w:t>
      </w:r>
      <w:r w:rsidR="00302B89" w:rsidRPr="00F54B01">
        <w:rPr>
          <w:rFonts w:cs="Times New Roman"/>
          <w:i/>
        </w:rPr>
        <w:t>vitro</w:t>
      </w:r>
      <w:r w:rsidR="00302B89" w:rsidRPr="00F54B01">
        <w:rPr>
          <w:rFonts w:cs="Times New Roman"/>
          <w:i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και σε ορισμένους ασθενείς στελέχη </w:t>
      </w:r>
      <w:r w:rsidR="00302B89" w:rsidRPr="00F54B01">
        <w:rPr>
          <w:rFonts w:cs="Times New Roman"/>
        </w:rPr>
        <w:t>HIV</w:t>
      </w:r>
      <w:r w:rsidR="00302B89" w:rsidRPr="00F54B01">
        <w:rPr>
          <w:rFonts w:cs="Times New Roman"/>
          <w:lang w:val="el-GR"/>
        </w:rPr>
        <w:t>-1 με μειωμένη</w:t>
      </w:r>
      <w:r w:rsidR="00302B89" w:rsidRPr="00F54B01">
        <w:rPr>
          <w:rFonts w:cs="Times New Roman"/>
          <w:spacing w:val="-29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ευαισθησία </w:t>
      </w:r>
      <w:r w:rsidR="002D7B2D">
        <w:rPr>
          <w:rFonts w:cs="Times New Roman"/>
          <w:lang w:val="el-GR"/>
        </w:rPr>
        <w:t>στην τενοφοβίρη</w:t>
      </w:r>
      <w:r w:rsidR="00302B89" w:rsidRPr="00F54B01">
        <w:rPr>
          <w:rFonts w:cs="Times New Roman"/>
          <w:lang w:val="el-GR"/>
        </w:rPr>
        <w:t xml:space="preserve"> και μια </w:t>
      </w:r>
      <w:r w:rsidR="00302B89" w:rsidRPr="00F54B01">
        <w:rPr>
          <w:rFonts w:cs="Times New Roman"/>
        </w:rPr>
        <w:t>K</w:t>
      </w:r>
      <w:r w:rsidR="00302B89" w:rsidRPr="00F54B01">
        <w:rPr>
          <w:rFonts w:cs="Times New Roman"/>
          <w:lang w:val="el-GR"/>
        </w:rPr>
        <w:t>65</w:t>
      </w:r>
      <w:r w:rsidR="00302B89" w:rsidRPr="00F54B01">
        <w:rPr>
          <w:rFonts w:cs="Times New Roman"/>
        </w:rPr>
        <w:t>R</w:t>
      </w:r>
      <w:r w:rsidR="00302B89" w:rsidRPr="00F54B01">
        <w:rPr>
          <w:rFonts w:cs="Times New Roman"/>
          <w:lang w:val="el-GR"/>
        </w:rPr>
        <w:t xml:space="preserve"> μετάλλαξη στην ανάστροφη </w:t>
      </w:r>
      <w:r w:rsidR="00302B89" w:rsidRPr="00BE0882">
        <w:rPr>
          <w:rFonts w:cs="Times New Roman"/>
          <w:lang w:val="el-GR"/>
        </w:rPr>
        <w:t>μεταγραφάση (</w:t>
      </w:r>
      <w:r w:rsidR="00302B89" w:rsidRPr="00F54B01">
        <w:rPr>
          <w:rFonts w:cs="Times New Roman"/>
          <w:lang w:val="el-GR"/>
        </w:rPr>
        <w:t>βλ.</w:t>
      </w:r>
      <w:r w:rsidR="00302B89" w:rsidRPr="00F54B01">
        <w:rPr>
          <w:rFonts w:cs="Times New Roman"/>
          <w:spacing w:val="-1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Κλινική αποτελεσματικότητα και ασφάλεια). </w:t>
      </w:r>
      <w:r w:rsidR="002D7B2D">
        <w:rPr>
          <w:rFonts w:cs="Times New Roman"/>
          <w:lang w:val="el-GR"/>
        </w:rPr>
        <w:t>Η τενοφοβίρη δισοπρόξιλη</w:t>
      </w:r>
      <w:r w:rsidR="00302B89" w:rsidRPr="00F54B01">
        <w:rPr>
          <w:rFonts w:cs="Times New Roman"/>
          <w:lang w:val="el-GR"/>
        </w:rPr>
        <w:t xml:space="preserve"> πρέπει να αποφεύγεται</w:t>
      </w:r>
      <w:r w:rsidR="00302B89" w:rsidRPr="00F54B01">
        <w:rPr>
          <w:rFonts w:cs="Times New Roman"/>
          <w:spacing w:val="-19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σε ασθενείς υπό προηγούμενη αντιρετροϊκή αγωγή με στελέχη που περιλαμβάνουν την </w:t>
      </w:r>
      <w:r w:rsidR="00302B89" w:rsidRPr="00F54B01">
        <w:rPr>
          <w:rFonts w:cs="Times New Roman"/>
        </w:rPr>
        <w:t>K</w:t>
      </w:r>
      <w:r w:rsidR="00302B89" w:rsidRPr="00F54B01">
        <w:rPr>
          <w:rFonts w:cs="Times New Roman"/>
          <w:lang w:val="el-GR"/>
        </w:rPr>
        <w:t>65</w:t>
      </w:r>
      <w:r w:rsidR="00302B89" w:rsidRPr="00F54B01">
        <w:rPr>
          <w:rFonts w:cs="Times New Roman"/>
        </w:rPr>
        <w:t>R</w:t>
      </w:r>
      <w:r w:rsidR="00302B89" w:rsidRPr="00F54B01">
        <w:rPr>
          <w:rFonts w:cs="Times New Roman"/>
          <w:spacing w:val="-3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μετάλλαξη (βλ. παράγραφο 4.4). Επιπλέον, μια </w:t>
      </w:r>
      <w:r w:rsidR="00302B89" w:rsidRPr="00F54B01">
        <w:rPr>
          <w:rFonts w:cs="Times New Roman"/>
        </w:rPr>
        <w:t>K</w:t>
      </w:r>
      <w:r w:rsidR="00302B89" w:rsidRPr="00F54B01">
        <w:rPr>
          <w:rFonts w:cs="Times New Roman"/>
          <w:lang w:val="el-GR"/>
        </w:rPr>
        <w:t>70</w:t>
      </w:r>
      <w:r w:rsidR="00302B89" w:rsidRPr="00F54B01">
        <w:rPr>
          <w:rFonts w:cs="Times New Roman"/>
        </w:rPr>
        <w:t>E</w:t>
      </w:r>
      <w:r w:rsidR="00302B89" w:rsidRPr="00F54B01">
        <w:rPr>
          <w:rFonts w:cs="Times New Roman"/>
          <w:lang w:val="el-GR"/>
        </w:rPr>
        <w:t xml:space="preserve"> υποκατάσταση στην ανάστροφη μεταγραφάση του</w:t>
      </w:r>
      <w:r w:rsidR="00302B89" w:rsidRPr="00F54B01">
        <w:rPr>
          <w:rFonts w:cs="Times New Roman"/>
          <w:spacing w:val="-16"/>
          <w:lang w:val="el-GR"/>
        </w:rPr>
        <w:t xml:space="preserve"> </w:t>
      </w:r>
      <w:r w:rsidR="00302B89" w:rsidRPr="00F54B01">
        <w:rPr>
          <w:rFonts w:cs="Times New Roman"/>
        </w:rPr>
        <w:t>HIV</w:t>
      </w:r>
      <w:r w:rsidR="00302B89" w:rsidRPr="00F54B01">
        <w:rPr>
          <w:rFonts w:cs="Times New Roman"/>
          <w:lang w:val="el-GR"/>
        </w:rPr>
        <w:t xml:space="preserve">-1 έχει επιλεγεί από </w:t>
      </w:r>
      <w:r w:rsidR="002D7B2D">
        <w:rPr>
          <w:rFonts w:cs="Times New Roman"/>
          <w:lang w:val="el-GR"/>
        </w:rPr>
        <w:t>την τενοφοβίρη</w:t>
      </w:r>
      <w:r w:rsidR="00302B89" w:rsidRPr="00F54B01">
        <w:rPr>
          <w:rFonts w:cs="Times New Roman"/>
          <w:lang w:val="el-GR"/>
        </w:rPr>
        <w:t xml:space="preserve"> και προκαλεί μειωμένη ευαισθησία χαμηλού επιπέδου </w:t>
      </w:r>
      <w:r w:rsidR="002D7B2D">
        <w:rPr>
          <w:rFonts w:cs="Times New Roman"/>
          <w:lang w:val="el-GR"/>
        </w:rPr>
        <w:t>στην τενοφοβίρη</w:t>
      </w:r>
      <w:r w:rsidR="00302B89"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Κλινικές μελέτες σε ασθενείς που είχαν ήδη δεχθεί θεραπεία αξιολόγησαν την αντι-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 δράση</w:t>
      </w:r>
      <w:r w:rsidRPr="00F54B01">
        <w:rPr>
          <w:rFonts w:cs="Times New Roman"/>
          <w:spacing w:val="-17"/>
          <w:lang w:val="el-GR"/>
        </w:rPr>
        <w:t xml:space="preserve"> </w:t>
      </w:r>
      <w:r w:rsidR="002D7B2D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έναντι στελεχών του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 με αντοχή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στους νουκλεοσιδικούς αναστολείς. Τα αποτελέσματα δείχνουν ότι ασθενείς με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που εκφράζει 3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ή περισσότερες μεταλλάξεις που συσχετίζονται με ανάλογα θυμιδίνης (</w:t>
      </w:r>
      <w:r w:rsidRPr="00F54B01">
        <w:rPr>
          <w:rFonts w:cs="Times New Roman"/>
        </w:rPr>
        <w:t>TAMs</w:t>
      </w:r>
      <w:r w:rsidRPr="00F54B01">
        <w:rPr>
          <w:rFonts w:cs="Times New Roman"/>
          <w:lang w:val="el-GR"/>
        </w:rPr>
        <w:t>) και περιλαμβάνουν,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είτε την </w:t>
      </w:r>
      <w:r w:rsidRPr="00F54B01">
        <w:rPr>
          <w:rFonts w:cs="Times New Roman"/>
        </w:rPr>
        <w:t>M</w:t>
      </w:r>
      <w:r w:rsidRPr="00F54B01">
        <w:rPr>
          <w:rFonts w:cs="Times New Roman"/>
          <w:lang w:val="el-GR"/>
        </w:rPr>
        <w:t>41</w:t>
      </w:r>
      <w:r w:rsidRPr="00F54B01">
        <w:rPr>
          <w:rFonts w:cs="Times New Roman"/>
        </w:rPr>
        <w:t>L</w:t>
      </w:r>
      <w:r w:rsidRPr="00F54B01">
        <w:rPr>
          <w:rFonts w:cs="Times New Roman"/>
          <w:lang w:val="el-GR"/>
        </w:rPr>
        <w:t xml:space="preserve"> είτε την </w:t>
      </w:r>
      <w:r w:rsidRPr="00F54B01">
        <w:rPr>
          <w:rFonts w:cs="Times New Roman"/>
        </w:rPr>
        <w:t>L</w:t>
      </w:r>
      <w:r w:rsidRPr="00F54B01">
        <w:rPr>
          <w:rFonts w:cs="Times New Roman"/>
          <w:lang w:val="el-GR"/>
        </w:rPr>
        <w:t>210</w:t>
      </w:r>
      <w:r w:rsidRPr="00F54B01">
        <w:rPr>
          <w:rFonts w:cs="Times New Roman"/>
        </w:rPr>
        <w:t>W</w:t>
      </w:r>
      <w:r w:rsidRPr="00F54B01">
        <w:rPr>
          <w:rFonts w:cs="Times New Roman"/>
          <w:lang w:val="el-GR"/>
        </w:rPr>
        <w:t xml:space="preserve"> μετάλλαξη της ανάστροφης μεταγραφάσης, επέδειξαν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μειωμένη ανταπόκριση στην αγωγή με </w:t>
      </w:r>
      <w:r w:rsidR="002D7B2D">
        <w:rPr>
          <w:rFonts w:cs="Times New Roman"/>
          <w:lang w:val="el-GR"/>
        </w:rPr>
        <w:t>τενοφοβίρη δισοπρόξιλη</w:t>
      </w:r>
      <w:r w:rsidR="002D7B2D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Κλινική αποτελεσματικότητα και</w:t>
      </w:r>
      <w:r w:rsidRPr="00F54B01">
        <w:rPr>
          <w:rFonts w:cs="Times New Roman"/>
          <w:spacing w:val="-6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ασφάλεια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αποτελεσματικότητα </w:t>
      </w:r>
      <w:r w:rsidR="002D7B2D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σε ενήλικες ασθενείς που έχουν ήδη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δεχθεί αγωγή και πρωτοθεραπευόμενους με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 λοίμωξη έχει αποδειχθεί σε μελέτες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>διάρκειας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48 εβδομάδων και 144 εβδομάδων,</w:t>
      </w:r>
      <w:r w:rsidRPr="00F54B01">
        <w:rPr>
          <w:rFonts w:cs="Times New Roman"/>
          <w:spacing w:val="-9"/>
          <w:lang w:val="el-GR"/>
        </w:rPr>
        <w:t xml:space="preserve"> </w:t>
      </w:r>
      <w:r w:rsidRPr="00F54B01">
        <w:rPr>
          <w:rFonts w:cs="Times New Roman"/>
          <w:lang w:val="el-GR"/>
        </w:rPr>
        <w:t>αντίστοιχα.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Στη 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 xml:space="preserve">-99-907 χορηγήθηκε εικονικό φάρμακο ή </w:t>
      </w:r>
      <w:r w:rsidR="002D7B2D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σε 550 ενήλικες ασθενείς που είχαν ήδη δεχθεί αγωγή για 24 εβδομάδες. Κατά την έναρξη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της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δοκιμής ο μέσος αριθμός κυττάρων </w:t>
      </w:r>
      <w:r w:rsidRPr="00F54B01">
        <w:rPr>
          <w:rFonts w:cs="Times New Roman"/>
        </w:rPr>
        <w:t>CD</w:t>
      </w:r>
      <w:r w:rsidRPr="00F54B01">
        <w:rPr>
          <w:rFonts w:cs="Times New Roman"/>
          <w:lang w:val="el-GR"/>
        </w:rPr>
        <w:t>4 ήταν 427 κύτταρα/</w:t>
      </w:r>
      <w:r w:rsidRPr="00F54B01">
        <w:rPr>
          <w:rFonts w:cs="Times New Roman"/>
        </w:rPr>
        <w:t>mm</w:t>
      </w:r>
      <w:r w:rsidRPr="00F54B01">
        <w:rPr>
          <w:rFonts w:cs="Times New Roman"/>
          <w:position w:val="10"/>
          <w:sz w:val="14"/>
          <w:lang w:val="el-GR"/>
        </w:rPr>
        <w:t>3</w:t>
      </w:r>
      <w:r w:rsidRPr="00F54B01">
        <w:rPr>
          <w:rFonts w:cs="Times New Roman"/>
          <w:lang w:val="el-GR"/>
        </w:rPr>
        <w:t xml:space="preserve">, η μέση τιμή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 </w:t>
      </w:r>
      <w:r w:rsidRPr="00F54B01">
        <w:rPr>
          <w:rFonts w:cs="Times New Roman"/>
        </w:rPr>
        <w:t>RNA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στο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πλάσμα ήταν 3,4 </w:t>
      </w:r>
      <w:r w:rsidRPr="00F54B01">
        <w:rPr>
          <w:rFonts w:cs="Times New Roman"/>
        </w:rPr>
        <w:t>log</w:t>
      </w:r>
      <w:r w:rsidRPr="00F54B01">
        <w:rPr>
          <w:rFonts w:cs="Times New Roman"/>
          <w:position w:val="-2"/>
          <w:sz w:val="14"/>
          <w:lang w:val="el-GR"/>
        </w:rPr>
        <w:t xml:space="preserve">10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(το 78% των ασθενών είχε ιικό φορτίο &lt;5.000</w:t>
      </w:r>
      <w:r w:rsidRPr="00F54B01">
        <w:rPr>
          <w:rFonts w:cs="Times New Roman"/>
          <w:spacing w:val="-37"/>
          <w:lang w:val="el-GR"/>
        </w:rPr>
        <w:t xml:space="preserve">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) και η μέση διάρκεια της προηγούμενης θεραπείας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ήταν 5,4 χρόνια. Η γονοτυπική ανάλυση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>των α</w:t>
      </w:r>
      <w:r w:rsidR="008E2A52">
        <w:rPr>
          <w:rFonts w:cs="Times New Roman"/>
          <w:lang w:val="el-GR"/>
        </w:rPr>
        <w:t>πομ</w:t>
      </w:r>
      <w:r w:rsidRPr="00F54B01">
        <w:rPr>
          <w:rFonts w:cs="Times New Roman"/>
          <w:lang w:val="el-GR"/>
        </w:rPr>
        <w:t xml:space="preserve">ονωμένων ιών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κατά την έναρξη από 253 ασθενείς έδειξε ότι το 94% των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ασθενών παρουσίασε ανθεκτικές μεταλλάξεις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 που σχετίζονταν με νουκλεοσιδικούς αναστολείς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>της ανάστροφης μεταγραφάσης, το 58% παρουσίασε μεταλλάξεις που σχετίζονταν με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πρωτεασικούς αναστολείς και το 48% παρουσίασε μεταλλάξεις που </w:t>
      </w:r>
      <w:r w:rsidRPr="00F54B01">
        <w:rPr>
          <w:rFonts w:cs="Times New Roman"/>
          <w:lang w:val="el-GR"/>
        </w:rPr>
        <w:lastRenderedPageBreak/>
        <w:t>σχετίζονταν με μη νουκλεοσιδικούς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αναστολείς της ανάστροφης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μεταγραφάσης.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Κατά την 24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εβδομάδα, η μέση, χρονικά σταθμισμένη μεταβολή από την τιμή κατά την έναρξη</w:t>
      </w:r>
      <w:r w:rsidRPr="00F54B01">
        <w:rPr>
          <w:rFonts w:cs="Times New Roman"/>
          <w:spacing w:val="-3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όσον αφορά </w:t>
      </w:r>
      <w:r w:rsidR="009A5D71">
        <w:rPr>
          <w:rFonts w:cs="Times New Roman"/>
          <w:lang w:val="el-GR"/>
        </w:rPr>
        <w:t>σ</w:t>
      </w:r>
      <w:r w:rsidRPr="00F54B01">
        <w:rPr>
          <w:rFonts w:cs="Times New Roman"/>
          <w:lang w:val="el-GR"/>
        </w:rPr>
        <w:t xml:space="preserve">τα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 </w:t>
      </w:r>
      <w:r w:rsidRPr="00F54B01">
        <w:rPr>
          <w:rFonts w:cs="Times New Roman"/>
        </w:rPr>
        <w:t>RNA</w:t>
      </w:r>
      <w:r w:rsidRPr="00F54B01">
        <w:rPr>
          <w:rFonts w:cs="Times New Roman"/>
          <w:lang w:val="el-GR"/>
        </w:rPr>
        <w:t xml:space="preserve"> επίπεδα στο πλάσμα (</w:t>
      </w:r>
      <w:r w:rsidRPr="00F54B01">
        <w:rPr>
          <w:rFonts w:cs="Times New Roman"/>
        </w:rPr>
        <w:t>DAVG</w:t>
      </w:r>
      <w:r w:rsidRPr="00F54B01">
        <w:rPr>
          <w:rFonts w:cs="Times New Roman"/>
          <w:position w:val="-2"/>
          <w:sz w:val="14"/>
          <w:lang w:val="el-GR"/>
        </w:rPr>
        <w:t>24</w:t>
      </w:r>
      <w:r w:rsidRPr="00F54B01">
        <w:rPr>
          <w:rFonts w:cs="Times New Roman"/>
          <w:lang w:val="el-GR"/>
        </w:rPr>
        <w:t xml:space="preserve">) ήταν -0,03 </w:t>
      </w:r>
      <w:r w:rsidRPr="00F54B01">
        <w:rPr>
          <w:rFonts w:cs="Times New Roman"/>
        </w:rPr>
        <w:t>log</w:t>
      </w:r>
      <w:r w:rsidRPr="00F54B01">
        <w:rPr>
          <w:rFonts w:cs="Times New Roman"/>
          <w:position w:val="-2"/>
          <w:sz w:val="14"/>
          <w:lang w:val="el-GR"/>
        </w:rPr>
        <w:t xml:space="preserve">10 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spacing w:val="-34"/>
          <w:lang w:val="el-GR"/>
        </w:rPr>
        <w:t xml:space="preserve"> </w:t>
      </w:r>
      <w:r w:rsidRPr="00F54B01">
        <w:rPr>
          <w:rFonts w:cs="Times New Roman"/>
          <w:lang w:val="el-GR"/>
        </w:rPr>
        <w:t>και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-0,61 </w:t>
      </w:r>
      <w:r w:rsidRPr="00F54B01">
        <w:rPr>
          <w:rFonts w:cs="Times New Roman"/>
        </w:rPr>
        <w:t>log</w:t>
      </w:r>
      <w:r w:rsidRPr="00F54B01">
        <w:rPr>
          <w:rFonts w:cs="Times New Roman"/>
          <w:position w:val="-2"/>
          <w:sz w:val="14"/>
          <w:lang w:val="el-GR"/>
        </w:rPr>
        <w:t xml:space="preserve">10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για τις ομάδες του εικονικού φαρμάκου και </w:t>
      </w:r>
      <w:r w:rsidR="002D7B2D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245</w:t>
      </w:r>
      <w:r w:rsidRPr="00F54B01">
        <w:rPr>
          <w:rFonts w:cs="Times New Roman"/>
          <w:spacing w:val="-32"/>
          <w:lang w:val="el-GR"/>
        </w:rPr>
        <w:t xml:space="preserve">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(</w:t>
      </w:r>
      <w:r w:rsidRPr="00F54B01">
        <w:rPr>
          <w:rFonts w:cs="Times New Roman"/>
        </w:rPr>
        <w:t>p</w:t>
      </w:r>
      <w:r w:rsidRPr="00F54B01">
        <w:rPr>
          <w:rFonts w:cs="Times New Roman"/>
          <w:lang w:val="el-GR"/>
        </w:rPr>
        <w:t xml:space="preserve"> &lt;0,0001). Κατά την 24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εβδομάδα, παρατηρήθηκε μια σημαντική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στατιστική διαφορά, υπέρ της αγωγής με </w:t>
      </w:r>
      <w:r w:rsidR="002D7B2D">
        <w:rPr>
          <w:rFonts w:cs="Times New Roman"/>
          <w:lang w:val="el-GR"/>
        </w:rPr>
        <w:t>την τενοφοβίρη δισοπρόξιλη</w:t>
      </w:r>
      <w:r w:rsidR="002D7B2D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, στη μέση,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χρονικά σταθμισμένη μεταβολή (</w:t>
      </w:r>
      <w:r w:rsidRPr="00F54B01">
        <w:rPr>
          <w:rFonts w:cs="Times New Roman"/>
        </w:rPr>
        <w:t>DAVG</w:t>
      </w:r>
      <w:r w:rsidRPr="00F54B01">
        <w:rPr>
          <w:rFonts w:cs="Times New Roman"/>
          <w:position w:val="-2"/>
          <w:sz w:val="14"/>
          <w:lang w:val="el-GR"/>
        </w:rPr>
        <w:t>24</w:t>
      </w:r>
      <w:r w:rsidRPr="00F54B01">
        <w:rPr>
          <w:rFonts w:cs="Times New Roman"/>
          <w:lang w:val="el-GR"/>
        </w:rPr>
        <w:t xml:space="preserve">) του αριθμού κυττάρων </w:t>
      </w:r>
      <w:r w:rsidRPr="00F54B01">
        <w:rPr>
          <w:rFonts w:cs="Times New Roman"/>
        </w:rPr>
        <w:t>CD</w:t>
      </w:r>
      <w:r w:rsidRPr="00F54B01">
        <w:rPr>
          <w:rFonts w:cs="Times New Roman"/>
          <w:lang w:val="el-GR"/>
        </w:rPr>
        <w:t>4 από την έναρξη (+13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κύτταρα/</w:t>
      </w:r>
      <w:r w:rsidRPr="00F54B01">
        <w:rPr>
          <w:rFonts w:cs="Times New Roman"/>
        </w:rPr>
        <w:t>mm</w:t>
      </w:r>
      <w:r w:rsidRPr="00F54B01">
        <w:rPr>
          <w:rFonts w:cs="Times New Roman"/>
          <w:position w:val="10"/>
          <w:sz w:val="14"/>
          <w:lang w:val="el-GR"/>
        </w:rPr>
        <w:t>3</w:t>
      </w:r>
      <w:r w:rsidR="002D7B2D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για την ομάδα </w:t>
      </w:r>
      <w:r w:rsidR="002D7B2D">
        <w:rPr>
          <w:rFonts w:cs="Times New Roman"/>
          <w:lang w:val="el-GR"/>
        </w:rPr>
        <w:t>της τενοφοβίρης δισοπρόξιλης</w:t>
      </w:r>
      <w:r w:rsidR="002D7B2D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έναντι -11 κυττάρων/</w:t>
      </w:r>
      <w:r w:rsidRPr="00F54B01">
        <w:rPr>
          <w:rFonts w:cs="Times New Roman"/>
        </w:rPr>
        <w:t>mm</w:t>
      </w:r>
      <w:r w:rsidRPr="00F54B01">
        <w:rPr>
          <w:rFonts w:cs="Times New Roman"/>
          <w:position w:val="10"/>
          <w:sz w:val="14"/>
          <w:lang w:val="el-GR"/>
        </w:rPr>
        <w:t xml:space="preserve">3 </w:t>
      </w:r>
      <w:r w:rsidRPr="00F54B01">
        <w:rPr>
          <w:rFonts w:cs="Times New Roman"/>
          <w:lang w:val="el-GR"/>
        </w:rPr>
        <w:t>για την</w:t>
      </w:r>
      <w:r w:rsidRPr="00F54B01">
        <w:rPr>
          <w:rFonts w:cs="Times New Roman"/>
          <w:spacing w:val="-3"/>
          <w:lang w:val="el-GR"/>
        </w:rPr>
        <w:t xml:space="preserve"> </w:t>
      </w:r>
      <w:r w:rsidRPr="00F54B01">
        <w:rPr>
          <w:rFonts w:cs="Times New Roman"/>
          <w:lang w:val="el-GR"/>
        </w:rPr>
        <w:t>ομάδα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εικονικού φαρμάκου, τιμή </w:t>
      </w:r>
      <w:r w:rsidRPr="00F54B01">
        <w:rPr>
          <w:rFonts w:cs="Times New Roman"/>
        </w:rPr>
        <w:t>p</w:t>
      </w:r>
      <w:r w:rsidRPr="00F54B01">
        <w:rPr>
          <w:rFonts w:cs="Times New Roman"/>
          <w:lang w:val="el-GR"/>
        </w:rPr>
        <w:t xml:space="preserve"> = 0,0008). Η αντι-ιϊκή ανταπόκριση </w:t>
      </w:r>
      <w:r w:rsidR="002D7B2D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ήταν παραμένουσα και για τις 48 εβδομάδες (</w:t>
      </w:r>
      <w:r w:rsidRPr="00F54B01">
        <w:rPr>
          <w:rFonts w:cs="Times New Roman"/>
        </w:rPr>
        <w:t>DAVG</w:t>
      </w:r>
      <w:r w:rsidRPr="00F54B01">
        <w:rPr>
          <w:rFonts w:cs="Times New Roman"/>
          <w:position w:val="-2"/>
          <w:sz w:val="14"/>
          <w:lang w:val="el-GR"/>
        </w:rPr>
        <w:t xml:space="preserve">48 </w:t>
      </w:r>
      <w:r w:rsidR="009A5D71">
        <w:rPr>
          <w:rFonts w:cs="Times New Roman"/>
          <w:lang w:val="el-GR"/>
        </w:rPr>
        <w:t>=</w:t>
      </w:r>
      <w:r w:rsidRPr="00F54B01">
        <w:rPr>
          <w:rFonts w:cs="Times New Roman"/>
          <w:lang w:val="el-GR"/>
        </w:rPr>
        <w:t xml:space="preserve"> -0,57 </w:t>
      </w:r>
      <w:r w:rsidRPr="00F54B01">
        <w:rPr>
          <w:rFonts w:cs="Times New Roman"/>
        </w:rPr>
        <w:t>log</w:t>
      </w:r>
      <w:r w:rsidRPr="00F54B01">
        <w:rPr>
          <w:rFonts w:cs="Times New Roman"/>
          <w:position w:val="-2"/>
          <w:sz w:val="14"/>
          <w:lang w:val="el-GR"/>
        </w:rPr>
        <w:t xml:space="preserve">10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, το ποσοστό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των ασθενών με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 </w:t>
      </w:r>
      <w:r w:rsidRPr="00F54B01">
        <w:rPr>
          <w:rFonts w:cs="Times New Roman"/>
        </w:rPr>
        <w:t>RNA</w:t>
      </w:r>
      <w:r w:rsidRPr="00F54B01">
        <w:rPr>
          <w:rFonts w:cs="Times New Roman"/>
          <w:lang w:val="el-GR"/>
        </w:rPr>
        <w:t xml:space="preserve"> κάτω από 400 ή 50 αντίγραφα ήταν 41% και 18% αντίστοιχα)</w:t>
      </w:r>
      <w:r w:rsidR="009A5D71">
        <w:rPr>
          <w:rFonts w:cs="Times New Roman"/>
          <w:lang w:val="el-GR"/>
        </w:rPr>
        <w:t>.</w:t>
      </w:r>
      <w:r w:rsidRPr="00F54B01">
        <w:rPr>
          <w:rFonts w:cs="Times New Roman"/>
          <w:lang w:val="el-GR"/>
        </w:rPr>
        <w:t xml:space="preserve"> Οκτώ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(2%) ασθενείς υπό </w:t>
      </w:r>
      <w:r w:rsidR="002D7B2D">
        <w:rPr>
          <w:rFonts w:cs="Times New Roman"/>
          <w:lang w:val="el-GR"/>
        </w:rPr>
        <w:t>τενοφοβίρη δισοπρόξιλη</w:t>
      </w:r>
      <w:r w:rsidR="002D7B2D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ανέπτυξαν την </w:t>
      </w:r>
      <w:r w:rsidRPr="00F54B01">
        <w:rPr>
          <w:rFonts w:cs="Times New Roman"/>
        </w:rPr>
        <w:t>K</w:t>
      </w:r>
      <w:r w:rsidRPr="00F54B01">
        <w:rPr>
          <w:rFonts w:cs="Times New Roman"/>
          <w:lang w:val="el-GR"/>
        </w:rPr>
        <w:t>65</w:t>
      </w:r>
      <w:r w:rsidRPr="00F54B01">
        <w:rPr>
          <w:rFonts w:cs="Times New Roman"/>
        </w:rPr>
        <w:t>R</w:t>
      </w:r>
      <w:r w:rsidRPr="00F54B01">
        <w:rPr>
          <w:rFonts w:cs="Times New Roman"/>
          <w:lang w:val="el-GR"/>
        </w:rPr>
        <w:t xml:space="preserve"> μετάλλαξη εντός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των πρώτων 48</w:t>
      </w:r>
      <w:r w:rsidRPr="00F54B01">
        <w:rPr>
          <w:rFonts w:cs="Times New Roman"/>
          <w:spacing w:val="-4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εβδομάδων.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Η διάρκειας 144-εβδομάδων διπλή τυφλή, ενεργά ελεγχόμενη φάση της μελέτης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 xml:space="preserve">-99-903, αξιολόγησε την αποτελεσματικότητα και την ασφάλεια </w:t>
      </w:r>
      <w:r w:rsidR="002D7B2D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έναντι </w:t>
      </w:r>
      <w:r w:rsidR="00BE0882">
        <w:rPr>
          <w:rFonts w:cs="Times New Roman"/>
          <w:lang w:val="el-GR"/>
        </w:rPr>
        <w:t xml:space="preserve">της </w:t>
      </w:r>
      <w:r w:rsidR="00203833" w:rsidRPr="00203833">
        <w:rPr>
          <w:rFonts w:cs="Times New Roman"/>
          <w:lang w:val="el-GR"/>
        </w:rPr>
        <w:t>σταβουδίνη</w:t>
      </w:r>
      <w:r w:rsidR="00BE0882">
        <w:rPr>
          <w:rFonts w:cs="Times New Roman"/>
          <w:lang w:val="el-GR"/>
        </w:rPr>
        <w:t>ς</w:t>
      </w:r>
      <w:r w:rsidR="002D7B2D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όταν χρησιμοποιείται σε συνδυασμό με </w:t>
      </w:r>
      <w:r w:rsidR="00643ECB" w:rsidRPr="00FB72E2">
        <w:rPr>
          <w:rFonts w:cs="Times New Roman"/>
          <w:lang w:val="el-GR"/>
        </w:rPr>
        <w:t>λαμιβουδίνη</w:t>
      </w:r>
      <w:r w:rsidR="002D7B2D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</w:t>
      </w:r>
      <w:r w:rsidR="00203833" w:rsidRPr="00203833">
        <w:rPr>
          <w:rFonts w:cs="Times New Roman"/>
          <w:lang w:val="el-GR"/>
        </w:rPr>
        <w:t>εφαβιρένζη</w:t>
      </w:r>
      <w:r w:rsidR="002D7B2D"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σε πρωτοθεραπευόμενους με αντιρετροϊκή θεραπεία ενήλικες ασθενείς με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 λοίμωξη. Κατά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την έναρξη η μέση τιμή των </w:t>
      </w:r>
      <w:r w:rsidRPr="00F54B01">
        <w:rPr>
          <w:rFonts w:cs="Times New Roman"/>
          <w:spacing w:val="-2"/>
        </w:rPr>
        <w:t>CD</w:t>
      </w:r>
      <w:r w:rsidRPr="00F54B01">
        <w:rPr>
          <w:rFonts w:cs="Times New Roman"/>
          <w:spacing w:val="-2"/>
          <w:lang w:val="el-GR"/>
        </w:rPr>
        <w:t xml:space="preserve">4 </w:t>
      </w:r>
      <w:r w:rsidRPr="00F54B01">
        <w:rPr>
          <w:rFonts w:cs="Times New Roman"/>
          <w:lang w:val="el-GR"/>
        </w:rPr>
        <w:t>κυττάρων ήταν 279 κύτταρα/</w:t>
      </w:r>
      <w:r w:rsidRPr="00F54B01">
        <w:rPr>
          <w:rFonts w:cs="Times New Roman"/>
        </w:rPr>
        <w:t>mm</w:t>
      </w:r>
      <w:r w:rsidRPr="00F54B01">
        <w:rPr>
          <w:rFonts w:cs="Times New Roman"/>
          <w:position w:val="10"/>
          <w:sz w:val="14"/>
          <w:lang w:val="el-GR"/>
        </w:rPr>
        <w:t>3</w:t>
      </w:r>
      <w:r w:rsidRPr="00F54B01">
        <w:rPr>
          <w:rFonts w:cs="Times New Roman"/>
          <w:lang w:val="el-GR"/>
        </w:rPr>
        <w:t>, το μέσο ιϊκό φορτίο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>ήταν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4,91 </w:t>
      </w:r>
      <w:r w:rsidRPr="00F54B01">
        <w:rPr>
          <w:rFonts w:cs="Times New Roman"/>
        </w:rPr>
        <w:t>log</w:t>
      </w:r>
      <w:r w:rsidRPr="00F54B01">
        <w:rPr>
          <w:rFonts w:cs="Times New Roman"/>
          <w:position w:val="-2"/>
          <w:sz w:val="14"/>
          <w:lang w:val="el-GR"/>
        </w:rPr>
        <w:t xml:space="preserve">10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, το 19% των ασθενών είχ</w:t>
      </w:r>
      <w:r w:rsidR="009A5D71">
        <w:rPr>
          <w:rFonts w:cs="Times New Roman"/>
          <w:lang w:val="el-GR"/>
        </w:rPr>
        <w:t xml:space="preserve">ε </w:t>
      </w:r>
      <w:r w:rsidRPr="00F54B01">
        <w:rPr>
          <w:rFonts w:cs="Times New Roman"/>
          <w:lang w:val="el-GR"/>
        </w:rPr>
        <w:t xml:space="preserve">συμπτωματική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 λοίμωξη και το 18%</w:t>
      </w:r>
      <w:r w:rsidRPr="00F54B01">
        <w:rPr>
          <w:rFonts w:cs="Times New Roman"/>
          <w:spacing w:val="-4"/>
          <w:lang w:val="el-GR"/>
        </w:rPr>
        <w:t xml:space="preserve"> </w:t>
      </w:r>
      <w:r w:rsidRPr="00F54B01">
        <w:rPr>
          <w:rFonts w:cs="Times New Roman"/>
          <w:lang w:val="el-GR"/>
        </w:rPr>
        <w:t>είχ</w:t>
      </w:r>
      <w:r w:rsidR="009A5D71">
        <w:rPr>
          <w:rFonts w:cs="Times New Roman"/>
          <w:lang w:val="el-GR"/>
        </w:rPr>
        <w:t>ε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AIDS</w:t>
      </w:r>
      <w:r w:rsidRPr="00F54B01">
        <w:rPr>
          <w:rFonts w:cs="Times New Roman"/>
          <w:lang w:val="el-GR"/>
        </w:rPr>
        <w:t xml:space="preserve">. Οι ασθενείς κατηγοριοποιήθηκαν βάσει των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 </w:t>
      </w:r>
      <w:r w:rsidRPr="00F54B01">
        <w:rPr>
          <w:rFonts w:cs="Times New Roman"/>
        </w:rPr>
        <w:t>RNA</w:t>
      </w:r>
      <w:r w:rsidRPr="00F54B01">
        <w:rPr>
          <w:rFonts w:cs="Times New Roman"/>
          <w:lang w:val="el-GR"/>
        </w:rPr>
        <w:t xml:space="preserve"> και του αριθμού των </w:t>
      </w:r>
      <w:r w:rsidRPr="00F54B01">
        <w:rPr>
          <w:rFonts w:cs="Times New Roman"/>
        </w:rPr>
        <w:t>CD</w:t>
      </w:r>
      <w:r w:rsidRPr="00F54B01">
        <w:rPr>
          <w:rFonts w:cs="Times New Roman"/>
          <w:lang w:val="el-GR"/>
        </w:rPr>
        <w:t>4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κυττάρων κατά την έναρξη. Κατά την έναρξη, το 43% των ασθενών είχ</w:t>
      </w:r>
      <w:r w:rsidR="009A5D71">
        <w:rPr>
          <w:rFonts w:cs="Times New Roman"/>
          <w:lang w:val="el-GR"/>
        </w:rPr>
        <w:t>ε</w:t>
      </w:r>
      <w:r w:rsidRPr="00F54B01">
        <w:rPr>
          <w:rFonts w:cs="Times New Roman"/>
          <w:lang w:val="el-GR"/>
        </w:rPr>
        <w:t xml:space="preserve"> ιϊκό φορτίο &gt;100.000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και το 39% είχαν αριθμό </w:t>
      </w:r>
      <w:r w:rsidRPr="00F54B01">
        <w:rPr>
          <w:rFonts w:cs="Times New Roman"/>
          <w:spacing w:val="-2"/>
        </w:rPr>
        <w:t>CD</w:t>
      </w:r>
      <w:r w:rsidRPr="00F54B01">
        <w:rPr>
          <w:rFonts w:cs="Times New Roman"/>
          <w:spacing w:val="-2"/>
          <w:lang w:val="el-GR"/>
        </w:rPr>
        <w:t xml:space="preserve">4 </w:t>
      </w:r>
      <w:r w:rsidRPr="00F54B01">
        <w:rPr>
          <w:rFonts w:cs="Times New Roman"/>
          <w:lang w:val="el-GR"/>
        </w:rPr>
        <w:t>κυττάρων &lt; 200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κύτταρα/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Με ανάλυση πρόθεσης θεραπείας, (ελλιπή δεδομένα και μετάταξη σε αντιρετροϊκή θεραπεία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ART</w:t>
      </w:r>
      <w:r w:rsidRPr="00F54B01">
        <w:rPr>
          <w:rFonts w:cs="Times New Roman"/>
          <w:lang w:val="el-GR"/>
        </w:rPr>
        <w:t xml:space="preserve">) θεωρήθηκαν ως αποτυχία), το ποσοστό ασθενών με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 </w:t>
      </w:r>
      <w:r w:rsidRPr="00F54B01">
        <w:rPr>
          <w:rFonts w:cs="Times New Roman"/>
        </w:rPr>
        <w:t>RNA</w:t>
      </w:r>
      <w:r w:rsidRPr="00F54B01">
        <w:rPr>
          <w:rFonts w:cs="Times New Roman"/>
          <w:lang w:val="el-GR"/>
        </w:rPr>
        <w:t xml:space="preserve"> κάτω από 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spacing w:val="5"/>
          <w:lang w:val="el-GR"/>
        </w:rPr>
        <w:t xml:space="preserve"> </w:t>
      </w:r>
      <w:r w:rsidRPr="00F54B01">
        <w:rPr>
          <w:rFonts w:cs="Times New Roman"/>
          <w:lang w:val="el-GR"/>
        </w:rPr>
        <w:t>και 50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μετά 48 εβδομάδες θεραπείας ήταν 80% και 76% αντίστοιχα στο σκέλος</w:t>
      </w:r>
      <w:r w:rsidRPr="00F54B01">
        <w:rPr>
          <w:rFonts w:cs="Times New Roman"/>
          <w:spacing w:val="-11"/>
          <w:lang w:val="el-GR"/>
        </w:rPr>
        <w:t xml:space="preserve"> </w:t>
      </w:r>
      <w:r w:rsidR="00080959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σε σύγκριση με 84% και 80% του σκέλους</w:t>
      </w:r>
      <w:r w:rsidRPr="00F54B01">
        <w:rPr>
          <w:rFonts w:cs="Times New Roman"/>
          <w:spacing w:val="-16"/>
          <w:lang w:val="el-GR"/>
        </w:rPr>
        <w:t xml:space="preserve"> </w:t>
      </w:r>
      <w:r w:rsidR="00080959">
        <w:rPr>
          <w:rFonts w:cs="Times New Roman"/>
          <w:lang w:val="el-GR"/>
        </w:rPr>
        <w:t>τ</w:t>
      </w:r>
      <w:r w:rsidR="00BE0882">
        <w:rPr>
          <w:rFonts w:cs="Times New Roman"/>
          <w:lang w:val="el-GR"/>
        </w:rPr>
        <w:t>ης</w:t>
      </w:r>
      <w:r w:rsidR="00080959">
        <w:rPr>
          <w:rFonts w:cs="Times New Roman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σταβουδίνη</w:t>
      </w:r>
      <w:r w:rsidR="00BE0882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>. Κατά την 144</w:t>
      </w:r>
      <w:r w:rsidRPr="00F54B01">
        <w:rPr>
          <w:rFonts w:cs="Times New Roman"/>
          <w:position w:val="10"/>
          <w:sz w:val="14"/>
          <w:lang w:val="el-GR"/>
        </w:rPr>
        <w:t xml:space="preserve">η  </w:t>
      </w:r>
      <w:r w:rsidRPr="00F54B01">
        <w:rPr>
          <w:rFonts w:cs="Times New Roman"/>
          <w:lang w:val="el-GR"/>
        </w:rPr>
        <w:t xml:space="preserve">εβδομάδα το ποσοστό των ασθενών με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 </w:t>
      </w:r>
      <w:r w:rsidRPr="00F54B01">
        <w:rPr>
          <w:rFonts w:cs="Times New Roman"/>
        </w:rPr>
        <w:t>RNA</w:t>
      </w:r>
      <w:r w:rsidRPr="00F54B01">
        <w:rPr>
          <w:rFonts w:cs="Times New Roman"/>
          <w:lang w:val="el-GR"/>
        </w:rPr>
        <w:t xml:space="preserve"> κάτω</w:t>
      </w:r>
      <w:r w:rsidRPr="00F54B01">
        <w:rPr>
          <w:rFonts w:cs="Times New Roman"/>
          <w:spacing w:val="-33"/>
          <w:lang w:val="el-GR"/>
        </w:rPr>
        <w:t xml:space="preserve"> </w:t>
      </w:r>
      <w:r w:rsidRPr="00F54B01">
        <w:rPr>
          <w:rFonts w:cs="Times New Roman"/>
          <w:lang w:val="el-GR"/>
        </w:rPr>
        <w:t>από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και 50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ήταν 71% και 68% αντίστοιχα στο σκέλος </w:t>
      </w:r>
      <w:r w:rsidR="0087241A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, σε σύγκριση με 64% και 63% στο σκέλος </w:t>
      </w:r>
      <w:r w:rsidR="00BE0882">
        <w:rPr>
          <w:rFonts w:cs="Times New Roman"/>
          <w:lang w:val="el-GR"/>
        </w:rPr>
        <w:t xml:space="preserve">της </w:t>
      </w:r>
      <w:r w:rsidR="00203833" w:rsidRPr="00203833">
        <w:rPr>
          <w:rFonts w:cs="Times New Roman"/>
          <w:lang w:val="el-GR"/>
        </w:rPr>
        <w:t>σταβουδίνη</w:t>
      </w:r>
      <w:r w:rsidR="00BE0882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κατά μέσο όρο αλλαγή από την έναρξη για το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 </w:t>
      </w:r>
      <w:r w:rsidRPr="00F54B01">
        <w:rPr>
          <w:rFonts w:cs="Times New Roman"/>
        </w:rPr>
        <w:t>RNA</w:t>
      </w:r>
      <w:r w:rsidRPr="00F54B01">
        <w:rPr>
          <w:rFonts w:cs="Times New Roman"/>
          <w:lang w:val="el-GR"/>
        </w:rPr>
        <w:t xml:space="preserve"> και τον αριθμό των </w:t>
      </w:r>
      <w:r w:rsidRPr="00F54B01">
        <w:rPr>
          <w:rFonts w:cs="Times New Roman"/>
        </w:rPr>
        <w:t>CD</w:t>
      </w:r>
      <w:r w:rsidRPr="00F54B01">
        <w:rPr>
          <w:rFonts w:cs="Times New Roman"/>
          <w:lang w:val="el-GR"/>
        </w:rPr>
        <w:t>4 κυττάρων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κατά την 48</w:t>
      </w:r>
      <w:r w:rsidRPr="00F54B01">
        <w:rPr>
          <w:rFonts w:cs="Times New Roman"/>
          <w:position w:val="10"/>
          <w:sz w:val="14"/>
          <w:lang w:val="el-GR"/>
        </w:rPr>
        <w:t xml:space="preserve">η  </w:t>
      </w:r>
      <w:r w:rsidRPr="00F54B01">
        <w:rPr>
          <w:rFonts w:cs="Times New Roman"/>
          <w:lang w:val="el-GR"/>
        </w:rPr>
        <w:t>εβδομάδα θεραπείας ήταν παρόμοιος και στις δύο ομάδες υπό θεραπεία (-3,09</w:t>
      </w:r>
      <w:r w:rsidRPr="00F54B01">
        <w:rPr>
          <w:rFonts w:cs="Times New Roman"/>
          <w:spacing w:val="-32"/>
          <w:lang w:val="el-GR"/>
        </w:rPr>
        <w:t xml:space="preserve"> </w:t>
      </w:r>
      <w:r w:rsidRPr="00F54B01">
        <w:rPr>
          <w:rFonts w:cs="Times New Roman"/>
          <w:lang w:val="el-GR"/>
        </w:rPr>
        <w:t>και</w:t>
      </w:r>
      <w:r w:rsidR="00080959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-3,09 </w:t>
      </w:r>
      <w:r w:rsidRPr="00F54B01">
        <w:rPr>
          <w:rFonts w:cs="Times New Roman"/>
        </w:rPr>
        <w:t>log</w:t>
      </w:r>
      <w:r w:rsidRPr="00F54B01">
        <w:rPr>
          <w:rFonts w:cs="Times New Roman"/>
          <w:position w:val="-2"/>
          <w:sz w:val="14"/>
          <w:lang w:val="el-GR"/>
        </w:rPr>
        <w:t xml:space="preserve">10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, +169 και 167 κύτταρα/</w:t>
      </w:r>
      <w:r w:rsidRPr="00F54B01">
        <w:rPr>
          <w:rFonts w:cs="Times New Roman"/>
        </w:rPr>
        <w:t>mm</w:t>
      </w:r>
      <w:r w:rsidRPr="00F54B01">
        <w:rPr>
          <w:rFonts w:cs="Times New Roman"/>
          <w:position w:val="10"/>
          <w:sz w:val="14"/>
          <w:lang w:val="el-GR"/>
        </w:rPr>
        <w:t xml:space="preserve">3 </w:t>
      </w:r>
      <w:r w:rsidRPr="00F54B01">
        <w:rPr>
          <w:rFonts w:cs="Times New Roman"/>
          <w:lang w:val="el-GR"/>
        </w:rPr>
        <w:t xml:space="preserve">στις ομάδες </w:t>
      </w:r>
      <w:r w:rsidR="0087241A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245</w:t>
      </w:r>
      <w:r w:rsidRPr="00F54B01">
        <w:rPr>
          <w:rFonts w:cs="Times New Roman"/>
          <w:spacing w:val="15"/>
          <w:lang w:val="el-GR"/>
        </w:rPr>
        <w:t xml:space="preserve"> </w:t>
      </w:r>
      <w:r w:rsidRPr="00F54B01">
        <w:rPr>
          <w:rFonts w:cs="Times New Roman"/>
        </w:rPr>
        <w:t>mg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</w:t>
      </w:r>
      <w:r w:rsidR="00203833" w:rsidRPr="00203833">
        <w:rPr>
          <w:rFonts w:cs="Times New Roman"/>
          <w:lang w:val="el-GR"/>
        </w:rPr>
        <w:t>σταβουδίνη</w:t>
      </w:r>
      <w:r w:rsidR="00BE0882">
        <w:rPr>
          <w:rFonts w:cs="Times New Roman"/>
          <w:lang w:val="el-GR"/>
        </w:rPr>
        <w:t>ς</w:t>
      </w:r>
      <w:r w:rsidR="0087241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αντίστοιχα). Κατά την 144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 η μέση αλλαγή κατά την</w:t>
      </w:r>
      <w:r w:rsidRPr="00F54B01">
        <w:rPr>
          <w:rFonts w:cs="Times New Roman"/>
          <w:spacing w:val="-3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έναρξη παρέμεινε παρόμοια και στα δύο σκέλη της θεραπείας (-3,07 και -3,03 </w:t>
      </w:r>
      <w:r w:rsidRPr="00F54B01">
        <w:rPr>
          <w:rFonts w:cs="Times New Roman"/>
        </w:rPr>
        <w:t>log</w:t>
      </w:r>
      <w:r w:rsidRPr="00F54B01">
        <w:rPr>
          <w:rFonts w:cs="Times New Roman"/>
          <w:position w:val="-2"/>
          <w:sz w:val="14"/>
          <w:lang w:val="el-GR"/>
        </w:rPr>
        <w:t xml:space="preserve">10 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+263</w:t>
      </w:r>
      <w:r w:rsidRPr="00F54B01">
        <w:rPr>
          <w:rFonts w:cs="Times New Roman"/>
          <w:spacing w:val="-35"/>
          <w:lang w:val="el-GR"/>
        </w:rPr>
        <w:t xml:space="preserve"> </w:t>
      </w:r>
      <w:r w:rsidRPr="00F54B01">
        <w:rPr>
          <w:rFonts w:cs="Times New Roman"/>
          <w:lang w:val="el-GR"/>
        </w:rPr>
        <w:t>και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+283 κύτταρα/</w:t>
      </w:r>
      <w:r w:rsidRPr="00F54B01">
        <w:rPr>
          <w:rFonts w:cs="Times New Roman"/>
        </w:rPr>
        <w:t>mm</w:t>
      </w:r>
      <w:r w:rsidR="001E7767" w:rsidRPr="00F54B01">
        <w:rPr>
          <w:rFonts w:cs="Times New Roman"/>
          <w:vertAlign w:val="superscript"/>
          <w:lang w:val="el-GR"/>
        </w:rPr>
        <w:t>3</w:t>
      </w:r>
      <w:r w:rsidR="001E7767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στις ομάδες </w:t>
      </w:r>
      <w:r w:rsidR="0087241A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και </w:t>
      </w:r>
      <w:r w:rsidR="00BE0882">
        <w:rPr>
          <w:rFonts w:cs="Times New Roman"/>
          <w:lang w:val="el-GR"/>
        </w:rPr>
        <w:t xml:space="preserve">της </w:t>
      </w:r>
      <w:r w:rsidR="0087241A" w:rsidRPr="00F54B01">
        <w:rPr>
          <w:rFonts w:cs="Times New Roman"/>
          <w:spacing w:val="-33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σταβουδίνη</w:t>
      </w:r>
      <w:r w:rsidR="00BE0882">
        <w:rPr>
          <w:rFonts w:cs="Times New Roman"/>
          <w:lang w:val="el-GR"/>
        </w:rPr>
        <w:t>ς</w:t>
      </w:r>
      <w:r w:rsidR="0087241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αντίστοιχα). Μία σταθερή ανταπόκριση στην θεραπεία με </w:t>
      </w:r>
      <w:r w:rsidR="0087241A">
        <w:rPr>
          <w:rFonts w:cs="Times New Roman"/>
          <w:lang w:val="el-GR"/>
        </w:rPr>
        <w:t>τενοφοβίρη δισοπρόξιλη</w:t>
      </w:r>
      <w:r w:rsidR="0087241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διαπιστώθηκε ασχέτως του αριθμού </w:t>
      </w:r>
      <w:r w:rsidRPr="00F54B01">
        <w:rPr>
          <w:rFonts w:cs="Times New Roman"/>
        </w:rPr>
        <w:t>CD</w:t>
      </w:r>
      <w:r w:rsidRPr="00F54B01">
        <w:rPr>
          <w:rFonts w:cs="Times New Roman"/>
          <w:lang w:val="el-GR"/>
        </w:rPr>
        <w:t>4 κυττάρων κατά την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έναρξη.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</w:t>
      </w:r>
      <w:r w:rsidRPr="00F54B01">
        <w:rPr>
          <w:rFonts w:cs="Times New Roman"/>
        </w:rPr>
        <w:t>K</w:t>
      </w:r>
      <w:r w:rsidRPr="00F54B01">
        <w:rPr>
          <w:rFonts w:cs="Times New Roman"/>
          <w:lang w:val="el-GR"/>
        </w:rPr>
        <w:t>65</w:t>
      </w:r>
      <w:r w:rsidRPr="00F54B01">
        <w:rPr>
          <w:rFonts w:cs="Times New Roman"/>
        </w:rPr>
        <w:t>R</w:t>
      </w:r>
      <w:r w:rsidRPr="00F54B01">
        <w:rPr>
          <w:rFonts w:cs="Times New Roman"/>
          <w:lang w:val="el-GR"/>
        </w:rPr>
        <w:t xml:space="preserve"> μετάλλαξη εμφανίσθηκε σε ελαφρά υψηλότερο ποσοστό ασθενών στην ομάδα </w:t>
      </w:r>
      <w:r w:rsidR="0087241A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σε σύγκριση με την ομάδα ελέγχου (2,</w:t>
      </w:r>
      <w:r w:rsidR="0087241A">
        <w:rPr>
          <w:rFonts w:cs="Times New Roman"/>
          <w:lang w:val="el-GR"/>
        </w:rPr>
        <w:t>7</w:t>
      </w:r>
      <w:r w:rsidRPr="00F54B01">
        <w:rPr>
          <w:rFonts w:cs="Times New Roman"/>
          <w:lang w:val="el-GR"/>
        </w:rPr>
        <w:t>% έναντι 0,7%). Η αντοχή</w:t>
      </w:r>
      <w:r w:rsidRPr="00F54B01">
        <w:rPr>
          <w:rFonts w:cs="Times New Roman"/>
          <w:spacing w:val="-17"/>
          <w:lang w:val="el-GR"/>
        </w:rPr>
        <w:t xml:space="preserve"> </w:t>
      </w:r>
      <w:r w:rsidR="0087241A">
        <w:rPr>
          <w:rFonts w:cs="Times New Roman"/>
          <w:lang w:val="el-GR"/>
        </w:rPr>
        <w:t>στ</w:t>
      </w:r>
      <w:r w:rsidR="00BE0882">
        <w:rPr>
          <w:rFonts w:cs="Times New Roman"/>
          <w:lang w:val="el-GR"/>
        </w:rPr>
        <w:t>η</w:t>
      </w:r>
      <w:r w:rsidR="009A5D71">
        <w:rPr>
          <w:rFonts w:cs="Times New Roman"/>
          <w:lang w:val="el-GR"/>
        </w:rPr>
        <w:t>ν</w:t>
      </w:r>
      <w:r w:rsidR="0087241A">
        <w:rPr>
          <w:rFonts w:cs="Times New Roman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εφαβιρένζη</w:t>
      </w:r>
      <w:r w:rsidRPr="00F54B01">
        <w:rPr>
          <w:rFonts w:cs="Times New Roman"/>
          <w:lang w:val="el-GR"/>
        </w:rPr>
        <w:t xml:space="preserve"> ή </w:t>
      </w:r>
      <w:r w:rsidR="0087241A">
        <w:rPr>
          <w:rFonts w:cs="Times New Roman"/>
          <w:lang w:val="el-GR"/>
        </w:rPr>
        <w:t>τ</w:t>
      </w:r>
      <w:r w:rsidR="00BE0882">
        <w:rPr>
          <w:rFonts w:cs="Times New Roman"/>
          <w:lang w:val="el-GR"/>
        </w:rPr>
        <w:t>η</w:t>
      </w:r>
      <w:r w:rsidR="0087241A" w:rsidRPr="00F54B01">
        <w:rPr>
          <w:rFonts w:cs="Times New Roman"/>
          <w:lang w:val="el-GR"/>
        </w:rPr>
        <w:t xml:space="preserve"> </w:t>
      </w:r>
      <w:r w:rsidR="00643ECB" w:rsidRPr="00FB72E2">
        <w:rPr>
          <w:rFonts w:cs="Times New Roman"/>
          <w:lang w:val="el-GR"/>
        </w:rPr>
        <w:t>λαμιβουδίνη</w:t>
      </w:r>
      <w:r w:rsidR="0087241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είτε προηγείτο είτε συνέπιπτε με την ανάπτυξη της </w:t>
      </w:r>
      <w:r w:rsidRPr="00F54B01">
        <w:rPr>
          <w:rFonts w:cs="Times New Roman"/>
        </w:rPr>
        <w:t>K</w:t>
      </w:r>
      <w:r w:rsidRPr="00F54B01">
        <w:rPr>
          <w:rFonts w:cs="Times New Roman"/>
          <w:lang w:val="el-GR"/>
        </w:rPr>
        <w:t>65</w:t>
      </w:r>
      <w:r w:rsidRPr="00F54B01">
        <w:rPr>
          <w:rFonts w:cs="Times New Roman"/>
        </w:rPr>
        <w:t>R</w:t>
      </w:r>
      <w:r w:rsidRPr="00F54B01">
        <w:rPr>
          <w:rFonts w:cs="Times New Roman"/>
          <w:lang w:val="el-GR"/>
        </w:rPr>
        <w:t xml:space="preserve"> σε όλες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τις περιπτώσεις. Οκτώ ασθενείς είχαν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έκφραση της </w:t>
      </w:r>
      <w:r w:rsidRPr="00F54B01">
        <w:rPr>
          <w:rFonts w:cs="Times New Roman"/>
        </w:rPr>
        <w:t>K</w:t>
      </w:r>
      <w:r w:rsidRPr="00F54B01">
        <w:rPr>
          <w:rFonts w:cs="Times New Roman"/>
          <w:lang w:val="el-GR"/>
        </w:rPr>
        <w:t>65</w:t>
      </w:r>
      <w:r w:rsidRPr="00F54B01">
        <w:rPr>
          <w:rFonts w:cs="Times New Roman"/>
        </w:rPr>
        <w:t>R</w:t>
      </w:r>
      <w:r w:rsidRPr="00F54B01">
        <w:rPr>
          <w:rFonts w:cs="Times New Roman"/>
          <w:lang w:val="el-GR"/>
        </w:rPr>
        <w:t xml:space="preserve"> στο σκέλος </w:t>
      </w:r>
      <w:r w:rsidR="0087241A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, σε 7 εκ των οποίων εμφανίστηκε κατά τη διάρκεια των πρώτων 48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εβδομάδων της θεραπείας και στον τελευταίο την 96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εβδομάδα. Δεν παρατηρήθηκε περαιτέρω ανάπτυξη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της </w:t>
      </w:r>
      <w:r w:rsidRPr="00F54B01">
        <w:rPr>
          <w:rFonts w:cs="Times New Roman"/>
        </w:rPr>
        <w:t>K</w:t>
      </w:r>
      <w:r w:rsidRPr="00F54B01">
        <w:rPr>
          <w:rFonts w:cs="Times New Roman"/>
          <w:lang w:val="el-GR"/>
        </w:rPr>
        <w:t>65</w:t>
      </w:r>
      <w:r w:rsidRPr="00F54B01">
        <w:rPr>
          <w:rFonts w:cs="Times New Roman"/>
        </w:rPr>
        <w:t>R</w:t>
      </w:r>
      <w:r w:rsidRPr="00F54B01">
        <w:rPr>
          <w:rFonts w:cs="Times New Roman"/>
          <w:lang w:val="el-GR"/>
        </w:rPr>
        <w:t xml:space="preserve"> μέχρι την 144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 xml:space="preserve">εβδομάδα. Ένας ασθενής στο σκέλος </w:t>
      </w:r>
      <w:r w:rsidR="0087241A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ανέπτυξε την </w:t>
      </w:r>
      <w:r w:rsidRPr="00F54B01">
        <w:rPr>
          <w:rFonts w:cs="Times New Roman"/>
        </w:rPr>
        <w:t>K</w:t>
      </w:r>
      <w:r w:rsidRPr="00F54B01">
        <w:rPr>
          <w:rFonts w:cs="Times New Roman"/>
          <w:lang w:val="el-GR"/>
        </w:rPr>
        <w:t>70</w:t>
      </w:r>
      <w:r w:rsidRPr="00F54B01">
        <w:rPr>
          <w:rFonts w:cs="Times New Roman"/>
        </w:rPr>
        <w:t>E</w:t>
      </w:r>
      <w:r w:rsidRPr="00F54B01">
        <w:rPr>
          <w:rFonts w:cs="Times New Roman"/>
          <w:lang w:val="el-GR"/>
        </w:rPr>
        <w:t xml:space="preserve"> υποκατάσταση στον ιό. Από γονοτυπικές και φαινοτυπικές αναλύσεις δεν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υπήρξε ένδειξη άλλων οδών για ανάπτυξη αντοχής στ</w:t>
      </w:r>
      <w:r w:rsidR="0087241A">
        <w:rPr>
          <w:rFonts w:cs="Times New Roman"/>
          <w:lang w:val="el-GR"/>
        </w:rPr>
        <w:t>ην</w:t>
      </w:r>
      <w:r w:rsidRPr="00F54B01">
        <w:rPr>
          <w:rFonts w:cs="Times New Roman"/>
          <w:spacing w:val="-19"/>
          <w:lang w:val="el-GR"/>
        </w:rPr>
        <w:t xml:space="preserve"> </w:t>
      </w:r>
      <w:r w:rsidR="0087241A">
        <w:rPr>
          <w:rFonts w:cs="Times New Roman"/>
          <w:lang w:val="el-GR"/>
        </w:rPr>
        <w:t>τενοφοβίρη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Δεδομένα σχετικά με τον</w:t>
      </w:r>
      <w:r w:rsidRPr="00F54B01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HBV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</w:rPr>
        <w:t>HBV</w:t>
      </w:r>
      <w:r w:rsidRPr="00F54B01">
        <w:rPr>
          <w:rFonts w:cs="Times New Roman"/>
          <w:i/>
          <w:lang w:val="el-GR"/>
        </w:rPr>
        <w:t xml:space="preserve"> αντι-ιική δράση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vitro</w:t>
      </w:r>
      <w:r w:rsidRPr="00F54B01">
        <w:rPr>
          <w:rFonts w:cs="Times New Roman"/>
          <w:i/>
          <w:lang w:val="el-GR"/>
        </w:rPr>
        <w:t xml:space="preserve">: </w:t>
      </w:r>
      <w:r w:rsidRPr="00F54B01">
        <w:rPr>
          <w:rFonts w:cs="Times New Roman"/>
          <w:lang w:val="el-GR"/>
        </w:rPr>
        <w:t xml:space="preserve">Η αντι-ιική δράση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vitro</w:t>
      </w:r>
      <w:r w:rsidRPr="00F54B01">
        <w:rPr>
          <w:rFonts w:cs="Times New Roman"/>
          <w:i/>
          <w:lang w:val="el-GR"/>
        </w:rPr>
        <w:t xml:space="preserve"> </w:t>
      </w:r>
      <w:r w:rsidR="0087241A" w:rsidRPr="00F54B01">
        <w:rPr>
          <w:rFonts w:cs="Times New Roman"/>
          <w:lang w:val="el-GR"/>
        </w:rPr>
        <w:t>τ</w:t>
      </w:r>
      <w:r w:rsidR="0087241A">
        <w:rPr>
          <w:rFonts w:cs="Times New Roman"/>
          <w:lang w:val="el-GR"/>
        </w:rPr>
        <w:t>ης</w:t>
      </w:r>
      <w:r w:rsidR="0087241A" w:rsidRPr="00F54B01">
        <w:rPr>
          <w:rFonts w:cs="Times New Roman"/>
          <w:lang w:val="el-GR"/>
        </w:rPr>
        <w:t xml:space="preserve"> </w:t>
      </w:r>
      <w:r w:rsidR="0087241A">
        <w:rPr>
          <w:rFonts w:cs="Times New Roman"/>
          <w:lang w:val="el-GR"/>
        </w:rPr>
        <w:t>τενοφοβίρης</w:t>
      </w:r>
      <w:r w:rsidR="0087241A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κατά του </w:t>
      </w:r>
      <w:r w:rsidRPr="00F54B01">
        <w:rPr>
          <w:rFonts w:cs="Times New Roman"/>
        </w:rPr>
        <w:t>HBV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αξιολογήθηκε στην κυτταρική γραμμή </w:t>
      </w:r>
      <w:r w:rsidRPr="00F54B01">
        <w:rPr>
          <w:rFonts w:cs="Times New Roman"/>
        </w:rPr>
        <w:t>HepG</w:t>
      </w:r>
      <w:r w:rsidRPr="00F54B01">
        <w:rPr>
          <w:rFonts w:cs="Times New Roman"/>
          <w:lang w:val="el-GR"/>
        </w:rPr>
        <w:t xml:space="preserve">2 2.2.15. Οι τιμές </w:t>
      </w:r>
      <w:r w:rsidRPr="00F54B01">
        <w:rPr>
          <w:rFonts w:cs="Times New Roman"/>
        </w:rPr>
        <w:t>EC</w:t>
      </w:r>
      <w:r w:rsidRPr="00F54B01">
        <w:rPr>
          <w:rFonts w:cs="Times New Roman"/>
          <w:position w:val="-2"/>
          <w:sz w:val="14"/>
          <w:lang w:val="el-GR"/>
        </w:rPr>
        <w:t xml:space="preserve">50 </w:t>
      </w:r>
      <w:r w:rsidRPr="00F54B01">
        <w:rPr>
          <w:rFonts w:cs="Times New Roman"/>
          <w:lang w:val="el-GR"/>
        </w:rPr>
        <w:t xml:space="preserve">για </w:t>
      </w:r>
      <w:r w:rsidR="0087241A">
        <w:rPr>
          <w:rFonts w:cs="Times New Roman"/>
          <w:lang w:val="el-GR"/>
        </w:rPr>
        <w:t>την τενοφοβίρη</w:t>
      </w:r>
      <w:r w:rsidRPr="00F54B01">
        <w:rPr>
          <w:rFonts w:cs="Times New Roman"/>
          <w:lang w:val="el-GR"/>
        </w:rPr>
        <w:t xml:space="preserve"> ήταν στο εύρος από 0,14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έως 1,5 μ</w:t>
      </w:r>
      <w:r w:rsidRPr="00F54B01">
        <w:rPr>
          <w:rFonts w:cs="Times New Roman"/>
        </w:rPr>
        <w:t>mol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l</w:t>
      </w:r>
      <w:r w:rsidRPr="00F54B01">
        <w:rPr>
          <w:rFonts w:cs="Times New Roman"/>
          <w:lang w:val="el-GR"/>
        </w:rPr>
        <w:t xml:space="preserve">, με τιμές </w:t>
      </w:r>
      <w:r w:rsidRPr="00F54B01">
        <w:rPr>
          <w:rFonts w:cs="Times New Roman"/>
        </w:rPr>
        <w:t>CC</w:t>
      </w:r>
      <w:r w:rsidRPr="00F54B01">
        <w:rPr>
          <w:rFonts w:cs="Times New Roman"/>
          <w:position w:val="-2"/>
          <w:sz w:val="14"/>
          <w:lang w:val="el-GR"/>
        </w:rPr>
        <w:t xml:space="preserve">50  </w:t>
      </w:r>
      <w:r w:rsidRPr="00F54B01">
        <w:rPr>
          <w:rFonts w:cs="Times New Roman"/>
          <w:lang w:val="el-GR"/>
        </w:rPr>
        <w:t>(50% συγκέντρωση κυτταροτοξικότητας) &gt;100</w:t>
      </w:r>
      <w:r w:rsidRPr="00F54B01">
        <w:rPr>
          <w:rFonts w:cs="Times New Roman"/>
          <w:spacing w:val="-35"/>
          <w:lang w:val="el-GR"/>
        </w:rPr>
        <w:t xml:space="preserve"> </w:t>
      </w:r>
      <w:r w:rsidRPr="00F54B01">
        <w:rPr>
          <w:rFonts w:cs="Times New Roman"/>
          <w:lang w:val="el-GR"/>
        </w:rPr>
        <w:t>μ</w:t>
      </w:r>
      <w:r w:rsidRPr="00F54B01">
        <w:rPr>
          <w:rFonts w:cs="Times New Roman"/>
        </w:rPr>
        <w:t>mol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l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  <w:lang w:val="el-GR"/>
        </w:rPr>
        <w:lastRenderedPageBreak/>
        <w:t xml:space="preserve">Αντοχή: </w:t>
      </w:r>
      <w:r w:rsidRPr="00F54B01">
        <w:rPr>
          <w:rFonts w:cs="Times New Roman"/>
          <w:lang w:val="el-GR"/>
        </w:rPr>
        <w:t xml:space="preserve">Δεν αναγνωρίστηκαν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μεταλλάξεις σχετιζόμενες με αντοχή </w:t>
      </w:r>
      <w:r w:rsidR="0087241A" w:rsidRPr="00F54B01">
        <w:rPr>
          <w:rFonts w:cs="Times New Roman"/>
          <w:lang w:val="el-GR"/>
        </w:rPr>
        <w:t>στ</w:t>
      </w:r>
      <w:r w:rsidR="0087241A">
        <w:rPr>
          <w:rFonts w:cs="Times New Roman"/>
          <w:lang w:val="el-GR"/>
        </w:rPr>
        <w:t>ην</w:t>
      </w:r>
      <w:r w:rsidR="0087241A" w:rsidRPr="00F54B01">
        <w:rPr>
          <w:rFonts w:cs="Times New Roman"/>
          <w:lang w:val="el-GR"/>
        </w:rPr>
        <w:t xml:space="preserve"> </w:t>
      </w:r>
      <w:r w:rsidR="0087241A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(βλ</w:t>
      </w:r>
      <w:r w:rsidR="003E1789">
        <w:rPr>
          <w:rFonts w:cs="Times New Roman"/>
          <w:lang w:val="el-GR"/>
        </w:rPr>
        <w:t>έπε</w:t>
      </w:r>
      <w:r w:rsidRPr="00F54B01">
        <w:rPr>
          <w:rFonts w:cs="Times New Roman"/>
          <w:lang w:val="el-GR"/>
        </w:rPr>
        <w:t xml:space="preserve"> </w:t>
      </w:r>
      <w:r w:rsidR="003E1789">
        <w:rPr>
          <w:rFonts w:cs="Times New Roman"/>
          <w:lang w:val="el-GR"/>
        </w:rPr>
        <w:t xml:space="preserve">παρακάτω </w:t>
      </w:r>
      <w:r w:rsidR="003E1789" w:rsidRPr="003E1789">
        <w:rPr>
          <w:rFonts w:cs="Times New Roman"/>
          <w:i/>
          <w:lang w:val="el-GR"/>
        </w:rPr>
        <w:t>«</w:t>
      </w:r>
      <w:r w:rsidRPr="003E1789">
        <w:rPr>
          <w:rFonts w:cs="Times New Roman"/>
          <w:i/>
          <w:lang w:val="el-GR"/>
        </w:rPr>
        <w:t>Κλινική αποτελεσματικότητα και ασφάλεια</w:t>
      </w:r>
      <w:r w:rsidR="003E1789" w:rsidRPr="003E1789">
        <w:rPr>
          <w:rFonts w:cs="Times New Roman"/>
          <w:i/>
          <w:lang w:val="el-GR"/>
        </w:rPr>
        <w:t>»</w:t>
      </w:r>
      <w:r w:rsidRPr="00F54B01">
        <w:rPr>
          <w:rFonts w:cs="Times New Roman"/>
          <w:lang w:val="el-GR"/>
        </w:rPr>
        <w:t>). Σε αναλύσεις με κυτταρική βάση,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τα στελέχη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που εκφράζουν τις μεταλλάξεις </w:t>
      </w:r>
      <w:r w:rsidRPr="00F54B01">
        <w:rPr>
          <w:rFonts w:cs="Times New Roman"/>
        </w:rPr>
        <w:t>rtV</w:t>
      </w:r>
      <w:r w:rsidRPr="00F54B01">
        <w:rPr>
          <w:rFonts w:cs="Times New Roman"/>
          <w:lang w:val="el-GR"/>
        </w:rPr>
        <w:t>173</w:t>
      </w:r>
      <w:r w:rsidRPr="00F54B01">
        <w:rPr>
          <w:rFonts w:cs="Times New Roman"/>
        </w:rPr>
        <w:t>L</w:t>
      </w:r>
      <w:r w:rsidRPr="00F54B01">
        <w:rPr>
          <w:rFonts w:cs="Times New Roman"/>
          <w:lang w:val="el-GR"/>
        </w:rPr>
        <w:t xml:space="preserve">, </w:t>
      </w:r>
      <w:r w:rsidRPr="00F54B01">
        <w:rPr>
          <w:rFonts w:cs="Times New Roman"/>
        </w:rPr>
        <w:t>rtL</w:t>
      </w:r>
      <w:r w:rsidRPr="00F54B01">
        <w:rPr>
          <w:rFonts w:cs="Times New Roman"/>
          <w:lang w:val="el-GR"/>
        </w:rPr>
        <w:t>180</w:t>
      </w:r>
      <w:r w:rsidRPr="00F54B01">
        <w:rPr>
          <w:rFonts w:cs="Times New Roman"/>
        </w:rPr>
        <w:t>M</w:t>
      </w:r>
      <w:r w:rsidRPr="00F54B01">
        <w:rPr>
          <w:rFonts w:cs="Times New Roman"/>
          <w:lang w:val="el-GR"/>
        </w:rPr>
        <w:t xml:space="preserve"> και </w:t>
      </w:r>
      <w:r w:rsidRPr="00F54B01">
        <w:rPr>
          <w:rFonts w:cs="Times New Roman"/>
        </w:rPr>
        <w:t>rtM</w:t>
      </w:r>
      <w:r w:rsidRPr="00F54B01">
        <w:rPr>
          <w:rFonts w:cs="Times New Roman"/>
          <w:lang w:val="el-GR"/>
        </w:rPr>
        <w:t>204</w:t>
      </w:r>
      <w:r w:rsidRPr="00F54B01">
        <w:rPr>
          <w:rFonts w:cs="Times New Roman"/>
        </w:rPr>
        <w:t>I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V</w:t>
      </w:r>
      <w:r w:rsidRPr="00F54B01">
        <w:rPr>
          <w:rFonts w:cs="Times New Roman"/>
          <w:lang w:val="el-GR"/>
        </w:rPr>
        <w:t xml:space="preserve"> που σχετίζονται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αντοχή </w:t>
      </w:r>
      <w:r w:rsidR="00422066" w:rsidRPr="00F54B01">
        <w:rPr>
          <w:rFonts w:cs="Times New Roman"/>
          <w:lang w:val="el-GR"/>
        </w:rPr>
        <w:t>στ</w:t>
      </w:r>
      <w:r w:rsidR="00BE0882">
        <w:rPr>
          <w:rFonts w:cs="Times New Roman"/>
          <w:lang w:val="el-GR"/>
        </w:rPr>
        <w:t>η</w:t>
      </w:r>
      <w:r w:rsidR="00422066" w:rsidRPr="00F54B01">
        <w:rPr>
          <w:rFonts w:cs="Times New Roman"/>
          <w:lang w:val="el-GR"/>
        </w:rPr>
        <w:t xml:space="preserve"> </w:t>
      </w:r>
      <w:r w:rsidR="00643ECB" w:rsidRPr="00FB72E2">
        <w:rPr>
          <w:rFonts w:cs="Times New Roman"/>
          <w:lang w:val="el-GR"/>
        </w:rPr>
        <w:t>λαμιβουδίνη</w:t>
      </w:r>
      <w:r w:rsidR="00422066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</w:t>
      </w:r>
      <w:r w:rsidR="00422066" w:rsidRPr="00F54B01">
        <w:rPr>
          <w:rFonts w:cs="Times New Roman"/>
          <w:lang w:val="el-GR"/>
        </w:rPr>
        <w:t>στ</w:t>
      </w:r>
      <w:r w:rsidR="00BE0882">
        <w:rPr>
          <w:rFonts w:cs="Times New Roman"/>
          <w:lang w:val="el-GR"/>
        </w:rPr>
        <w:t>ην</w:t>
      </w:r>
      <w:r w:rsidR="00422066" w:rsidRPr="00F54B01">
        <w:rPr>
          <w:rFonts w:cs="Times New Roman"/>
          <w:lang w:val="el-GR"/>
        </w:rPr>
        <w:t xml:space="preserve"> </w:t>
      </w:r>
      <w:r w:rsidR="00BE0882" w:rsidRPr="00BE0882">
        <w:rPr>
          <w:rFonts w:cs="Times New Roman"/>
          <w:lang w:val="el-GR"/>
        </w:rPr>
        <w:t>τελβιβουδίνη</w:t>
      </w:r>
      <w:r w:rsidR="00422066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έδειξαν ευαισθησία </w:t>
      </w:r>
      <w:r w:rsidR="00422066" w:rsidRPr="00F54B01">
        <w:rPr>
          <w:rFonts w:cs="Times New Roman"/>
          <w:lang w:val="el-GR"/>
        </w:rPr>
        <w:t>στ</w:t>
      </w:r>
      <w:r w:rsidR="00422066">
        <w:rPr>
          <w:rFonts w:cs="Times New Roman"/>
          <w:lang w:val="el-GR"/>
        </w:rPr>
        <w:t>ην</w:t>
      </w:r>
      <w:r w:rsidR="00422066" w:rsidRPr="00F54B01">
        <w:rPr>
          <w:rFonts w:cs="Times New Roman"/>
          <w:lang w:val="el-GR"/>
        </w:rPr>
        <w:t xml:space="preserve"> </w:t>
      </w:r>
      <w:r w:rsidR="00422066">
        <w:rPr>
          <w:rFonts w:cs="Times New Roman"/>
          <w:lang w:val="el-GR"/>
        </w:rPr>
        <w:t>τενοφοβίρη</w:t>
      </w:r>
      <w:r w:rsidR="00422066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στο εύρος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από 0,7 έως 3,4 φορές εκείνη του αρχέγονου ιού. Τα στελέχη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που εκφράζουν τις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μεταλλάξεις </w:t>
      </w:r>
      <w:r w:rsidRPr="00F54B01">
        <w:rPr>
          <w:rFonts w:cs="Times New Roman"/>
        </w:rPr>
        <w:t>rtL</w:t>
      </w:r>
      <w:r w:rsidRPr="00F54B01">
        <w:rPr>
          <w:rFonts w:cs="Times New Roman"/>
          <w:lang w:val="el-GR"/>
        </w:rPr>
        <w:t>180</w:t>
      </w:r>
      <w:r w:rsidRPr="00F54B01">
        <w:rPr>
          <w:rFonts w:cs="Times New Roman"/>
        </w:rPr>
        <w:t>M</w:t>
      </w:r>
      <w:r w:rsidRPr="00F54B01">
        <w:rPr>
          <w:rFonts w:cs="Times New Roman"/>
          <w:lang w:val="el-GR"/>
        </w:rPr>
        <w:t xml:space="preserve">, </w:t>
      </w:r>
      <w:r w:rsidRPr="00F54B01">
        <w:rPr>
          <w:rFonts w:cs="Times New Roman"/>
        </w:rPr>
        <w:t>rtT</w:t>
      </w:r>
      <w:r w:rsidRPr="00F54B01">
        <w:rPr>
          <w:rFonts w:cs="Times New Roman"/>
          <w:lang w:val="el-GR"/>
        </w:rPr>
        <w:t>184</w:t>
      </w:r>
      <w:r w:rsidRPr="00F54B01">
        <w:rPr>
          <w:rFonts w:cs="Times New Roman"/>
        </w:rPr>
        <w:t>G</w:t>
      </w:r>
      <w:r w:rsidRPr="00F54B01">
        <w:rPr>
          <w:rFonts w:cs="Times New Roman"/>
          <w:lang w:val="el-GR"/>
        </w:rPr>
        <w:t xml:space="preserve">, </w:t>
      </w:r>
      <w:r w:rsidRPr="00F54B01">
        <w:rPr>
          <w:rFonts w:cs="Times New Roman"/>
        </w:rPr>
        <w:t>rtS</w:t>
      </w:r>
      <w:r w:rsidRPr="00F54B01">
        <w:rPr>
          <w:rFonts w:cs="Times New Roman"/>
          <w:lang w:val="el-GR"/>
        </w:rPr>
        <w:t>202</w:t>
      </w:r>
      <w:r w:rsidRPr="00F54B01">
        <w:rPr>
          <w:rFonts w:cs="Times New Roman"/>
        </w:rPr>
        <w:t>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I</w:t>
      </w:r>
      <w:r w:rsidRPr="00F54B01">
        <w:rPr>
          <w:rFonts w:cs="Times New Roman"/>
          <w:lang w:val="el-GR"/>
        </w:rPr>
        <w:t xml:space="preserve">, </w:t>
      </w:r>
      <w:r w:rsidRPr="00F54B01">
        <w:rPr>
          <w:rFonts w:cs="Times New Roman"/>
        </w:rPr>
        <w:t>rtM</w:t>
      </w:r>
      <w:r w:rsidRPr="00F54B01">
        <w:rPr>
          <w:rFonts w:cs="Times New Roman"/>
          <w:lang w:val="el-GR"/>
        </w:rPr>
        <w:t>204</w:t>
      </w:r>
      <w:r w:rsidRPr="00F54B01">
        <w:rPr>
          <w:rFonts w:cs="Times New Roman"/>
        </w:rPr>
        <w:t>V</w:t>
      </w:r>
      <w:r w:rsidRPr="00F54B01">
        <w:rPr>
          <w:rFonts w:cs="Times New Roman"/>
          <w:lang w:val="el-GR"/>
        </w:rPr>
        <w:t xml:space="preserve"> και </w:t>
      </w:r>
      <w:r w:rsidRPr="00F54B01">
        <w:rPr>
          <w:rFonts w:cs="Times New Roman"/>
        </w:rPr>
        <w:t>rtM</w:t>
      </w:r>
      <w:r w:rsidRPr="00F54B01">
        <w:rPr>
          <w:rFonts w:cs="Times New Roman"/>
          <w:lang w:val="el-GR"/>
        </w:rPr>
        <w:t>250</w:t>
      </w:r>
      <w:r w:rsidRPr="00F54B01">
        <w:rPr>
          <w:rFonts w:cs="Times New Roman"/>
        </w:rPr>
        <w:t>V</w:t>
      </w:r>
      <w:r w:rsidRPr="00F54B01">
        <w:rPr>
          <w:rFonts w:cs="Times New Roman"/>
          <w:lang w:val="el-GR"/>
        </w:rPr>
        <w:t xml:space="preserve"> που σχετίζονται με αντοχή στ</w:t>
      </w:r>
      <w:r w:rsidR="00BE0882">
        <w:rPr>
          <w:rFonts w:cs="Times New Roman"/>
          <w:lang w:val="el-GR"/>
        </w:rPr>
        <w:t>ην</w:t>
      </w:r>
      <w:r w:rsidRPr="00F54B01">
        <w:rPr>
          <w:rFonts w:cs="Times New Roman"/>
          <w:spacing w:val="-15"/>
          <w:lang w:val="el-GR"/>
        </w:rPr>
        <w:t xml:space="preserve"> </w:t>
      </w:r>
      <w:r w:rsidR="00796AA2" w:rsidRPr="00796AA2">
        <w:rPr>
          <w:rFonts w:cs="Times New Roman"/>
          <w:lang w:val="el-GR"/>
        </w:rPr>
        <w:t>εντεκαβίρη</w:t>
      </w:r>
      <w:r w:rsidRPr="00F54B01">
        <w:rPr>
          <w:rFonts w:cs="Times New Roman"/>
          <w:lang w:val="el-GR"/>
        </w:rPr>
        <w:t xml:space="preserve"> έδειξαν ευαισθησία </w:t>
      </w:r>
      <w:r w:rsidR="00422066">
        <w:rPr>
          <w:rFonts w:cs="Times New Roman"/>
          <w:lang w:val="el-GR"/>
        </w:rPr>
        <w:t>στην τενοφοβίρη</w:t>
      </w:r>
      <w:r w:rsidRPr="00F54B01">
        <w:rPr>
          <w:rFonts w:cs="Times New Roman"/>
          <w:lang w:val="el-GR"/>
        </w:rPr>
        <w:t xml:space="preserve"> στο εύρος από 0,6 έως 6,9 φορές εκείνη του αρχέγονου ιού.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Τα στελέχη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που εκφράζουν τις μεταλλάξεις </w:t>
      </w:r>
      <w:r w:rsidRPr="00F54B01">
        <w:rPr>
          <w:rFonts w:cs="Times New Roman"/>
        </w:rPr>
        <w:t>rtA</w:t>
      </w:r>
      <w:r w:rsidRPr="00F54B01">
        <w:rPr>
          <w:rFonts w:cs="Times New Roman"/>
          <w:lang w:val="el-GR"/>
        </w:rPr>
        <w:t>181</w:t>
      </w:r>
      <w:r w:rsidRPr="00F54B01">
        <w:rPr>
          <w:rFonts w:cs="Times New Roman"/>
        </w:rPr>
        <w:t>V</w:t>
      </w:r>
      <w:r w:rsidRPr="00F54B01">
        <w:rPr>
          <w:rFonts w:cs="Times New Roman"/>
          <w:lang w:val="el-GR"/>
        </w:rPr>
        <w:t xml:space="preserve"> και </w:t>
      </w:r>
      <w:r w:rsidRPr="00F54B01">
        <w:rPr>
          <w:rFonts w:cs="Times New Roman"/>
        </w:rPr>
        <w:t>rtN</w:t>
      </w:r>
      <w:r w:rsidRPr="00F54B01">
        <w:rPr>
          <w:rFonts w:cs="Times New Roman"/>
          <w:lang w:val="el-GR"/>
        </w:rPr>
        <w:t>236</w:t>
      </w:r>
      <w:r w:rsidRPr="00F54B01">
        <w:rPr>
          <w:rFonts w:cs="Times New Roman"/>
        </w:rPr>
        <w:t>T</w:t>
      </w:r>
      <w:r w:rsidRPr="00F54B01">
        <w:rPr>
          <w:rFonts w:cs="Times New Roman"/>
          <w:lang w:val="el-GR"/>
        </w:rPr>
        <w:t xml:space="preserve"> που σχετίζονται με αντοχή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στ</w:t>
      </w:r>
      <w:r w:rsidR="00BE0882">
        <w:rPr>
          <w:rFonts w:cs="Times New Roman"/>
          <w:lang w:val="el-GR"/>
        </w:rPr>
        <w:t>ην αδεφοβίρη</w:t>
      </w:r>
      <w:r w:rsidRPr="00F54B01">
        <w:rPr>
          <w:rFonts w:cs="Times New Roman"/>
          <w:lang w:val="el-GR"/>
        </w:rPr>
        <w:t xml:space="preserve"> έδειξαν ευαισθησία </w:t>
      </w:r>
      <w:r w:rsidR="00422066">
        <w:rPr>
          <w:rFonts w:cs="Times New Roman"/>
          <w:lang w:val="el-GR"/>
        </w:rPr>
        <w:t>στην τενοφοβίρη</w:t>
      </w:r>
      <w:r w:rsidRPr="00F54B01">
        <w:rPr>
          <w:rFonts w:cs="Times New Roman"/>
          <w:lang w:val="el-GR"/>
        </w:rPr>
        <w:t xml:space="preserve"> στο εύρος από 2,9 έως 10 φορές εκείνη του αρχέγονου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ιού.</w:t>
      </w:r>
      <w:r w:rsidR="00422066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Οι ιοί που περιέχουν τη μετάλλαξη </w:t>
      </w:r>
      <w:r w:rsidRPr="00F54B01">
        <w:rPr>
          <w:rFonts w:cs="Times New Roman"/>
        </w:rPr>
        <w:t>rtA</w:t>
      </w:r>
      <w:r w:rsidRPr="00F54B01">
        <w:rPr>
          <w:rFonts w:cs="Times New Roman"/>
          <w:lang w:val="el-GR"/>
        </w:rPr>
        <w:t>181</w:t>
      </w:r>
      <w:r w:rsidRPr="00F54B01">
        <w:rPr>
          <w:rFonts w:cs="Times New Roman"/>
        </w:rPr>
        <w:t>T</w:t>
      </w:r>
      <w:r w:rsidRPr="00F54B01">
        <w:rPr>
          <w:rFonts w:cs="Times New Roman"/>
          <w:lang w:val="el-GR"/>
        </w:rPr>
        <w:t xml:space="preserve"> παρέμειναν ευαίσθητοι στ</w:t>
      </w:r>
      <w:r w:rsidR="00BE0882">
        <w:rPr>
          <w:rFonts w:cs="Times New Roman"/>
          <w:lang w:val="el-GR"/>
        </w:rPr>
        <w:t>ην</w:t>
      </w:r>
      <w:r w:rsidRPr="00F54B01">
        <w:rPr>
          <w:rFonts w:cs="Times New Roman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τενοφοβίρη</w:t>
      </w:r>
      <w:r w:rsidRPr="00F54B01">
        <w:rPr>
          <w:rFonts w:cs="Times New Roman"/>
          <w:lang w:val="el-GR"/>
        </w:rPr>
        <w:t xml:space="preserve"> με τιμές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</w:rPr>
        <w:t>EC</w:t>
      </w:r>
      <w:r w:rsidRPr="00F54B01">
        <w:rPr>
          <w:rFonts w:cs="Times New Roman"/>
          <w:position w:val="-2"/>
          <w:sz w:val="14"/>
          <w:lang w:val="el-GR"/>
        </w:rPr>
        <w:t>50</w:t>
      </w:r>
      <w:r w:rsidRPr="00F54B01">
        <w:rPr>
          <w:rFonts w:cs="Times New Roman"/>
          <w:w w:val="99"/>
          <w:position w:val="-2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1,5 φορά εκείνη του αρχέγονου</w:t>
      </w:r>
      <w:r w:rsidRPr="00F54B01">
        <w:rPr>
          <w:rFonts w:cs="Times New Roman"/>
          <w:spacing w:val="-10"/>
          <w:lang w:val="el-GR"/>
        </w:rPr>
        <w:t xml:space="preserve"> </w:t>
      </w:r>
      <w:r w:rsidRPr="00F54B01">
        <w:rPr>
          <w:rFonts w:cs="Times New Roman"/>
          <w:lang w:val="el-GR"/>
        </w:rPr>
        <w:t>ιού.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Κλινική αποτελεσματικότητα και</w:t>
      </w:r>
      <w:r w:rsidRPr="00F54B01">
        <w:rPr>
          <w:rFonts w:cs="Times New Roman"/>
          <w:spacing w:val="-6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ασφάλεια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απόδειξη των θετικών επιδράσεων </w:t>
      </w:r>
      <w:r w:rsidR="00422066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 xml:space="preserve"> σε αντιρροπούμενη και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μη αντιρροπούμενη ηπατική νόσο βασίζεται σε ιολογικές, βιοχημικές και ορολογικές ανταποκρίσεις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σε ενήλικες με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θετική ή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αρνητική χρόνια ηπατίτιδα </w:t>
      </w:r>
      <w:r w:rsidRPr="00F54B01">
        <w:rPr>
          <w:rFonts w:cs="Times New Roman"/>
        </w:rPr>
        <w:t>B</w:t>
      </w:r>
      <w:r w:rsidRPr="00F54B01">
        <w:rPr>
          <w:rFonts w:cs="Times New Roman"/>
          <w:lang w:val="el-GR"/>
        </w:rPr>
        <w:t xml:space="preserve"> με αντιρροπούμενη ηπατική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νόσο. Οι υπό θεραπεία ασθενείς περιελάμβαναν αυτούς που ήταν πρωτοθεραπευόμενοι, που είχαν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λάβει αγωγή με </w:t>
      </w:r>
      <w:r w:rsidR="00643ECB" w:rsidRPr="00FB72E2">
        <w:rPr>
          <w:rFonts w:cs="Times New Roman"/>
          <w:lang w:val="el-GR"/>
        </w:rPr>
        <w:t>λαμιβουδίνη</w:t>
      </w:r>
      <w:r w:rsidRPr="00F54B01">
        <w:rPr>
          <w:rFonts w:cs="Times New Roman"/>
          <w:lang w:val="el-GR"/>
        </w:rPr>
        <w:t xml:space="preserve">, αγωγή με </w:t>
      </w:r>
      <w:r w:rsidR="00AA45B9" w:rsidRPr="00AA45B9">
        <w:rPr>
          <w:rFonts w:cs="Times New Roman"/>
          <w:lang w:val="el-GR"/>
        </w:rPr>
        <w:t>αδεφοβίρη διπιβοξίλη</w:t>
      </w:r>
      <w:r w:rsidRPr="00F54B01">
        <w:rPr>
          <w:rFonts w:cs="Times New Roman"/>
          <w:lang w:val="el-GR"/>
        </w:rPr>
        <w:t xml:space="preserve"> και ασθενείς με μεταλλάξεις που σχετίζονται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αντοχή </w:t>
      </w:r>
      <w:r w:rsidR="00422066" w:rsidRPr="00F54B01">
        <w:rPr>
          <w:rFonts w:cs="Times New Roman"/>
          <w:lang w:val="el-GR"/>
        </w:rPr>
        <w:t>στ</w:t>
      </w:r>
      <w:r w:rsidR="00BE0882">
        <w:rPr>
          <w:rFonts w:cs="Times New Roman"/>
          <w:lang w:val="el-GR"/>
        </w:rPr>
        <w:t>η</w:t>
      </w:r>
      <w:r w:rsidR="00422066" w:rsidRPr="00F54B01">
        <w:rPr>
          <w:rFonts w:cs="Times New Roman"/>
          <w:lang w:val="el-GR"/>
        </w:rPr>
        <w:t xml:space="preserve"> </w:t>
      </w:r>
      <w:r w:rsidR="00643ECB" w:rsidRPr="00FB72E2">
        <w:rPr>
          <w:rFonts w:cs="Times New Roman"/>
          <w:lang w:val="el-GR"/>
        </w:rPr>
        <w:t>λαμιβουδίνη</w:t>
      </w:r>
      <w:r w:rsidR="00422066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και/ή αντοχή στ</w:t>
      </w:r>
      <w:r w:rsidR="00BE0882">
        <w:rPr>
          <w:rFonts w:cs="Times New Roman"/>
          <w:lang w:val="el-GR"/>
        </w:rPr>
        <w:t>ην</w:t>
      </w:r>
      <w:r w:rsidRPr="00F54B01">
        <w:rPr>
          <w:rFonts w:cs="Times New Roman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αδεφοβίρη διπιβοξίλη</w:t>
      </w:r>
      <w:r w:rsidRPr="00F54B01">
        <w:rPr>
          <w:rFonts w:cs="Times New Roman"/>
          <w:lang w:val="el-GR"/>
        </w:rPr>
        <w:t xml:space="preserve"> κατά την έναρξη της θεραπείας.</w:t>
      </w:r>
      <w:r w:rsidRPr="00F54B01">
        <w:rPr>
          <w:rFonts w:cs="Times New Roman"/>
          <w:spacing w:val="-30"/>
          <w:lang w:val="el-GR"/>
        </w:rPr>
        <w:t xml:space="preserve"> </w:t>
      </w:r>
      <w:r w:rsidRPr="00F54B01">
        <w:rPr>
          <w:rFonts w:cs="Times New Roman"/>
          <w:lang w:val="el-GR"/>
        </w:rPr>
        <w:t>Έχει αποδειχθεί όφελος με βάση τις ιστολογικές ανταποκρίσεις σε ασθενείς με αντιρροπούμενη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ηπατική νόσο.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Εμπειρία με ασθενείς με αντιρροπούμενη ηπατική νόσο κατά την 48η εβδομάδα</w:t>
      </w:r>
      <w:r w:rsidRPr="00F54B01">
        <w:rPr>
          <w:rFonts w:ascii="Times New Roman" w:hAnsi="Times New Roman" w:cs="Times New Roman"/>
          <w:i/>
          <w:spacing w:val="-11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 xml:space="preserve">(μελέτες </w:t>
      </w:r>
      <w:r w:rsidRPr="00F54B01">
        <w:rPr>
          <w:rFonts w:ascii="Times New Roman" w:hAnsi="Times New Roman" w:cs="Times New Roman"/>
          <w:i/>
        </w:rPr>
        <w:t>GS</w:t>
      </w:r>
      <w:r w:rsidRPr="00F54B01">
        <w:rPr>
          <w:rFonts w:ascii="Times New Roman" w:hAnsi="Times New Roman" w:cs="Times New Roman"/>
          <w:i/>
          <w:lang w:val="el-GR"/>
        </w:rPr>
        <w:t>-</w:t>
      </w:r>
      <w:r w:rsidRPr="00F54B01">
        <w:rPr>
          <w:rFonts w:ascii="Times New Roman" w:hAnsi="Times New Roman" w:cs="Times New Roman"/>
          <w:i/>
        </w:rPr>
        <w:t>US</w:t>
      </w:r>
      <w:r w:rsidRPr="00F54B01">
        <w:rPr>
          <w:rFonts w:ascii="Times New Roman" w:hAnsi="Times New Roman" w:cs="Times New Roman"/>
          <w:i/>
          <w:lang w:val="el-GR"/>
        </w:rPr>
        <w:t>-174-0102 και</w:t>
      </w:r>
      <w:r w:rsidRPr="00F54B01">
        <w:rPr>
          <w:rFonts w:ascii="Times New Roman" w:hAnsi="Times New Roman" w:cs="Times New Roman"/>
          <w:i/>
          <w:spacing w:val="-7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GS</w:t>
      </w:r>
      <w:r w:rsidRPr="00F54B01">
        <w:rPr>
          <w:rFonts w:ascii="Times New Roman" w:hAnsi="Times New Roman" w:cs="Times New Roman"/>
          <w:i/>
          <w:lang w:val="el-GR"/>
        </w:rPr>
        <w:t>-</w:t>
      </w:r>
      <w:r w:rsidRPr="00F54B01">
        <w:rPr>
          <w:rFonts w:ascii="Times New Roman" w:hAnsi="Times New Roman" w:cs="Times New Roman"/>
          <w:i/>
        </w:rPr>
        <w:t>US</w:t>
      </w:r>
      <w:r w:rsidRPr="00F54B01">
        <w:rPr>
          <w:rFonts w:ascii="Times New Roman" w:hAnsi="Times New Roman" w:cs="Times New Roman"/>
          <w:i/>
          <w:lang w:val="el-GR"/>
        </w:rPr>
        <w:t>-174-0103)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Τα αποτελέσματα 48 εβδομάδων από δύο τυχαιοποιημένες, διπλές τυφλές μελέτες φάσης 3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που σύγκριναν </w:t>
      </w:r>
      <w:r w:rsidR="00422066" w:rsidRPr="00F54B01">
        <w:rPr>
          <w:rFonts w:cs="Times New Roman"/>
          <w:lang w:val="el-GR"/>
        </w:rPr>
        <w:t>τ</w:t>
      </w:r>
      <w:r w:rsidR="00422066">
        <w:rPr>
          <w:rFonts w:cs="Times New Roman"/>
          <w:lang w:val="el-GR"/>
        </w:rPr>
        <w:t>ην</w:t>
      </w:r>
      <w:r w:rsidR="00422066" w:rsidRPr="00F54B01">
        <w:rPr>
          <w:rFonts w:cs="Times New Roman"/>
          <w:lang w:val="el-GR"/>
        </w:rPr>
        <w:t xml:space="preserve"> </w:t>
      </w:r>
      <w:r w:rsidR="00422066">
        <w:rPr>
          <w:rFonts w:cs="Times New Roman"/>
          <w:lang w:val="el-GR"/>
        </w:rPr>
        <w:t>τενοφοβίρη δισοπρόξιλη</w:t>
      </w:r>
      <w:r w:rsidR="00422066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με τ</w:t>
      </w:r>
      <w:r w:rsidR="00B807B9">
        <w:rPr>
          <w:rFonts w:cs="Times New Roman"/>
          <w:lang w:val="el-GR"/>
        </w:rPr>
        <w:t>ην</w:t>
      </w:r>
      <w:r w:rsidRPr="00F54B01">
        <w:rPr>
          <w:rFonts w:cs="Times New Roman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αδεφοβίρη διπιβοξίλη</w:t>
      </w:r>
      <w:r w:rsidRPr="00F54B01">
        <w:rPr>
          <w:rFonts w:cs="Times New Roman"/>
          <w:lang w:val="el-GR"/>
        </w:rPr>
        <w:t xml:space="preserve"> σε ενήλικες ασθενείς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με αντιρροπούμενη ηπατική νόσο παρουσιάζονται στον Πίνακα 3 παρακάτω. Η μελέτη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-174-0103 διενεργήθηκε σε 266 (τυχαιοποιημένους και υπό θεραπεία)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θετικούς ασθενείς, ενώ η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-174-0102 διενεργήθηκε σε 375 (τυχαιοποιημένους και υπό θεραπεία) ασθενείς αρνητικούς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για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και θετικούς για</w:t>
      </w:r>
      <w:r w:rsidRPr="00F54B01">
        <w:rPr>
          <w:rFonts w:cs="Times New Roman"/>
          <w:spacing w:val="-4"/>
          <w:lang w:val="el-GR"/>
        </w:rPr>
        <w:t xml:space="preserve"> </w:t>
      </w:r>
      <w:r w:rsidRPr="00F54B01">
        <w:rPr>
          <w:rFonts w:cs="Times New Roman"/>
        </w:rPr>
        <w:t>HBeAb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Και στις δύο αυτές μελέτες, </w:t>
      </w:r>
      <w:r w:rsidR="00422066">
        <w:rPr>
          <w:rFonts w:cs="Times New Roman"/>
          <w:lang w:val="el-GR"/>
        </w:rPr>
        <w:t xml:space="preserve"> </w:t>
      </w:r>
      <w:r w:rsidR="003C6E3B">
        <w:rPr>
          <w:rFonts w:cs="Times New Roman"/>
          <w:lang w:val="el-GR"/>
        </w:rPr>
        <w:t>η τενοφοβίρη</w:t>
      </w:r>
      <w:r w:rsidR="00422066">
        <w:rPr>
          <w:rFonts w:cs="Times New Roman"/>
          <w:lang w:val="el-GR"/>
        </w:rPr>
        <w:t xml:space="preserve"> δισοπρόξιλη</w:t>
      </w:r>
      <w:r w:rsidRPr="00F54B01">
        <w:rPr>
          <w:rFonts w:cs="Times New Roman"/>
          <w:lang w:val="el-GR"/>
        </w:rPr>
        <w:t xml:space="preserve"> ήταν σημαντικά </w:t>
      </w:r>
      <w:r w:rsidR="00422066" w:rsidRPr="00F54B01">
        <w:rPr>
          <w:rFonts w:cs="Times New Roman"/>
          <w:lang w:val="el-GR"/>
        </w:rPr>
        <w:t>ανώτερ</w:t>
      </w:r>
      <w:r w:rsidR="00422066">
        <w:rPr>
          <w:rFonts w:cs="Times New Roman"/>
          <w:lang w:val="el-GR"/>
        </w:rPr>
        <w:t>η</w:t>
      </w:r>
      <w:r w:rsidR="00422066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σε σχέση με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τ</w:t>
      </w:r>
      <w:r w:rsidR="00BE0882">
        <w:rPr>
          <w:rFonts w:cs="Times New Roman"/>
          <w:lang w:val="el-GR"/>
        </w:rPr>
        <w:t>ην</w:t>
      </w:r>
      <w:r w:rsidRPr="00F54B01">
        <w:rPr>
          <w:rFonts w:cs="Times New Roman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αδεφοβίρη διπιβοξίλη</w:t>
      </w:r>
      <w:r w:rsidRPr="00F54B01">
        <w:rPr>
          <w:rFonts w:cs="Times New Roman"/>
          <w:lang w:val="el-GR"/>
        </w:rPr>
        <w:t xml:space="preserve"> για το πρωτογενές καταληκτικό σημείο πλήρους ανταπόκρισης (καθοριζόμενο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ως επίπεδα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="00BE0882">
        <w:rPr>
          <w:rFonts w:cs="Times New Roman"/>
          <w:lang w:val="el-GR"/>
        </w:rPr>
        <w:t xml:space="preserve"> &lt;</w:t>
      </w:r>
      <w:r w:rsidRPr="00F54B01">
        <w:rPr>
          <w:rFonts w:cs="Times New Roman"/>
          <w:lang w:val="el-GR"/>
        </w:rPr>
        <w:t>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και βελτίωση στην κλίμακα </w:t>
      </w:r>
      <w:r w:rsidRPr="00F54B01">
        <w:rPr>
          <w:rFonts w:cs="Times New Roman"/>
        </w:rPr>
        <w:t>Knodell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φλεγμονής-νέκρωσης τουλάχιστον 2 σημείων χωρίς επιδείνωση στην κλίμακα ίνωσης </w:t>
      </w:r>
      <w:r w:rsidRPr="00F54B01">
        <w:rPr>
          <w:rFonts w:cs="Times New Roman"/>
        </w:rPr>
        <w:t>Knodell</w:t>
      </w:r>
      <w:r w:rsidRPr="00F54B01">
        <w:rPr>
          <w:rFonts w:cs="Times New Roman"/>
          <w:lang w:val="el-GR"/>
        </w:rPr>
        <w:t>). Η θεραπεία με</w:t>
      </w:r>
      <w:r w:rsidRPr="00F54B01">
        <w:rPr>
          <w:rFonts w:cs="Times New Roman"/>
          <w:spacing w:val="-21"/>
          <w:lang w:val="el-GR"/>
        </w:rPr>
        <w:t xml:space="preserve"> </w:t>
      </w:r>
      <w:r w:rsidR="00422066">
        <w:rPr>
          <w:rFonts w:cs="Times New Roman"/>
          <w:lang w:val="el-GR"/>
        </w:rPr>
        <w:t>τενοφοβίρη δισοπρόξιλη</w:t>
      </w:r>
      <w:r w:rsidR="00422066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συσχετίστηκε επίσης με σημαντικά υψηλότερες αναλογίες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ασθενών με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="00BE0882">
        <w:rPr>
          <w:rFonts w:cs="Times New Roman"/>
          <w:lang w:val="el-GR"/>
        </w:rPr>
        <w:t xml:space="preserve"> &lt;</w:t>
      </w:r>
      <w:r w:rsidRPr="00F54B01">
        <w:rPr>
          <w:rFonts w:cs="Times New Roman"/>
          <w:lang w:val="el-GR"/>
        </w:rPr>
        <w:t>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σε σύγκριση με τη θεραπεία με </w:t>
      </w:r>
      <w:r w:rsidR="00AA45B9" w:rsidRPr="00AA45B9">
        <w:rPr>
          <w:rFonts w:cs="Times New Roman"/>
          <w:lang w:val="el-GR"/>
        </w:rPr>
        <w:t>αδεφοβίρη διπιβοξίλη</w:t>
      </w:r>
      <w:r w:rsidRPr="00F54B01">
        <w:rPr>
          <w:rFonts w:cs="Times New Roman"/>
          <w:lang w:val="el-GR"/>
        </w:rPr>
        <w:t xml:space="preserve"> 10 </w:t>
      </w:r>
      <w:r w:rsidRPr="00F54B01">
        <w:rPr>
          <w:rFonts w:cs="Times New Roman"/>
          <w:spacing w:val="-3"/>
        </w:rPr>
        <w:t>mg</w:t>
      </w:r>
      <w:r w:rsidRPr="00F54B01">
        <w:rPr>
          <w:rFonts w:cs="Times New Roman"/>
          <w:spacing w:val="-3"/>
          <w:lang w:val="el-GR"/>
        </w:rPr>
        <w:t xml:space="preserve">. </w:t>
      </w:r>
      <w:r w:rsidRPr="00F54B01">
        <w:rPr>
          <w:rFonts w:cs="Times New Roman"/>
          <w:lang w:val="el-GR"/>
        </w:rPr>
        <w:t>Και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>οι δύο θεραπείες παρείχαν παρόμοια αποτελέσματα όσον αφορά την ιστολογική</w:t>
      </w:r>
      <w:r w:rsidRPr="00F54B01">
        <w:rPr>
          <w:rFonts w:cs="Times New Roman"/>
          <w:spacing w:val="-1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ανταπόκριση (καθοριζόμενη ως βελτίωση στην κλίμακα </w:t>
      </w:r>
      <w:r w:rsidRPr="00F54B01">
        <w:rPr>
          <w:rFonts w:cs="Times New Roman"/>
        </w:rPr>
        <w:t>Knodell</w:t>
      </w:r>
      <w:r w:rsidRPr="00F54B01">
        <w:rPr>
          <w:rFonts w:cs="Times New Roman"/>
          <w:lang w:val="el-GR"/>
        </w:rPr>
        <w:t xml:space="preserve"> φλεγμονής-νέκρωσης τουλάχιστον 2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σημείων χωρίς επιδείνωση στην κλίμακα ίνωσης </w:t>
      </w:r>
      <w:r w:rsidRPr="00F54B01">
        <w:rPr>
          <w:rFonts w:cs="Times New Roman"/>
        </w:rPr>
        <w:t>Knodell</w:t>
      </w:r>
      <w:r w:rsidRPr="00F54B01">
        <w:rPr>
          <w:rFonts w:cs="Times New Roman"/>
          <w:lang w:val="el-GR"/>
        </w:rPr>
        <w:t>) κατά την 48</w:t>
      </w:r>
      <w:r w:rsidRPr="00F54B01">
        <w:rPr>
          <w:rFonts w:cs="Times New Roman"/>
          <w:position w:val="10"/>
          <w:sz w:val="14"/>
          <w:lang w:val="el-GR"/>
        </w:rPr>
        <w:t xml:space="preserve">η  </w:t>
      </w:r>
      <w:r w:rsidRPr="00F54B01">
        <w:rPr>
          <w:rFonts w:cs="Times New Roman"/>
          <w:lang w:val="el-GR"/>
        </w:rPr>
        <w:t>εβδομάδα (βλέπε Πίνακα 3</w:t>
      </w:r>
      <w:r w:rsidRPr="00F54B01">
        <w:rPr>
          <w:rFonts w:cs="Times New Roman"/>
          <w:spacing w:val="-37"/>
          <w:lang w:val="el-GR"/>
        </w:rPr>
        <w:t xml:space="preserve"> </w:t>
      </w:r>
      <w:r w:rsidRPr="00F54B01">
        <w:rPr>
          <w:rFonts w:cs="Times New Roman"/>
          <w:lang w:val="el-GR"/>
        </w:rPr>
        <w:t>παρακάτω).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Στη 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-174-0103 σε μια σημαντικά υψηλότερη αναλογία ασθενών στην </w:t>
      </w:r>
      <w:r w:rsidR="003C6E3B">
        <w:rPr>
          <w:rFonts w:cs="Times New Roman"/>
          <w:lang w:val="el-GR"/>
        </w:rPr>
        <w:t>τενοφοβίρη</w:t>
      </w:r>
      <w:r w:rsidR="00422066">
        <w:rPr>
          <w:rFonts w:cs="Times New Roman"/>
          <w:lang w:val="el-GR"/>
        </w:rPr>
        <w:t xml:space="preserve"> δισοπρόξιλη</w:t>
      </w:r>
      <w:r w:rsidRPr="00F54B01">
        <w:rPr>
          <w:rFonts w:cs="Times New Roman"/>
          <w:lang w:val="el-GR"/>
        </w:rPr>
        <w:t xml:space="preserve"> από εκείνη στην ομάδα </w:t>
      </w:r>
      <w:r w:rsidR="00AA45B9" w:rsidRPr="00AA45B9">
        <w:rPr>
          <w:rFonts w:cs="Times New Roman"/>
          <w:lang w:val="el-GR"/>
        </w:rPr>
        <w:t>αδεφοβίρη</w:t>
      </w:r>
      <w:r w:rsidR="00BE0882">
        <w:rPr>
          <w:rFonts w:cs="Times New Roman"/>
          <w:lang w:val="el-GR"/>
        </w:rPr>
        <w:t>ς</w:t>
      </w:r>
      <w:r w:rsidR="00AA45B9" w:rsidRPr="00AA45B9">
        <w:rPr>
          <w:rFonts w:cs="Times New Roman"/>
          <w:lang w:val="el-GR"/>
        </w:rPr>
        <w:t xml:space="preserve"> διπιβοξίλη</w:t>
      </w:r>
      <w:r w:rsidR="00BE0882">
        <w:rPr>
          <w:rFonts w:cs="Times New Roman"/>
          <w:lang w:val="el-GR"/>
        </w:rPr>
        <w:t xml:space="preserve">ς </w:t>
      </w:r>
      <w:r w:rsidRPr="00F54B01">
        <w:rPr>
          <w:rFonts w:cs="Times New Roman"/>
          <w:lang w:val="el-GR"/>
        </w:rPr>
        <w:t>εμφανίστηκε ομαλοποιημένη η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και επετεύχθη αρνητικοποίηση του </w:t>
      </w:r>
      <w:r w:rsidRPr="00F54B01">
        <w:rPr>
          <w:rFonts w:cs="Times New Roman"/>
        </w:rPr>
        <w:t>HBsAg</w:t>
      </w:r>
      <w:r w:rsidRPr="00F54B01">
        <w:rPr>
          <w:rFonts w:cs="Times New Roman"/>
          <w:lang w:val="el-GR"/>
        </w:rPr>
        <w:t xml:space="preserve"> κατά την 48</w:t>
      </w:r>
      <w:r w:rsidRPr="00F54B01">
        <w:rPr>
          <w:rFonts w:cs="Times New Roman"/>
          <w:position w:val="10"/>
          <w:sz w:val="14"/>
          <w:lang w:val="el-GR"/>
        </w:rPr>
        <w:t xml:space="preserve">η  </w:t>
      </w:r>
      <w:r w:rsidRPr="00F54B01">
        <w:rPr>
          <w:rFonts w:cs="Times New Roman"/>
          <w:lang w:val="el-GR"/>
        </w:rPr>
        <w:t>εβδομάδα (βλέπε Πίνακα 3</w:t>
      </w:r>
      <w:r w:rsidRPr="00F54B01">
        <w:rPr>
          <w:rFonts w:cs="Times New Roman"/>
          <w:spacing w:val="-31"/>
          <w:lang w:val="el-GR"/>
        </w:rPr>
        <w:t xml:space="preserve"> </w:t>
      </w:r>
      <w:r w:rsidRPr="00F54B01">
        <w:rPr>
          <w:rFonts w:cs="Times New Roman"/>
          <w:lang w:val="el-GR"/>
        </w:rPr>
        <w:t>παρακάτω).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ind w:left="0" w:firstLine="0"/>
        <w:rPr>
          <w:rFonts w:cs="Times New Roman"/>
          <w:b w:val="0"/>
          <w:bCs w:val="0"/>
          <w:lang w:val="el-GR"/>
        </w:rPr>
      </w:pPr>
      <w:r w:rsidRPr="00F54B01">
        <w:rPr>
          <w:rFonts w:cs="Times New Roman"/>
          <w:lang w:val="el-GR"/>
        </w:rPr>
        <w:t xml:space="preserve">Πίνακας 3: Παράμετροι αποτελεσματικότητας σε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αρνητικούς και </w:t>
      </w:r>
      <w:r w:rsidRPr="00F54B01">
        <w:rPr>
          <w:rFonts w:cs="Times New Roman"/>
        </w:rPr>
        <w:t>HBeAg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θετικούς ασθενείς με αντιρροπούμενη νόσο κατά την 48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spacing w:val="14"/>
          <w:position w:val="10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εβδομάδα</w:t>
      </w:r>
    </w:p>
    <w:tbl>
      <w:tblPr>
        <w:tblW w:w="927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826"/>
        <w:gridCol w:w="1717"/>
        <w:gridCol w:w="1777"/>
        <w:gridCol w:w="1718"/>
      </w:tblGrid>
      <w:tr w:rsidR="009D104A" w:rsidRPr="00F54B01" w:rsidTr="008809ED">
        <w:trPr>
          <w:trHeight w:hRule="exact" w:val="2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D104A" w:rsidRPr="00F54B01" w:rsidRDefault="009D104A" w:rsidP="009A7039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Μελέτη 174-0102 (HBeAg</w:t>
            </w:r>
            <w:r w:rsidRPr="00F54B01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αρνητικό)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Μελέτη 174-0103 (HBeAg</w:t>
            </w:r>
            <w:r w:rsidRPr="00F54B01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θετικό)</w:t>
            </w:r>
          </w:p>
        </w:tc>
      </w:tr>
      <w:tr w:rsidR="009D104A" w:rsidRPr="00F54B01" w:rsidTr="008809ED">
        <w:trPr>
          <w:trHeight w:hRule="exact" w:val="112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Παράμετρος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104A" w:rsidRPr="00F54B01" w:rsidRDefault="00422066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el-GR"/>
              </w:rPr>
              <w:t>Τ</w:t>
            </w:r>
            <w:r w:rsidRPr="00422066">
              <w:rPr>
                <w:rFonts w:ascii="Times New Roman" w:hAnsi="Times New Roman" w:cs="Times New Roman"/>
                <w:sz w:val="20"/>
                <w:lang w:val="el-GR"/>
              </w:rPr>
              <w:t>ενοφοβίρη</w:t>
            </w:r>
            <w:r w:rsidRPr="008809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2066">
              <w:rPr>
                <w:rFonts w:ascii="Times New Roman" w:hAnsi="Times New Roman" w:cs="Times New Roman"/>
                <w:sz w:val="20"/>
                <w:lang w:val="el-GR"/>
              </w:rPr>
              <w:t>δισοπρόξιλη</w:t>
            </w:r>
            <w:r w:rsidRPr="008809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245</w:t>
            </w:r>
            <w:r w:rsidR="00302B89" w:rsidRPr="00F54B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n =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104A" w:rsidRPr="00F54B01" w:rsidRDefault="00AA45B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Αδεφοβίρη διπιβοξίλη</w:t>
            </w:r>
            <w:r w:rsidR="00302B89"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10</w:t>
            </w:r>
            <w:r w:rsidR="00302B89" w:rsidRPr="00F54B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n =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104A" w:rsidRPr="00F54B01" w:rsidRDefault="00422066" w:rsidP="009A7039">
            <w:pPr>
              <w:pStyle w:val="TableParagraph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el-GR"/>
              </w:rPr>
              <w:t>Τ</w:t>
            </w:r>
            <w:r w:rsidRPr="00422066">
              <w:rPr>
                <w:rFonts w:ascii="Times New Roman" w:hAnsi="Times New Roman" w:cs="Times New Roman"/>
                <w:sz w:val="20"/>
                <w:lang w:val="el-GR"/>
              </w:rPr>
              <w:t>ενοφοβίρη</w:t>
            </w:r>
            <w:r w:rsidRPr="009472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2066">
              <w:rPr>
                <w:rFonts w:ascii="Times New Roman" w:hAnsi="Times New Roman" w:cs="Times New Roman"/>
                <w:sz w:val="20"/>
                <w:lang w:val="el-GR"/>
              </w:rPr>
              <w:t>δισοπρόξιλη</w:t>
            </w:r>
            <w:r w:rsidRPr="0094722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245</w:t>
            </w:r>
            <w:r w:rsidR="00302B89" w:rsidRPr="00F54B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n =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AA45B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Αδεφοβίρη διπιβοξίλη</w:t>
            </w:r>
            <w:r w:rsidR="00302B89"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10</w:t>
            </w:r>
            <w:r w:rsidR="00302B89" w:rsidRPr="00F54B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n =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9D104A" w:rsidRPr="00F54B01" w:rsidTr="008809ED">
        <w:trPr>
          <w:trHeight w:hRule="exact" w:val="473"/>
        </w:trPr>
        <w:tc>
          <w:tcPr>
            <w:tcW w:w="2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Πλήρης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ανταπόκριση</w:t>
            </w:r>
            <w:r w:rsidRPr="00F54B01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a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71*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67*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104A" w:rsidRPr="00F54B01" w:rsidTr="008809ED">
        <w:trPr>
          <w:trHeight w:hRule="exact" w:val="24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Ιστολογία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9D104A" w:rsidRPr="00F54B01" w:rsidTr="008809ED">
        <w:trPr>
          <w:trHeight w:hRule="exact" w:val="45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Ιστολογική</w:t>
            </w:r>
            <w:r w:rsidRPr="00F54B0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ανταπόκριση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b</w:t>
            </w:r>
          </w:p>
        </w:tc>
        <w:tc>
          <w:tcPr>
            <w:tcW w:w="182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04A" w:rsidRPr="00F54B01" w:rsidRDefault="009D104A" w:rsidP="009A7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04A" w:rsidRPr="00F54B01" w:rsidRDefault="009D104A" w:rsidP="009A7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04A" w:rsidRPr="00F54B01" w:rsidRDefault="009D104A" w:rsidP="009A7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rPr>
                <w:rFonts w:ascii="Times New Roman" w:hAnsi="Times New Roman" w:cs="Times New Roman"/>
              </w:rPr>
            </w:pPr>
          </w:p>
        </w:tc>
      </w:tr>
      <w:tr w:rsidR="009D104A" w:rsidRPr="00F54B01" w:rsidTr="008809ED">
        <w:trPr>
          <w:trHeight w:hRule="exact" w:val="93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el-GR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lastRenderedPageBreak/>
              <w:t>Διάμεση</w:t>
            </w:r>
            <w:r w:rsidRPr="00F54B01">
              <w:rPr>
                <w:rFonts w:ascii="Times New Roman" w:hAnsi="Times New Roman" w:cs="Times New Roman"/>
                <w:b/>
                <w:spacing w:val="-2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μείωση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HBV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DNA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 xml:space="preserve"> από</w:t>
            </w:r>
            <w:r w:rsidRPr="00F54B01">
              <w:rPr>
                <w:rFonts w:ascii="Times New Roman" w:hAnsi="Times New Roman" w:cs="Times New Roman"/>
                <w:b/>
                <w:spacing w:val="-8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την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έναρξη</w:t>
            </w:r>
            <w:r w:rsidRPr="00F54B01">
              <w:rPr>
                <w:rFonts w:ascii="Times New Roman" w:hAnsi="Times New Roman" w:cs="Times New Roman"/>
                <w:position w:val="8"/>
                <w:sz w:val="12"/>
              </w:rPr>
              <w:t>c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(log</w:t>
            </w:r>
            <w:r w:rsidRPr="00F54B01">
              <w:rPr>
                <w:rFonts w:ascii="Times New Roman" w:hAnsi="Times New Roman" w:cs="Times New Roman"/>
                <w:position w:val="-2"/>
                <w:sz w:val="13"/>
              </w:rPr>
              <w:t>10</w:t>
            </w:r>
            <w:r w:rsidRPr="00F54B01">
              <w:rPr>
                <w:rFonts w:ascii="Times New Roman" w:hAnsi="Times New Roman" w:cs="Times New Roman"/>
                <w:spacing w:val="7"/>
                <w:position w:val="-2"/>
                <w:sz w:val="13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αντίγραφα/ml)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-4,7*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-4,0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-6,4*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-3,7</w:t>
            </w:r>
          </w:p>
        </w:tc>
      </w:tr>
      <w:tr w:rsidR="009D104A" w:rsidRPr="00F54B01" w:rsidTr="008809ED">
        <w:trPr>
          <w:trHeight w:hRule="exact" w:val="70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HBV DNA</w:t>
            </w:r>
            <w:r w:rsidRPr="00F54B0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&lt; 400</w:t>
            </w:r>
            <w:r w:rsidRPr="00F54B0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αντίγραφα/ml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(&lt; 69</w:t>
            </w:r>
            <w:r w:rsidRPr="00F54B0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IU/ml)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93*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76*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104A" w:rsidRPr="00F54B01" w:rsidTr="008809ED">
        <w:trPr>
          <w:trHeight w:hRule="exact" w:val="46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ALT</w:t>
            </w:r>
            <w:r w:rsidRPr="00F54B01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Ομαλοποιημένη</w:t>
            </w:r>
            <w:r w:rsidRPr="00F54B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ALT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d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68*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  <w:tr w:rsidR="009D104A" w:rsidRPr="00F54B01" w:rsidTr="008809ED">
        <w:trPr>
          <w:trHeight w:hRule="exact" w:val="703"/>
        </w:trPr>
        <w:tc>
          <w:tcPr>
            <w:tcW w:w="223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Ορολογία</w:t>
            </w:r>
            <w:r w:rsidRPr="00F54B0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HBeAg</w:t>
            </w:r>
            <w:r w:rsidRPr="00F54B0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αρνητικοποίηση/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ορομετατροπή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εφαρμόζεται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εφαρμόζεται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22/21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18/18</w:t>
            </w:r>
          </w:p>
        </w:tc>
      </w:tr>
      <w:tr w:rsidR="009D104A" w:rsidRPr="00F54B01" w:rsidTr="008809ED">
        <w:trPr>
          <w:trHeight w:hRule="exact" w:val="461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HBsAg</w:t>
            </w:r>
            <w:r w:rsidRPr="00F54B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αρνητικοποίηση/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ορομετατροπή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3*/1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</w:p>
        </w:tc>
      </w:tr>
    </w:tbl>
    <w:p w:rsidR="009D104A" w:rsidRPr="00AA45B9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AA45B9">
        <w:rPr>
          <w:rFonts w:ascii="Times New Roman" w:hAnsi="Times New Roman" w:cs="Times New Roman"/>
          <w:sz w:val="18"/>
          <w:lang w:val="el-GR"/>
        </w:rPr>
        <w:t xml:space="preserve">* Τιμή </w:t>
      </w:r>
      <w:r w:rsidRPr="00F54B01">
        <w:rPr>
          <w:rFonts w:ascii="Times New Roman" w:hAnsi="Times New Roman" w:cs="Times New Roman"/>
          <w:sz w:val="18"/>
        </w:rPr>
        <w:t>p</w:t>
      </w:r>
      <w:r w:rsidRPr="00AA45B9">
        <w:rPr>
          <w:rFonts w:ascii="Times New Roman" w:hAnsi="Times New Roman" w:cs="Times New Roman"/>
          <w:sz w:val="18"/>
          <w:lang w:val="el-GR"/>
        </w:rPr>
        <w:t xml:space="preserve"> έναντι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</w:t>
      </w:r>
      <w:r w:rsidR="00BE0882">
        <w:rPr>
          <w:rFonts w:ascii="Times New Roman" w:hAnsi="Times New Roman" w:cs="Times New Roman"/>
          <w:sz w:val="18"/>
          <w:lang w:val="el-GR"/>
        </w:rPr>
        <w:t>ς</w:t>
      </w:r>
      <w:r w:rsidR="00AA45B9" w:rsidRPr="00AA45B9">
        <w:rPr>
          <w:rFonts w:ascii="Times New Roman" w:hAnsi="Times New Roman" w:cs="Times New Roman"/>
          <w:sz w:val="18"/>
          <w:lang w:val="el-GR"/>
        </w:rPr>
        <w:t xml:space="preserve"> διπιβοξίλη</w:t>
      </w:r>
      <w:r w:rsidR="00BE0882">
        <w:rPr>
          <w:rFonts w:ascii="Times New Roman" w:hAnsi="Times New Roman" w:cs="Times New Roman"/>
          <w:sz w:val="18"/>
          <w:lang w:val="el-GR"/>
        </w:rPr>
        <w:t>ς</w:t>
      </w:r>
      <w:r w:rsidRPr="00AA45B9">
        <w:rPr>
          <w:rFonts w:ascii="Times New Roman" w:hAnsi="Times New Roman" w:cs="Times New Roman"/>
          <w:sz w:val="18"/>
          <w:lang w:val="el-GR"/>
        </w:rPr>
        <w:t xml:space="preserve"> &lt;</w:t>
      </w:r>
      <w:r w:rsidRPr="00AA45B9">
        <w:rPr>
          <w:rFonts w:ascii="Times New Roman" w:hAnsi="Times New Roman" w:cs="Times New Roman"/>
          <w:spacing w:val="-6"/>
          <w:sz w:val="18"/>
          <w:lang w:val="el-GR"/>
        </w:rPr>
        <w:t xml:space="preserve"> </w:t>
      </w:r>
      <w:r w:rsidRPr="00AA45B9">
        <w:rPr>
          <w:rFonts w:ascii="Times New Roman" w:hAnsi="Times New Roman" w:cs="Times New Roman"/>
          <w:sz w:val="18"/>
          <w:lang w:val="el-GR"/>
        </w:rPr>
        <w:t>0,05.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a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Πλήρης ανταπόκριση καθοριζόμενη ως επίπεδα </w:t>
      </w:r>
      <w:r w:rsidRPr="00F54B01">
        <w:rPr>
          <w:rFonts w:ascii="Times New Roman" w:hAnsi="Times New Roman" w:cs="Times New Roman"/>
          <w:sz w:val="18"/>
        </w:rPr>
        <w:t>HBV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DNA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&lt; 400 αντίγραφα/</w:t>
      </w:r>
      <w:r w:rsidRPr="00F54B01">
        <w:rPr>
          <w:rFonts w:ascii="Times New Roman" w:hAnsi="Times New Roman" w:cs="Times New Roman"/>
          <w:sz w:val="18"/>
        </w:rPr>
        <w:t>ml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και βελτίωση στην κλίμακα</w:t>
      </w:r>
      <w:r w:rsidRPr="00F54B01">
        <w:rPr>
          <w:rFonts w:ascii="Times New Roman" w:hAnsi="Times New Roman" w:cs="Times New Roman"/>
          <w:spacing w:val="-11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Knodell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φλεγμονής-νέκρωσης τουλάχιστον 2 σημείων χωρίς επιδείνωση στην κλίμακα ίνωσης</w:t>
      </w:r>
      <w:r w:rsidRPr="00F54B01">
        <w:rPr>
          <w:rFonts w:ascii="Times New Roman" w:hAnsi="Times New Roman" w:cs="Times New Roman"/>
          <w:spacing w:val="-2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Knodell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b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Βελτίωση στην κλίμακα </w:t>
      </w:r>
      <w:r w:rsidRPr="00F54B01">
        <w:rPr>
          <w:rFonts w:ascii="Times New Roman" w:hAnsi="Times New Roman" w:cs="Times New Roman"/>
          <w:sz w:val="18"/>
        </w:rPr>
        <w:t>Knodell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φλεγμονής-νέκρωσης τουλάχιστον 2 σημείων χωρίς επιδείνωση στην κλίμακα</w:t>
      </w:r>
      <w:r w:rsidRPr="00F54B01">
        <w:rPr>
          <w:rFonts w:ascii="Times New Roman" w:hAnsi="Times New Roman" w:cs="Times New Roman"/>
          <w:spacing w:val="-1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ίνωσης </w:t>
      </w:r>
      <w:r w:rsidRPr="00F54B01">
        <w:rPr>
          <w:rFonts w:ascii="Times New Roman" w:hAnsi="Times New Roman" w:cs="Times New Roman"/>
          <w:sz w:val="18"/>
        </w:rPr>
        <w:t>Knodell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c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Η διάμεση μεταβολή </w:t>
      </w:r>
      <w:r w:rsidRPr="00F54B01">
        <w:rPr>
          <w:rFonts w:ascii="Times New Roman" w:hAnsi="Times New Roman" w:cs="Times New Roman"/>
          <w:sz w:val="18"/>
        </w:rPr>
        <w:t>HBV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DNA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από την έναρξη αντικατοπτρίζει μόνο τη διαφορά μεταξύ του </w:t>
      </w:r>
      <w:r w:rsidRPr="00F54B01">
        <w:rPr>
          <w:rFonts w:ascii="Times New Roman" w:hAnsi="Times New Roman" w:cs="Times New Roman"/>
          <w:sz w:val="18"/>
        </w:rPr>
        <w:t>HBV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DNA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κατά την</w:t>
      </w:r>
      <w:r w:rsidRPr="00F54B01">
        <w:rPr>
          <w:rFonts w:ascii="Times New Roman" w:hAnsi="Times New Roman" w:cs="Times New Roman"/>
          <w:spacing w:val="-1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έναρξη και του ορίου ανίχνευσης (</w:t>
      </w:r>
      <w:r w:rsidRPr="00F54B01">
        <w:rPr>
          <w:rFonts w:ascii="Times New Roman" w:hAnsi="Times New Roman" w:cs="Times New Roman"/>
          <w:sz w:val="18"/>
        </w:rPr>
        <w:t>LOD</w:t>
      </w:r>
      <w:r w:rsidRPr="00F54B01">
        <w:rPr>
          <w:rFonts w:ascii="Times New Roman" w:hAnsi="Times New Roman" w:cs="Times New Roman"/>
          <w:sz w:val="18"/>
          <w:lang w:val="el-GR"/>
        </w:rPr>
        <w:t>) της</w:t>
      </w:r>
      <w:r w:rsidRPr="00F54B01">
        <w:rPr>
          <w:rFonts w:ascii="Times New Roman" w:hAnsi="Times New Roman" w:cs="Times New Roman"/>
          <w:spacing w:val="-16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ανάλυσης.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d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Ο πληθυσμός που χρησιμοποιήθηκε για την ανάλυση της ομαλοποίησης της </w:t>
      </w:r>
      <w:r w:rsidRPr="00F54B01">
        <w:rPr>
          <w:rFonts w:ascii="Times New Roman" w:hAnsi="Times New Roman" w:cs="Times New Roman"/>
          <w:sz w:val="18"/>
        </w:rPr>
        <w:t>ALT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συμπεριέλαβε μόνο ασθενείς με</w:t>
      </w:r>
      <w:r w:rsidRPr="00F54B01">
        <w:rPr>
          <w:rFonts w:ascii="Times New Roman" w:hAnsi="Times New Roman" w:cs="Times New Roman"/>
          <w:spacing w:val="-19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ALT</w:t>
      </w:r>
      <w:r w:rsidR="003B5364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πάνω από το ΑΦΟ κατά την</w:t>
      </w:r>
      <w:r w:rsidRPr="00F54B01">
        <w:rPr>
          <w:rFonts w:ascii="Times New Roman" w:hAnsi="Times New Roman" w:cs="Times New Roman"/>
          <w:spacing w:val="-10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έναρξη.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B5364" w:rsidP="009A7039">
      <w:pPr>
        <w:pStyle w:val="a3"/>
        <w:ind w:left="0"/>
        <w:rPr>
          <w:rFonts w:cs="Times New Roman"/>
          <w:lang w:val="el-GR"/>
        </w:rPr>
      </w:pPr>
      <w:r w:rsidRPr="00BE0882">
        <w:rPr>
          <w:rFonts w:cs="Times New Roman"/>
          <w:lang w:val="el-GR"/>
        </w:rPr>
        <w:t>Η τενοφοβίρη δισοπρόξιλη</w:t>
      </w:r>
      <w:r w:rsidR="00302B89" w:rsidRPr="00BE0882">
        <w:rPr>
          <w:rFonts w:cs="Times New Roman"/>
          <w:lang w:val="el-GR"/>
        </w:rPr>
        <w:t xml:space="preserve"> συσχετίστηκε</w:t>
      </w:r>
      <w:r w:rsidR="00302B89" w:rsidRPr="00F54B01">
        <w:rPr>
          <w:rFonts w:cs="Times New Roman"/>
          <w:lang w:val="el-GR"/>
        </w:rPr>
        <w:t xml:space="preserve"> με σημαντικά υψηλότερες αναλογίες ασθενών με</w:t>
      </w:r>
      <w:r w:rsidR="00302B89" w:rsidRPr="00F54B01">
        <w:rPr>
          <w:rFonts w:cs="Times New Roman"/>
          <w:spacing w:val="-29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μη ανιχνεύσιμο </w:t>
      </w:r>
      <w:r w:rsidR="00302B89" w:rsidRPr="00F54B01">
        <w:rPr>
          <w:rFonts w:cs="Times New Roman"/>
        </w:rPr>
        <w:t>HBV</w:t>
      </w:r>
      <w:r w:rsidR="00302B89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</w:rPr>
        <w:t>DNA</w:t>
      </w:r>
      <w:r w:rsidR="003C6E3B">
        <w:rPr>
          <w:rFonts w:cs="Times New Roman"/>
          <w:lang w:val="el-GR"/>
        </w:rPr>
        <w:t xml:space="preserve"> (&lt;</w:t>
      </w:r>
      <w:r w:rsidR="00302B89" w:rsidRPr="00F54B01">
        <w:rPr>
          <w:rFonts w:cs="Times New Roman"/>
          <w:lang w:val="el-GR"/>
        </w:rPr>
        <w:t>169 αντίγραφα/</w:t>
      </w:r>
      <w:r w:rsidR="00302B89" w:rsidRPr="00F54B01">
        <w:rPr>
          <w:rFonts w:cs="Times New Roman"/>
        </w:rPr>
        <w:t>ml</w:t>
      </w:r>
      <w:r w:rsidR="003C6E3B">
        <w:rPr>
          <w:rFonts w:cs="Times New Roman"/>
          <w:lang w:val="el-GR"/>
        </w:rPr>
        <w:t xml:space="preserve"> [&lt;</w:t>
      </w:r>
      <w:r w:rsidR="00302B89" w:rsidRPr="00F54B01">
        <w:rPr>
          <w:rFonts w:cs="Times New Roman"/>
          <w:lang w:val="el-GR"/>
        </w:rPr>
        <w:t xml:space="preserve">29 </w:t>
      </w:r>
      <w:r w:rsidR="00302B89" w:rsidRPr="00F54B01">
        <w:rPr>
          <w:rFonts w:cs="Times New Roman"/>
        </w:rPr>
        <w:t>IU</w:t>
      </w:r>
      <w:r w:rsidR="00302B89" w:rsidRPr="00F54B01">
        <w:rPr>
          <w:rFonts w:cs="Times New Roman"/>
          <w:lang w:val="el-GR"/>
        </w:rPr>
        <w:t>/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>], όριο της ποσοτικοποίησης της</w:t>
      </w:r>
      <w:r w:rsidR="00302B89" w:rsidRPr="00F54B01">
        <w:rPr>
          <w:rFonts w:cs="Times New Roman"/>
          <w:spacing w:val="-28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ανάλυσης </w:t>
      </w:r>
      <w:r w:rsidR="00302B89" w:rsidRPr="00F54B01">
        <w:rPr>
          <w:rFonts w:cs="Times New Roman"/>
        </w:rPr>
        <w:t>HBV</w:t>
      </w:r>
      <w:r w:rsidR="00302B89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</w:rPr>
        <w:t>Roche</w:t>
      </w:r>
      <w:r w:rsidR="00302B89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</w:rPr>
        <w:t>Cobas</w:t>
      </w:r>
      <w:r w:rsidR="00302B89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</w:rPr>
        <w:t>Taqman</w:t>
      </w:r>
      <w:r w:rsidR="00302B89" w:rsidRPr="00F54B01">
        <w:rPr>
          <w:rFonts w:cs="Times New Roman"/>
          <w:lang w:val="el-GR"/>
        </w:rPr>
        <w:t>), σε σύγκριση με τ</w:t>
      </w:r>
      <w:r w:rsidR="003E1789">
        <w:rPr>
          <w:rFonts w:cs="Times New Roman"/>
          <w:lang w:val="el-GR"/>
        </w:rPr>
        <w:t>ην</w:t>
      </w:r>
      <w:r w:rsidR="00302B89" w:rsidRPr="00F54B01">
        <w:rPr>
          <w:rFonts w:cs="Times New Roman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αδεφοβίρη διπιβοξίλη</w:t>
      </w:r>
      <w:r w:rsidR="00302B89" w:rsidRPr="00F54B01">
        <w:rPr>
          <w:rFonts w:cs="Times New Roman"/>
          <w:lang w:val="el-GR"/>
        </w:rPr>
        <w:t xml:space="preserve"> (μελέτη </w:t>
      </w:r>
      <w:r w:rsidR="00302B89" w:rsidRPr="00F54B01">
        <w:rPr>
          <w:rFonts w:cs="Times New Roman"/>
        </w:rPr>
        <w:t>GS</w:t>
      </w:r>
      <w:r w:rsidR="00302B89" w:rsidRPr="00F54B01">
        <w:rPr>
          <w:rFonts w:cs="Times New Roman"/>
          <w:lang w:val="el-GR"/>
        </w:rPr>
        <w:t>-</w:t>
      </w:r>
      <w:r w:rsidR="00302B89" w:rsidRPr="00F54B01">
        <w:rPr>
          <w:rFonts w:cs="Times New Roman"/>
        </w:rPr>
        <w:t>US</w:t>
      </w:r>
      <w:r w:rsidR="00302B89" w:rsidRPr="00F54B01">
        <w:rPr>
          <w:rFonts w:cs="Times New Roman"/>
          <w:lang w:val="el-GR"/>
        </w:rPr>
        <w:t>-174-0102,</w:t>
      </w:r>
      <w:r w:rsidR="00302B89" w:rsidRPr="00F54B01">
        <w:rPr>
          <w:rFonts w:cs="Times New Roman"/>
          <w:spacing w:val="-19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91%, 56% και μελέτη </w:t>
      </w:r>
      <w:r w:rsidR="00302B89" w:rsidRPr="00F54B01">
        <w:rPr>
          <w:rFonts w:cs="Times New Roman"/>
        </w:rPr>
        <w:t>GS</w:t>
      </w:r>
      <w:r w:rsidR="00302B89" w:rsidRPr="00F54B01">
        <w:rPr>
          <w:rFonts w:cs="Times New Roman"/>
          <w:lang w:val="el-GR"/>
        </w:rPr>
        <w:t>-</w:t>
      </w:r>
      <w:r w:rsidR="00302B89" w:rsidRPr="00F54B01">
        <w:rPr>
          <w:rFonts w:cs="Times New Roman"/>
        </w:rPr>
        <w:t>US</w:t>
      </w:r>
      <w:r w:rsidR="00302B89" w:rsidRPr="00F54B01">
        <w:rPr>
          <w:rFonts w:cs="Times New Roman"/>
          <w:lang w:val="el-GR"/>
        </w:rPr>
        <w:t>-174-0103, 69%, 9%,</w:t>
      </w:r>
      <w:r w:rsidR="00302B89" w:rsidRPr="00F54B01">
        <w:rPr>
          <w:rFonts w:cs="Times New Roman"/>
          <w:spacing w:val="-1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αντίστοιχα).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ανταπόκριση στη θεραπεία με </w:t>
      </w:r>
      <w:r w:rsidR="003B5364" w:rsidRPr="00BE0882">
        <w:rPr>
          <w:rFonts w:cs="Times New Roman"/>
          <w:lang w:val="el-GR"/>
        </w:rPr>
        <w:t xml:space="preserve">τενοφοβίρη δισοπρόξιλη </w:t>
      </w:r>
      <w:r w:rsidRPr="00BE0882">
        <w:rPr>
          <w:rFonts w:cs="Times New Roman"/>
          <w:lang w:val="el-GR"/>
        </w:rPr>
        <w:t>ήταν</w:t>
      </w:r>
      <w:r w:rsidRPr="00F54B01">
        <w:rPr>
          <w:rFonts w:cs="Times New Roman"/>
          <w:lang w:val="el-GR"/>
        </w:rPr>
        <w:t xml:space="preserve"> συγκρίσιμη στους ασθενείς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>σε</w:t>
      </w:r>
      <w:r w:rsidRPr="00F54B01">
        <w:rPr>
          <w:rFonts w:cs="Times New Roman"/>
          <w:spacing w:val="1"/>
          <w:lang w:val="el-GR"/>
        </w:rPr>
        <w:t xml:space="preserve"> </w:t>
      </w:r>
      <w:r w:rsidRPr="00F54B01">
        <w:rPr>
          <w:rFonts w:cs="Times New Roman"/>
          <w:lang w:val="el-GR"/>
        </w:rPr>
        <w:t>προηγούμενη θεραπεία με νουκλεοσίδια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51) και στους πρωτοθεραπευόμενους με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νουκλεοσίδια ασθενείς (</w:t>
      </w:r>
      <w:r w:rsidRPr="00F54B01">
        <w:rPr>
          <w:rFonts w:cs="Times New Roman"/>
        </w:rPr>
        <w:t>n</w:t>
      </w:r>
      <w:r w:rsidR="00BE0882">
        <w:rPr>
          <w:rFonts w:cs="Times New Roman"/>
          <w:lang w:val="el-GR"/>
        </w:rPr>
        <w:t xml:space="preserve"> = 375), καθώς και </w:t>
      </w:r>
      <w:r w:rsidRPr="00F54B01">
        <w:rPr>
          <w:rFonts w:cs="Times New Roman"/>
          <w:lang w:val="el-GR"/>
        </w:rPr>
        <w:t xml:space="preserve">τους ασθενείς με φυσιολογική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21) και μη φυσιολογική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405) κατά την έναρξη, όταν συνδυάστηκαν οι μελέτες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-174-0102 και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-174-0103.</w:t>
      </w:r>
      <w:r w:rsidR="006D01C2" w:rsidRPr="00F54B01">
        <w:rPr>
          <w:rFonts w:cs="Times New Roman"/>
          <w:lang w:val="el-GR"/>
        </w:rPr>
        <w:t xml:space="preserve"> </w:t>
      </w:r>
      <w:r w:rsidR="00BE0882">
        <w:rPr>
          <w:rFonts w:cs="Times New Roman"/>
          <w:lang w:val="el-GR"/>
        </w:rPr>
        <w:t>49</w:t>
      </w:r>
      <w:r w:rsidRPr="00F54B01">
        <w:rPr>
          <w:rFonts w:cs="Times New Roman"/>
          <w:lang w:val="el-GR"/>
        </w:rPr>
        <w:t xml:space="preserve"> από τους 51 ασθενείς σε προηγούμενη θεραπεία με νουκλεοσίδια είχαν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προηγουμένως λάβει θεραπεία με </w:t>
      </w:r>
      <w:r w:rsidR="00643ECB" w:rsidRPr="00FB72E2">
        <w:rPr>
          <w:rFonts w:cs="Times New Roman"/>
          <w:lang w:val="el-GR"/>
        </w:rPr>
        <w:t>λαμιβουδίνη</w:t>
      </w:r>
      <w:r w:rsidRPr="00F54B01">
        <w:rPr>
          <w:rFonts w:cs="Times New Roman"/>
          <w:lang w:val="el-GR"/>
        </w:rPr>
        <w:t xml:space="preserve">. Στο </w:t>
      </w:r>
      <w:r w:rsidR="00BE0882">
        <w:rPr>
          <w:rFonts w:cs="Times New Roman"/>
          <w:lang w:val="el-GR"/>
        </w:rPr>
        <w:t>73%</w:t>
      </w:r>
      <w:r w:rsidRPr="00F54B01">
        <w:rPr>
          <w:rFonts w:cs="Times New Roman"/>
          <w:lang w:val="el-GR"/>
        </w:rPr>
        <w:t xml:space="preserve"> των ασθενών σε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>προηγούμεν</w:t>
      </w:r>
      <w:r w:rsidR="003E1789">
        <w:rPr>
          <w:rFonts w:cs="Times New Roman"/>
          <w:lang w:val="el-GR"/>
        </w:rPr>
        <w:t xml:space="preserve">η θεραπεία με νουκλεοσίδια και </w:t>
      </w:r>
      <w:r w:rsidRPr="00F54B01">
        <w:rPr>
          <w:rFonts w:cs="Times New Roman"/>
          <w:lang w:val="el-GR"/>
        </w:rPr>
        <w:t>το 69% των πρωτοθεραπευόμενων με νουκλεοσίδια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>ασθενών επετεύχθη πλήρης ανταπόκριση στη θεραπεία, ενώ στο 90% των ασθενών σε προηγούμενη</w:t>
      </w:r>
      <w:r w:rsidRPr="00F54B01">
        <w:rPr>
          <w:rFonts w:cs="Times New Roman"/>
          <w:spacing w:val="-24"/>
          <w:lang w:val="el-GR"/>
        </w:rPr>
        <w:t xml:space="preserve"> </w:t>
      </w:r>
      <w:r w:rsidR="003E1789">
        <w:rPr>
          <w:rFonts w:cs="Times New Roman"/>
          <w:lang w:val="el-GR"/>
        </w:rPr>
        <w:t xml:space="preserve">θεραπεία με νουκλεοσίδια και </w:t>
      </w:r>
      <w:r w:rsidRPr="00F54B01">
        <w:rPr>
          <w:rFonts w:cs="Times New Roman"/>
          <w:lang w:val="el-GR"/>
        </w:rPr>
        <w:t>το 88% των πρωτοθεραπευόμενων με νουκλεοσίδια ασθενών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επετεύχθη καταστολή του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="00967063">
        <w:rPr>
          <w:rFonts w:cs="Times New Roman"/>
          <w:lang w:val="el-GR"/>
        </w:rPr>
        <w:t xml:space="preserve"> &lt;</w:t>
      </w:r>
      <w:r w:rsidRPr="00F54B01">
        <w:rPr>
          <w:rFonts w:cs="Times New Roman"/>
          <w:lang w:val="el-GR"/>
        </w:rPr>
        <w:t>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. Όλοι οι ασθενείς με φυσιολογική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κατά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την έναρξη και το 88% των ασθενών με μη φυσιολογική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κατά την έναρξη πέτυχαν καταστολή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του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 xml:space="preserve"> &lt;400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 xml:space="preserve">Εμπειρία πέραν των 48 εβδομάδων στις μελέτες </w:t>
      </w:r>
      <w:r w:rsidRPr="00F54B01">
        <w:rPr>
          <w:rFonts w:ascii="Times New Roman" w:hAnsi="Times New Roman" w:cs="Times New Roman"/>
          <w:i/>
        </w:rPr>
        <w:t>GS</w:t>
      </w:r>
      <w:r w:rsidRPr="00F54B01">
        <w:rPr>
          <w:rFonts w:ascii="Times New Roman" w:hAnsi="Times New Roman" w:cs="Times New Roman"/>
          <w:i/>
          <w:lang w:val="el-GR"/>
        </w:rPr>
        <w:t>-</w:t>
      </w:r>
      <w:r w:rsidRPr="00F54B01">
        <w:rPr>
          <w:rFonts w:ascii="Times New Roman" w:hAnsi="Times New Roman" w:cs="Times New Roman"/>
          <w:i/>
        </w:rPr>
        <w:t>US</w:t>
      </w:r>
      <w:r w:rsidRPr="00F54B01">
        <w:rPr>
          <w:rFonts w:ascii="Times New Roman" w:hAnsi="Times New Roman" w:cs="Times New Roman"/>
          <w:i/>
          <w:lang w:val="el-GR"/>
        </w:rPr>
        <w:t>-174-0102 και</w:t>
      </w:r>
      <w:r w:rsidRPr="00F54B01">
        <w:rPr>
          <w:rFonts w:ascii="Times New Roman" w:hAnsi="Times New Roman" w:cs="Times New Roman"/>
          <w:i/>
          <w:spacing w:val="-14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GS</w:t>
      </w:r>
      <w:r w:rsidRPr="00F54B01">
        <w:rPr>
          <w:rFonts w:ascii="Times New Roman" w:hAnsi="Times New Roman" w:cs="Times New Roman"/>
          <w:i/>
          <w:lang w:val="el-GR"/>
        </w:rPr>
        <w:t>-</w:t>
      </w:r>
      <w:r w:rsidRPr="00F54B01">
        <w:rPr>
          <w:rFonts w:ascii="Times New Roman" w:hAnsi="Times New Roman" w:cs="Times New Roman"/>
          <w:i/>
        </w:rPr>
        <w:t>US</w:t>
      </w:r>
      <w:r w:rsidRPr="00F54B01">
        <w:rPr>
          <w:rFonts w:ascii="Times New Roman" w:hAnsi="Times New Roman" w:cs="Times New Roman"/>
          <w:i/>
          <w:lang w:val="el-GR"/>
        </w:rPr>
        <w:t>-174-0103</w:t>
      </w:r>
    </w:p>
    <w:p w:rsidR="009D104A" w:rsidRPr="00967063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Στις μελέτες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-174-0102 και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-174-0103, μετά τη λήψη διπλής τυφλής θεραπείας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για 48 εβδομάδες (</w:t>
      </w:r>
      <w:r w:rsidRPr="00967063">
        <w:rPr>
          <w:rFonts w:cs="Times New Roman"/>
          <w:lang w:val="el-GR"/>
        </w:rPr>
        <w:t xml:space="preserve">είτε </w:t>
      </w:r>
      <w:r w:rsidR="003B5364" w:rsidRPr="00967063">
        <w:rPr>
          <w:rFonts w:cs="Times New Roman"/>
          <w:lang w:val="el-GR"/>
        </w:rPr>
        <w:t xml:space="preserve">τενοφοβίρη δισοπρόξιλη </w:t>
      </w:r>
      <w:r w:rsidRPr="00967063">
        <w:rPr>
          <w:rFonts w:cs="Times New Roman"/>
          <w:lang w:val="el-GR"/>
        </w:rPr>
        <w:t xml:space="preserve">245 </w:t>
      </w:r>
      <w:r w:rsidRPr="00967063">
        <w:rPr>
          <w:rFonts w:cs="Times New Roman"/>
        </w:rPr>
        <w:t>mg</w:t>
      </w:r>
      <w:r w:rsidRPr="00967063">
        <w:rPr>
          <w:rFonts w:cs="Times New Roman"/>
          <w:lang w:val="el-GR"/>
        </w:rPr>
        <w:t xml:space="preserve"> είτε </w:t>
      </w:r>
      <w:r w:rsidR="00AA45B9" w:rsidRPr="00967063">
        <w:rPr>
          <w:rFonts w:cs="Times New Roman"/>
          <w:lang w:val="el-GR"/>
        </w:rPr>
        <w:t>αδεφοβίρη διπιβοξίλη</w:t>
      </w:r>
      <w:r w:rsidRPr="00967063">
        <w:rPr>
          <w:rFonts w:cs="Times New Roman"/>
          <w:lang w:val="el-GR"/>
        </w:rPr>
        <w:t xml:space="preserve"> 10 </w:t>
      </w:r>
      <w:r w:rsidRPr="00967063">
        <w:rPr>
          <w:rFonts w:cs="Times New Roman"/>
        </w:rPr>
        <w:t>mg</w:t>
      </w:r>
      <w:r w:rsidRPr="00967063">
        <w:rPr>
          <w:rFonts w:cs="Times New Roman"/>
          <w:lang w:val="el-GR"/>
        </w:rPr>
        <w:t>),</w:t>
      </w:r>
      <w:r w:rsidRPr="00967063">
        <w:rPr>
          <w:rFonts w:cs="Times New Roman"/>
          <w:spacing w:val="-27"/>
          <w:lang w:val="el-GR"/>
        </w:rPr>
        <w:t xml:space="preserve"> </w:t>
      </w:r>
      <w:r w:rsidRPr="00967063">
        <w:rPr>
          <w:rFonts w:cs="Times New Roman"/>
          <w:lang w:val="el-GR"/>
        </w:rPr>
        <w:t>οι</w:t>
      </w:r>
      <w:r w:rsidR="006D01C2" w:rsidRPr="00967063">
        <w:rPr>
          <w:rFonts w:cs="Times New Roman"/>
          <w:lang w:val="el-GR"/>
        </w:rPr>
        <w:t xml:space="preserve"> </w:t>
      </w:r>
      <w:r w:rsidRPr="00967063">
        <w:rPr>
          <w:rFonts w:cs="Times New Roman"/>
          <w:lang w:val="el-GR"/>
        </w:rPr>
        <w:t xml:space="preserve">ασθενείς άλλαξαν χωρίς διακοπή σε θεραπεία ανοικτής επισήμανσης με </w:t>
      </w:r>
      <w:r w:rsidR="003B5364" w:rsidRPr="00967063">
        <w:rPr>
          <w:rFonts w:cs="Times New Roman"/>
          <w:lang w:val="el-GR"/>
        </w:rPr>
        <w:t>τενοφοβίρη δισοπρόξιλη</w:t>
      </w:r>
      <w:r w:rsidRPr="00967063">
        <w:rPr>
          <w:rFonts w:cs="Times New Roman"/>
          <w:lang w:val="el-GR"/>
        </w:rPr>
        <w:t>. Στις</w:t>
      </w:r>
      <w:r w:rsidRPr="00F54B01">
        <w:rPr>
          <w:rFonts w:cs="Times New Roman"/>
          <w:lang w:val="el-GR"/>
        </w:rPr>
        <w:t xml:space="preserve"> μελέτες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-174-0102 και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-174-0103, </w:t>
      </w:r>
      <w:r w:rsidR="003E1789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 xml:space="preserve">77% και </w:t>
      </w:r>
      <w:r w:rsidR="003E1789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61% των ασθενών συνέχισαν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>στη μελέτη μέχρι την 384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εβδομάδα, αντίστοιχα. Κατά την 96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144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192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240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288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spacing w:val="-12"/>
          <w:position w:val="10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και την 384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εβδομάδα, η ιολογική καταστολή, οι βιοχημικές και οι ορολογικές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ανταποκρίσεις διατηρήθηκαν με συνεχιζόμενη θεραπεία </w:t>
      </w:r>
      <w:r w:rsidRPr="00967063">
        <w:rPr>
          <w:rFonts w:cs="Times New Roman"/>
          <w:lang w:val="el-GR"/>
        </w:rPr>
        <w:t xml:space="preserve">με </w:t>
      </w:r>
      <w:r w:rsidR="003B5364" w:rsidRPr="00967063">
        <w:rPr>
          <w:rFonts w:cs="Times New Roman"/>
          <w:lang w:val="el-GR"/>
        </w:rPr>
        <w:t xml:space="preserve">τενοφοβίρη δισοπρόξιλη </w:t>
      </w:r>
      <w:r w:rsidRPr="00967063">
        <w:rPr>
          <w:rFonts w:cs="Times New Roman"/>
          <w:lang w:val="el-GR"/>
        </w:rPr>
        <w:t>(βλέπε Πίνακες 4 και</w:t>
      </w:r>
      <w:r w:rsidRPr="00967063">
        <w:rPr>
          <w:rFonts w:cs="Times New Roman"/>
          <w:spacing w:val="-15"/>
          <w:lang w:val="el-GR"/>
        </w:rPr>
        <w:t xml:space="preserve"> </w:t>
      </w:r>
      <w:r w:rsidRPr="00967063">
        <w:rPr>
          <w:rFonts w:cs="Times New Roman"/>
          <w:lang w:val="el-GR"/>
        </w:rPr>
        <w:t>5 παρακάτω).</w:t>
      </w:r>
    </w:p>
    <w:p w:rsidR="003B5364" w:rsidRPr="00967063" w:rsidRDefault="003B5364" w:rsidP="009A7039">
      <w:pPr>
        <w:pStyle w:val="a3"/>
        <w:ind w:left="0"/>
        <w:rPr>
          <w:rFonts w:cs="Times New Roman"/>
          <w:lang w:val="el-GR"/>
        </w:rPr>
      </w:pPr>
    </w:p>
    <w:p w:rsidR="009D104A" w:rsidRPr="00F54B01" w:rsidRDefault="00302B89" w:rsidP="009A7039">
      <w:pPr>
        <w:pStyle w:val="1"/>
        <w:ind w:left="0" w:firstLine="0"/>
        <w:rPr>
          <w:rFonts w:cs="Times New Roman"/>
          <w:b w:val="0"/>
          <w:bCs w:val="0"/>
          <w:lang w:val="el-GR"/>
        </w:rPr>
      </w:pPr>
      <w:r w:rsidRPr="00F54B01">
        <w:rPr>
          <w:rFonts w:cs="Times New Roman"/>
          <w:lang w:val="el-GR"/>
        </w:rPr>
        <w:t xml:space="preserve">Πίνακας 4: Παράμετροι αποτελεσματικότητας σε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αρνητικούς ασθενείς</w:t>
      </w:r>
      <w:r w:rsidRPr="00F54B01">
        <w:rPr>
          <w:rFonts w:cs="Times New Roman"/>
          <w:spacing w:val="-5"/>
          <w:lang w:val="el-GR"/>
        </w:rPr>
        <w:t xml:space="preserve"> </w:t>
      </w:r>
      <w:r w:rsidRPr="00F54B01">
        <w:rPr>
          <w:rFonts w:cs="Times New Roman"/>
          <w:lang w:val="el-GR"/>
        </w:rPr>
        <w:t>με αντιρροπούμενη νόσο κατά την 96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144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192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240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288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και την 384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spacing w:val="-5"/>
          <w:position w:val="10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εβδομάδα με θεραπεία ανοικτής</w:t>
      </w:r>
      <w:r w:rsidRPr="00F54B01">
        <w:rPr>
          <w:rFonts w:cs="Times New Roman"/>
          <w:spacing w:val="-10"/>
          <w:lang w:val="el-GR"/>
        </w:rPr>
        <w:t xml:space="preserve"> </w:t>
      </w:r>
      <w:r w:rsidRPr="00F54B01">
        <w:rPr>
          <w:rFonts w:cs="Times New Roman"/>
          <w:lang w:val="el-GR"/>
        </w:rPr>
        <w:t>επισήμανσης</w:t>
      </w:r>
    </w:p>
    <w:tbl>
      <w:tblPr>
        <w:tblW w:w="9325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22"/>
        <w:gridCol w:w="624"/>
        <w:gridCol w:w="622"/>
        <w:gridCol w:w="622"/>
        <w:gridCol w:w="624"/>
        <w:gridCol w:w="622"/>
        <w:gridCol w:w="624"/>
        <w:gridCol w:w="622"/>
        <w:gridCol w:w="625"/>
        <w:gridCol w:w="622"/>
        <w:gridCol w:w="624"/>
        <w:gridCol w:w="624"/>
      </w:tblGrid>
      <w:tr w:rsidR="009D104A" w:rsidRPr="00F54B01" w:rsidTr="00CF210F">
        <w:trPr>
          <w:trHeight w:hRule="exact" w:val="24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7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Μελέτη 174-0102 (HBeAg</w:t>
            </w:r>
            <w:r w:rsidRPr="00F54B01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αρνητικό)</w:t>
            </w:r>
          </w:p>
        </w:tc>
      </w:tr>
      <w:tr w:rsidR="009D104A" w:rsidRPr="00CA6D48" w:rsidTr="00CF210F">
        <w:trPr>
          <w:trHeight w:hRule="exact" w:val="70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Παράμετρος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a</w:t>
            </w:r>
          </w:p>
        </w:tc>
        <w:tc>
          <w:tcPr>
            <w:tcW w:w="3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E3B" w:rsidRDefault="003C6E3B" w:rsidP="003C6E3B">
            <w:pPr>
              <w:pStyle w:val="TableParagraph"/>
              <w:rPr>
                <w:rFonts w:cs="Times New Roman"/>
                <w:sz w:val="20"/>
                <w:lang w:val="el-GR"/>
              </w:rPr>
            </w:pPr>
          </w:p>
          <w:p w:rsidR="009D104A" w:rsidRPr="00F54B01" w:rsidRDefault="003B5364" w:rsidP="003C6E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l-GR"/>
              </w:rPr>
              <w:t>Τ</w:t>
            </w:r>
            <w:r w:rsidRPr="00422066">
              <w:rPr>
                <w:rFonts w:ascii="Times New Roman" w:hAnsi="Times New Roman" w:cs="Times New Roman"/>
                <w:sz w:val="20"/>
                <w:lang w:val="el-GR"/>
              </w:rPr>
              <w:t>ενοφοβίρη</w:t>
            </w:r>
            <w:r w:rsidRPr="008809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2066">
              <w:rPr>
                <w:rFonts w:ascii="Times New Roman" w:hAnsi="Times New Roman" w:cs="Times New Roman"/>
                <w:sz w:val="20"/>
                <w:lang w:val="el-GR"/>
              </w:rPr>
              <w:t>δισοπρόξιλη</w:t>
            </w:r>
            <w:r w:rsidRPr="008809ED">
              <w:rPr>
                <w:rFonts w:cs="Times New Roman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20"/>
              </w:rPr>
              <w:t>2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45 mg n =</w:t>
            </w:r>
            <w:r w:rsidR="00302B89" w:rsidRPr="003B536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AA45B9" w:rsidRDefault="00AA45B9" w:rsidP="003B5364">
            <w:pPr>
              <w:pStyle w:val="TableParagraph"/>
              <w:ind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AA45B9">
              <w:rPr>
                <w:rFonts w:ascii="Times New Roman" w:hAnsi="Times New Roman" w:cs="Times New Roman"/>
                <w:sz w:val="20"/>
                <w:lang w:val="el-GR"/>
              </w:rPr>
              <w:t>Αδεφοβίρη διπιβοξίλη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 xml:space="preserve"> 10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 xml:space="preserve"> αλλαγή</w:t>
            </w:r>
            <w:r w:rsidR="00302B89" w:rsidRPr="00AA45B9">
              <w:rPr>
                <w:rFonts w:ascii="Times New Roman" w:hAnsi="Times New Roman" w:cs="Times New Roman"/>
                <w:spacing w:val="-7"/>
                <w:sz w:val="20"/>
                <w:lang w:val="el-GR"/>
              </w:rPr>
              <w:t xml:space="preserve"> 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>σε</w:t>
            </w:r>
            <w:r w:rsidR="00302B89" w:rsidRPr="00AA45B9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3B5364">
              <w:rPr>
                <w:rFonts w:cs="Times New Roman"/>
                <w:sz w:val="20"/>
                <w:lang w:val="el-GR"/>
              </w:rPr>
              <w:t>τ</w:t>
            </w:r>
            <w:r w:rsidR="003B5364" w:rsidRPr="00422066">
              <w:rPr>
                <w:rFonts w:ascii="Times New Roman" w:hAnsi="Times New Roman" w:cs="Times New Roman"/>
                <w:sz w:val="20"/>
                <w:lang w:val="el-GR"/>
              </w:rPr>
              <w:t>ενοφοβίρη</w:t>
            </w:r>
            <w:r w:rsidR="003B5364" w:rsidRPr="00AA45B9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B5364" w:rsidRPr="00422066">
              <w:rPr>
                <w:rFonts w:ascii="Times New Roman" w:hAnsi="Times New Roman" w:cs="Times New Roman"/>
                <w:sz w:val="20"/>
                <w:lang w:val="el-GR"/>
              </w:rPr>
              <w:t>δισοπρόξιλη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 xml:space="preserve"> 245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AA45B9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n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 xml:space="preserve"> =</w:t>
            </w:r>
            <w:r w:rsidR="00302B89" w:rsidRPr="00AA45B9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>125</w:t>
            </w:r>
          </w:p>
        </w:tc>
      </w:tr>
      <w:tr w:rsidR="009D104A" w:rsidRPr="00F54B01" w:rsidTr="00CF210F">
        <w:trPr>
          <w:trHeight w:hRule="exact" w:val="242"/>
        </w:trPr>
        <w:tc>
          <w:tcPr>
            <w:tcW w:w="1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Εβδομάδα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96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b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144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e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192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g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240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288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l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384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o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96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c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144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f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192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h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240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j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288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m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384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p</w:t>
            </w:r>
          </w:p>
        </w:tc>
      </w:tr>
      <w:tr w:rsidR="009D104A" w:rsidRPr="00F54B01" w:rsidTr="00CF210F">
        <w:trPr>
          <w:trHeight w:hRule="exact" w:val="7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lastRenderedPageBreak/>
              <w:t>HBV DNA</w:t>
            </w:r>
            <w:r w:rsidRPr="00F54B0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&lt; 400</w:t>
            </w:r>
            <w:r w:rsidRPr="00F54B0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αντίγραφα/ml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(&lt; 69</w:t>
            </w:r>
            <w:r w:rsidRPr="00F54B0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IU/ml)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9D104A" w:rsidRPr="00F54B01" w:rsidTr="00CF210F">
        <w:trPr>
          <w:trHeight w:hRule="exact" w:val="70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ALT</w:t>
            </w:r>
            <w:r w:rsidRPr="00F54B01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Ομαλοποιημένη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ALT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69</w:t>
            </w:r>
          </w:p>
        </w:tc>
      </w:tr>
      <w:tr w:rsidR="009D104A" w:rsidRPr="00F54B01" w:rsidTr="00CF210F">
        <w:trPr>
          <w:trHeight w:hRule="exact" w:val="11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Ορολογία</w:t>
            </w:r>
            <w:r w:rsidRPr="00F54B01">
              <w:rPr>
                <w:rFonts w:ascii="Times New Roman" w:hAnsi="Times New Roman" w:cs="Times New Roman"/>
                <w:b/>
                <w:spacing w:val="-1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(%)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HBeAg</w:t>
            </w:r>
            <w:r w:rsidRPr="00F54B01">
              <w:rPr>
                <w:rFonts w:ascii="Times New Roman" w:hAnsi="Times New Roman" w:cs="Times New Roman"/>
                <w:spacing w:val="-4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αρνητικο-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ποίηση/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ορομετατροπή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</w:p>
          <w:p w:rsidR="009D104A" w:rsidRPr="00F54B01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δεν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εφαρ-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μόζε-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ται</w:t>
            </w:r>
          </w:p>
        </w:tc>
      </w:tr>
      <w:tr w:rsidR="009D104A" w:rsidRPr="00F54B01" w:rsidTr="00CF210F">
        <w:trPr>
          <w:trHeight w:hRule="exact" w:val="706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HBsAg</w:t>
            </w:r>
            <w:r w:rsidRPr="00F54B0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αρνητικο-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ποίηση/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ορομετατροπή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1/1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n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0/0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k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1/1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n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1/1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n</w:t>
            </w:r>
          </w:p>
        </w:tc>
      </w:tr>
    </w:tbl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eastAsia="Times New Roman" w:hAnsi="Times New Roman" w:cs="Times New Roman"/>
          <w:position w:val="8"/>
          <w:sz w:val="12"/>
          <w:szCs w:val="12"/>
        </w:rPr>
        <w:t>a</w:t>
      </w:r>
      <w:proofErr w:type="gramEnd"/>
      <w:r w:rsidRPr="00F54B01">
        <w:rPr>
          <w:rFonts w:ascii="Times New Roman" w:eastAsia="Times New Roman" w:hAnsi="Times New Roman" w:cs="Times New Roman"/>
          <w:position w:val="8"/>
          <w:sz w:val="12"/>
          <w:szCs w:val="12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Βασισμένη στον Αλγόριθμο Μακροχρόνιας Αξιολόγησης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>(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Long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Term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Evaluation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algorithm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,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LTE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Analysis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)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>– Οι</w:t>
      </w:r>
      <w:r w:rsidRPr="00F54B01">
        <w:rPr>
          <w:rFonts w:ascii="Times New Roman" w:eastAsia="Times New Roman" w:hAnsi="Times New Roman" w:cs="Times New Roman"/>
          <w:spacing w:val="-8"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>ασθενείς οι οποίοι διέκοψαν από τη μελέτη οποιαδήποτε χρονική στιγμή πριν από την 384</w:t>
      </w:r>
      <w:r w:rsidRPr="00F54B01">
        <w:rPr>
          <w:rFonts w:ascii="Times New Roman" w:eastAsia="Times New Roman" w:hAnsi="Times New Roman" w:cs="Times New Roman"/>
          <w:position w:val="8"/>
          <w:sz w:val="12"/>
          <w:szCs w:val="12"/>
          <w:lang w:val="el-GR"/>
        </w:rPr>
        <w:t xml:space="preserve">η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>εβδομάδα λόγω καταληκτικού</w:t>
      </w:r>
      <w:r w:rsidRPr="00F54B01">
        <w:rPr>
          <w:rFonts w:ascii="Times New Roman" w:eastAsia="Times New Roman" w:hAnsi="Times New Roman" w:cs="Times New Roman"/>
          <w:spacing w:val="-5"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>σημείου οριζόμενου από το πρωτόκολλο, καθώς επίσης και όσοι ολοκλήρωσαν την 384</w:t>
      </w:r>
      <w:r w:rsidRPr="00F54B01">
        <w:rPr>
          <w:rFonts w:ascii="Times New Roman" w:eastAsia="Times New Roman" w:hAnsi="Times New Roman" w:cs="Times New Roman"/>
          <w:position w:val="8"/>
          <w:sz w:val="12"/>
          <w:szCs w:val="12"/>
          <w:lang w:val="el-GR"/>
        </w:rPr>
        <w:t xml:space="preserve">η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>εβδομάδα, περιλαμβάνονται στον παρονομαστή.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b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3B5364" w:rsidRPr="003B5364">
        <w:rPr>
          <w:rFonts w:ascii="Times New Roman" w:hAnsi="Times New Roman" w:cs="Times New Roman"/>
          <w:sz w:val="18"/>
          <w:lang w:val="el-GR"/>
        </w:rPr>
        <w:t xml:space="preserve">τενοφοβίρη δισοπρόξιλη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48 εβδομάδες</w:t>
      </w:r>
      <w:r w:rsidRPr="00F54B01">
        <w:rPr>
          <w:rFonts w:ascii="Times New Roman" w:hAnsi="Times New Roman" w:cs="Times New Roman"/>
          <w:spacing w:val="-1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 ανοικτής</w:t>
      </w:r>
      <w:r w:rsidRPr="00F54B01">
        <w:rPr>
          <w:rFonts w:ascii="Times New Roman" w:hAnsi="Times New Roman" w:cs="Times New Roman"/>
          <w:spacing w:val="-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c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48 εβδομάδες θεραπείας</w:t>
      </w:r>
      <w:r w:rsidRPr="00F54B01">
        <w:rPr>
          <w:rFonts w:ascii="Times New Roman" w:hAnsi="Times New Roman" w:cs="Times New Roman"/>
          <w:spacing w:val="-1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ανοικτής επισήμανσης με </w:t>
      </w:r>
      <w:r w:rsidR="003B5364" w:rsidRPr="003B5364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d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Ο πληθυσμός που χρησιμοποιήθηκε για την ανάλυση της ομαλοποίησης της </w:t>
      </w:r>
      <w:r w:rsidRPr="00F54B01">
        <w:rPr>
          <w:rFonts w:ascii="Times New Roman" w:hAnsi="Times New Roman" w:cs="Times New Roman"/>
          <w:sz w:val="18"/>
        </w:rPr>
        <w:t>ALT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συμπεριέλαβε μόνο ασθενείς με</w:t>
      </w:r>
      <w:r w:rsidRPr="00F54B01">
        <w:rPr>
          <w:rFonts w:ascii="Times New Roman" w:hAnsi="Times New Roman" w:cs="Times New Roman"/>
          <w:spacing w:val="-19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ALT</w:t>
      </w:r>
      <w:r w:rsidR="006D01C2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πάνω από το ΑΦΟ κατά την</w:t>
      </w:r>
      <w:r w:rsidRPr="00F54B01">
        <w:rPr>
          <w:rFonts w:ascii="Times New Roman" w:hAnsi="Times New Roman" w:cs="Times New Roman"/>
          <w:spacing w:val="-10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έναρξη.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e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3B5364" w:rsidRPr="003B5364">
        <w:rPr>
          <w:rFonts w:ascii="Times New Roman" w:hAnsi="Times New Roman" w:cs="Times New Roman"/>
          <w:sz w:val="18"/>
          <w:lang w:val="el-GR"/>
        </w:rPr>
        <w:t xml:space="preserve">τενοφοβίρη δισοπρόξιλη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96 εβδομάδες</w:t>
      </w:r>
      <w:r w:rsidRPr="00F54B01">
        <w:rPr>
          <w:rFonts w:ascii="Times New Roman" w:hAnsi="Times New Roman" w:cs="Times New Roman"/>
          <w:spacing w:val="-16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 ανοικτής</w:t>
      </w:r>
      <w:r w:rsidRPr="00F54B01">
        <w:rPr>
          <w:rFonts w:ascii="Times New Roman" w:hAnsi="Times New Roman" w:cs="Times New Roman"/>
          <w:spacing w:val="-6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f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96 εβδομάδες θεραπείας</w:t>
      </w:r>
      <w:r w:rsidRPr="00F54B01">
        <w:rPr>
          <w:rFonts w:ascii="Times New Roman" w:hAnsi="Times New Roman" w:cs="Times New Roman"/>
          <w:spacing w:val="-19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ανοικτής επισήμανσης </w:t>
      </w:r>
      <w:r w:rsidR="003B5364" w:rsidRPr="003B5364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g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3B5364" w:rsidRPr="003B5364">
        <w:rPr>
          <w:rFonts w:ascii="Times New Roman" w:hAnsi="Times New Roman" w:cs="Times New Roman"/>
          <w:sz w:val="18"/>
          <w:lang w:val="el-GR"/>
        </w:rPr>
        <w:t xml:space="preserve">τενοφοβίρη δισοπρόξιλη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144 εβδομάδες</w:t>
      </w:r>
      <w:r w:rsidRPr="00F54B01">
        <w:rPr>
          <w:rFonts w:ascii="Times New Roman" w:hAnsi="Times New Roman" w:cs="Times New Roman"/>
          <w:spacing w:val="-18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 ανοικτής</w:t>
      </w:r>
      <w:r w:rsidRPr="00F54B01">
        <w:rPr>
          <w:rFonts w:ascii="Times New Roman" w:hAnsi="Times New Roman" w:cs="Times New Roman"/>
          <w:spacing w:val="-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h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144 εβδομάδες θεραπείας</w:t>
      </w:r>
      <w:r w:rsidRPr="00F54B01">
        <w:rPr>
          <w:rFonts w:ascii="Times New Roman" w:hAnsi="Times New Roman" w:cs="Times New Roman"/>
          <w:spacing w:val="-15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ανοικτής επισήμανσης με </w:t>
      </w:r>
      <w:r w:rsidR="003B5364" w:rsidRPr="003B5364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i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3B5364" w:rsidRPr="003B5364">
        <w:rPr>
          <w:rFonts w:ascii="Times New Roman" w:hAnsi="Times New Roman" w:cs="Times New Roman"/>
          <w:sz w:val="18"/>
          <w:lang w:val="el-GR"/>
        </w:rPr>
        <w:t xml:space="preserve">τενοφοβίρη δισοπρόξιλη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192 εβδομάδες</w:t>
      </w:r>
      <w:r w:rsidRPr="00F54B01">
        <w:rPr>
          <w:rFonts w:ascii="Times New Roman" w:hAnsi="Times New Roman" w:cs="Times New Roman"/>
          <w:spacing w:val="-1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 ανοικτής</w:t>
      </w:r>
      <w:r w:rsidRPr="00F54B01">
        <w:rPr>
          <w:rFonts w:ascii="Times New Roman" w:hAnsi="Times New Roman" w:cs="Times New Roman"/>
          <w:spacing w:val="-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j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192 εβδομάδες θεραπείας</w:t>
      </w:r>
      <w:r w:rsidRPr="00F54B01">
        <w:rPr>
          <w:rFonts w:ascii="Times New Roman" w:hAnsi="Times New Roman" w:cs="Times New Roman"/>
          <w:spacing w:val="-15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ανοικτής επισήμανσης με </w:t>
      </w:r>
      <w:r w:rsidR="003B5364" w:rsidRPr="003B5364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k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Ένας ασθενής στην ομάδα αυτή έγινε </w:t>
      </w:r>
      <w:r w:rsidRPr="00F54B01">
        <w:rPr>
          <w:rFonts w:ascii="Times New Roman" w:hAnsi="Times New Roman" w:cs="Times New Roman"/>
          <w:sz w:val="18"/>
        </w:rPr>
        <w:t>HBsAg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αρνητικός για πρώτη φορά στην επίσκεψη κατά την 240</w:t>
      </w:r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η </w:t>
      </w:r>
      <w:r w:rsidRPr="00F54B01">
        <w:rPr>
          <w:rFonts w:ascii="Times New Roman" w:hAnsi="Times New Roman" w:cs="Times New Roman"/>
          <w:sz w:val="18"/>
          <w:lang w:val="el-GR"/>
        </w:rPr>
        <w:t>εβδομάδα</w:t>
      </w:r>
      <w:r w:rsidRPr="00F54B01">
        <w:rPr>
          <w:rFonts w:ascii="Times New Roman" w:hAnsi="Times New Roman" w:cs="Times New Roman"/>
          <w:spacing w:val="1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και συνέχιζε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στη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μελέτη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κατά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το</w:t>
      </w:r>
      <w:r w:rsidRPr="00F54B01">
        <w:rPr>
          <w:rFonts w:ascii="Times New Roman" w:hAnsi="Times New Roman" w:cs="Times New Roman"/>
          <w:spacing w:val="-1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χρόνο</w:t>
      </w:r>
      <w:r w:rsidRPr="00F54B01">
        <w:rPr>
          <w:rFonts w:ascii="Times New Roman" w:hAnsi="Times New Roman" w:cs="Times New Roman"/>
          <w:spacing w:val="-1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διακοπής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των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δεδομένων.</w:t>
      </w:r>
      <w:r w:rsidRPr="00F54B01">
        <w:rPr>
          <w:rFonts w:ascii="Times New Roman" w:hAnsi="Times New Roman" w:cs="Times New Roman"/>
          <w:spacing w:val="-1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Ωστόσο,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η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απώλεια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HBsAg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του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ατόμου</w:t>
      </w:r>
      <w:r w:rsidRPr="00F54B01">
        <w:rPr>
          <w:rFonts w:ascii="Times New Roman" w:hAnsi="Times New Roman" w:cs="Times New Roman"/>
          <w:spacing w:val="-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επιβεβαιώθηκε</w:t>
      </w:r>
      <w:r w:rsidRPr="00F54B01">
        <w:rPr>
          <w:rFonts w:ascii="Times New Roman" w:hAnsi="Times New Roman" w:cs="Times New Roman"/>
          <w:spacing w:val="-1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τελικά στην επόμενη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επίσκεψη.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l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3B5364" w:rsidRPr="003B5364">
        <w:rPr>
          <w:rFonts w:ascii="Times New Roman" w:hAnsi="Times New Roman" w:cs="Times New Roman"/>
          <w:sz w:val="18"/>
          <w:lang w:val="el-GR"/>
        </w:rPr>
        <w:t xml:space="preserve">τενοφοβίρη δισοπρόξιλη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240 εβδομάδες</w:t>
      </w:r>
      <w:r w:rsidRPr="00F54B01">
        <w:rPr>
          <w:rFonts w:ascii="Times New Roman" w:hAnsi="Times New Roman" w:cs="Times New Roman"/>
          <w:spacing w:val="-1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</w:t>
      </w:r>
      <w:r w:rsidR="006D01C2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ανοικτής</w:t>
      </w:r>
      <w:r w:rsidRPr="00F54B01">
        <w:rPr>
          <w:rFonts w:ascii="Times New Roman" w:hAnsi="Times New Roman" w:cs="Times New Roman"/>
          <w:spacing w:val="-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m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240 εβδομάδες θεραπείας</w:t>
      </w:r>
      <w:r w:rsidRPr="00F54B01">
        <w:rPr>
          <w:rFonts w:ascii="Times New Roman" w:hAnsi="Times New Roman" w:cs="Times New Roman"/>
          <w:spacing w:val="-15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ανοικτής επισήμανσης με </w:t>
      </w:r>
      <w:r w:rsidR="001162CC" w:rsidRPr="001162CC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n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Τα αριθμητικά στοιχεία που παρουσιάζονται είναι συγκεντρωτικά ποσοστά βασισμένα σε ανάλυση </w:t>
      </w:r>
      <w:r w:rsidRPr="00F54B01">
        <w:rPr>
          <w:rFonts w:ascii="Times New Roman" w:hAnsi="Times New Roman" w:cs="Times New Roman"/>
          <w:sz w:val="18"/>
        </w:rPr>
        <w:t>Kaplan</w:t>
      </w:r>
      <w:r w:rsidRPr="00F54B01">
        <w:rPr>
          <w:rFonts w:ascii="Times New Roman" w:hAnsi="Times New Roman" w:cs="Times New Roman"/>
          <w:spacing w:val="-1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Meier</w:t>
      </w:r>
      <w:r w:rsidR="006D01C2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εξαιρουμένων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των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δεδομένων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που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συλλέχθηκαν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μετά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την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προσθήκη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της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="00203833" w:rsidRPr="00203833">
        <w:rPr>
          <w:rFonts w:ascii="Times New Roman" w:hAnsi="Times New Roman" w:cs="Times New Roman"/>
          <w:sz w:val="18"/>
          <w:lang w:val="el-GR"/>
        </w:rPr>
        <w:t>εμτρισιταβίνη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στη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ανοικτής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επισήμανσης με </w:t>
      </w:r>
      <w:r w:rsidR="001162CC" w:rsidRPr="001162CC">
        <w:rPr>
          <w:rFonts w:ascii="Times New Roman" w:hAnsi="Times New Roman" w:cs="Times New Roman"/>
          <w:sz w:val="18"/>
          <w:lang w:val="el-GR"/>
        </w:rPr>
        <w:t xml:space="preserve">τενοφοβίρη δισοπρόξιλη </w:t>
      </w:r>
      <w:r w:rsidRPr="00F54B01">
        <w:rPr>
          <w:rFonts w:ascii="Times New Roman" w:hAnsi="Times New Roman" w:cs="Times New Roman"/>
          <w:sz w:val="18"/>
          <w:lang w:val="el-GR"/>
        </w:rPr>
        <w:t>(</w:t>
      </w:r>
      <w:r w:rsidRPr="00F54B01">
        <w:rPr>
          <w:rFonts w:ascii="Times New Roman" w:hAnsi="Times New Roman" w:cs="Times New Roman"/>
          <w:sz w:val="18"/>
        </w:rPr>
        <w:t>KM</w:t>
      </w:r>
      <w:r w:rsidRPr="00F54B01">
        <w:rPr>
          <w:rFonts w:ascii="Times New Roman" w:hAnsi="Times New Roman" w:cs="Times New Roman"/>
          <w:sz w:val="18"/>
          <w:lang w:val="el-GR"/>
        </w:rPr>
        <w:t>-</w:t>
      </w:r>
      <w:r w:rsidRPr="00F54B01">
        <w:rPr>
          <w:rFonts w:ascii="Times New Roman" w:hAnsi="Times New Roman" w:cs="Times New Roman"/>
          <w:sz w:val="18"/>
        </w:rPr>
        <w:t>TDF</w:t>
      </w:r>
      <w:r w:rsidRPr="00F54B01">
        <w:rPr>
          <w:rFonts w:ascii="Times New Roman" w:hAnsi="Times New Roman" w:cs="Times New Roman"/>
          <w:sz w:val="18"/>
          <w:lang w:val="el-GR"/>
        </w:rPr>
        <w:t>).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o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1162CC" w:rsidRPr="001162CC">
        <w:rPr>
          <w:rFonts w:ascii="Times New Roman" w:hAnsi="Times New Roman" w:cs="Times New Roman"/>
          <w:sz w:val="18"/>
          <w:lang w:val="el-GR"/>
        </w:rPr>
        <w:t xml:space="preserve">τενοφοβίρη δισοπρόξιλη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336 εβδομάδες</w:t>
      </w:r>
      <w:r w:rsidRPr="00F54B01">
        <w:rPr>
          <w:rFonts w:ascii="Times New Roman" w:hAnsi="Times New Roman" w:cs="Times New Roman"/>
          <w:spacing w:val="-1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 ανοικτής</w:t>
      </w:r>
      <w:r w:rsidRPr="00F54B01">
        <w:rPr>
          <w:rFonts w:ascii="Times New Roman" w:hAnsi="Times New Roman" w:cs="Times New Roman"/>
          <w:spacing w:val="-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p</w:t>
      </w:r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336 εβδομάδες θεραπείας</w:t>
      </w:r>
      <w:r w:rsidRPr="00F54B01">
        <w:rPr>
          <w:rFonts w:ascii="Times New Roman" w:hAnsi="Times New Roman" w:cs="Times New Roman"/>
          <w:spacing w:val="-15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ανοικτής</w:t>
      </w:r>
      <w:r w:rsidR="006D01C2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επισήμανσης με </w:t>
      </w:r>
      <w:r w:rsidR="001162CC" w:rsidRPr="001162CC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  <w:proofErr w:type="gramEnd"/>
    </w:p>
    <w:p w:rsidR="009D104A" w:rsidRDefault="009D104A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</w:p>
    <w:p w:rsidR="009D104A" w:rsidRPr="00F54B01" w:rsidRDefault="00302B89" w:rsidP="009A7039">
      <w:pPr>
        <w:pStyle w:val="1"/>
        <w:ind w:left="0" w:firstLine="0"/>
        <w:rPr>
          <w:rFonts w:cs="Times New Roman"/>
          <w:b w:val="0"/>
          <w:bCs w:val="0"/>
          <w:lang w:val="el-GR"/>
        </w:rPr>
      </w:pPr>
      <w:r w:rsidRPr="00F54B01">
        <w:rPr>
          <w:rFonts w:cs="Times New Roman"/>
          <w:lang w:val="el-GR"/>
        </w:rPr>
        <w:t xml:space="preserve">Πίνακας 5: Παράμετροι αποτελεσματικότητας σε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θετικούς ασθενείς με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αντιρροπούμενη νόσο κατά την 96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144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192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240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lang w:val="el-GR"/>
        </w:rPr>
        <w:t>, την 288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και την 384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 με</w:t>
      </w:r>
      <w:r w:rsidRPr="00F54B01">
        <w:rPr>
          <w:rFonts w:cs="Times New Roman"/>
          <w:spacing w:val="26"/>
          <w:lang w:val="el-GR"/>
        </w:rPr>
        <w:t xml:space="preserve"> </w:t>
      </w:r>
      <w:r w:rsidRPr="00F54B01">
        <w:rPr>
          <w:rFonts w:cs="Times New Roman"/>
          <w:lang w:val="el-GR"/>
        </w:rPr>
        <w:t>θεραπεία ανοικτής</w:t>
      </w:r>
      <w:r w:rsidRPr="00F54B01">
        <w:rPr>
          <w:rFonts w:cs="Times New Roman"/>
          <w:spacing w:val="-3"/>
          <w:lang w:val="el-GR"/>
        </w:rPr>
        <w:t xml:space="preserve"> </w:t>
      </w:r>
      <w:r w:rsidRPr="00F54B01">
        <w:rPr>
          <w:rFonts w:cs="Times New Roman"/>
          <w:lang w:val="el-GR"/>
        </w:rPr>
        <w:t>επισήμανσης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490"/>
        <w:gridCol w:w="581"/>
        <w:gridCol w:w="588"/>
        <w:gridCol w:w="559"/>
        <w:gridCol w:w="627"/>
        <w:gridCol w:w="588"/>
        <w:gridCol w:w="542"/>
        <w:gridCol w:w="638"/>
        <w:gridCol w:w="634"/>
        <w:gridCol w:w="662"/>
        <w:gridCol w:w="665"/>
        <w:gridCol w:w="666"/>
      </w:tblGrid>
      <w:tr w:rsidR="009D104A" w:rsidRPr="00F54B01">
        <w:trPr>
          <w:trHeight w:hRule="exact" w:val="24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7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Μελέτη 174-0103 (HBeAg</w:t>
            </w:r>
            <w:r w:rsidRPr="00F54B01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θετικό)</w:t>
            </w:r>
          </w:p>
        </w:tc>
      </w:tr>
      <w:tr w:rsidR="009D104A" w:rsidRPr="00CA6D48">
        <w:trPr>
          <w:trHeight w:hRule="exact" w:val="70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Παράμετρος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a</w:t>
            </w:r>
          </w:p>
        </w:tc>
        <w:tc>
          <w:tcPr>
            <w:tcW w:w="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1162CC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el-GR"/>
              </w:rPr>
              <w:t>Τ</w:t>
            </w:r>
            <w:r w:rsidRPr="001162CC">
              <w:rPr>
                <w:rFonts w:ascii="Times New Roman" w:hAnsi="Times New Roman" w:cs="Times New Roman"/>
                <w:sz w:val="20"/>
                <w:lang w:val="el-GR"/>
              </w:rPr>
              <w:t>ενοφοβίρη</w:t>
            </w:r>
            <w:r w:rsidRPr="008809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162CC">
              <w:rPr>
                <w:rFonts w:ascii="Times New Roman" w:hAnsi="Times New Roman" w:cs="Times New Roman"/>
                <w:sz w:val="20"/>
                <w:lang w:val="el-GR"/>
              </w:rPr>
              <w:t>δισοπρόξιλη</w:t>
            </w:r>
            <w:r w:rsidRPr="008809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245</w:t>
            </w:r>
            <w:r w:rsidR="00302B89" w:rsidRPr="00F54B0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n =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3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AA45B9" w:rsidRDefault="00AA45B9" w:rsidP="001162CC">
            <w:pPr>
              <w:pStyle w:val="TableParagraph"/>
              <w:ind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AA45B9">
              <w:rPr>
                <w:rFonts w:ascii="Times New Roman" w:hAnsi="Times New Roman" w:cs="Times New Roman"/>
                <w:sz w:val="20"/>
                <w:lang w:val="el-GR"/>
              </w:rPr>
              <w:t>Αδεφοβίρη διπιβοξίλη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 xml:space="preserve"> 10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 xml:space="preserve"> αλλαγή</w:t>
            </w:r>
            <w:r w:rsidR="00302B89" w:rsidRPr="00AA45B9">
              <w:rPr>
                <w:rFonts w:ascii="Times New Roman" w:hAnsi="Times New Roman" w:cs="Times New Roman"/>
                <w:spacing w:val="-7"/>
                <w:sz w:val="20"/>
                <w:lang w:val="el-GR"/>
              </w:rPr>
              <w:t xml:space="preserve"> 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>σε</w:t>
            </w:r>
            <w:r w:rsidR="00302B89" w:rsidRPr="00AA45B9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1162CC">
              <w:rPr>
                <w:rFonts w:cs="Times New Roman"/>
                <w:sz w:val="20"/>
                <w:lang w:val="el-GR"/>
              </w:rPr>
              <w:t>τ</w:t>
            </w:r>
            <w:r w:rsidR="001162CC" w:rsidRPr="00422066">
              <w:rPr>
                <w:rFonts w:ascii="Times New Roman" w:hAnsi="Times New Roman" w:cs="Times New Roman"/>
                <w:sz w:val="20"/>
                <w:lang w:val="el-GR"/>
              </w:rPr>
              <w:t>ενοφοβίρη</w:t>
            </w:r>
            <w:r w:rsidR="001162CC" w:rsidRPr="00AA45B9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1162CC" w:rsidRPr="00422066">
              <w:rPr>
                <w:rFonts w:ascii="Times New Roman" w:hAnsi="Times New Roman" w:cs="Times New Roman"/>
                <w:sz w:val="20"/>
                <w:lang w:val="el-GR"/>
              </w:rPr>
              <w:t>δισοπρόξιλη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 xml:space="preserve"> 245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n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 xml:space="preserve"> =</w:t>
            </w:r>
            <w:r w:rsidR="00302B89" w:rsidRPr="00AA45B9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="00302B89" w:rsidRPr="00AA45B9">
              <w:rPr>
                <w:rFonts w:ascii="Times New Roman" w:hAnsi="Times New Roman" w:cs="Times New Roman"/>
                <w:sz w:val="20"/>
                <w:lang w:val="el-GR"/>
              </w:rPr>
              <w:t>90</w:t>
            </w:r>
          </w:p>
        </w:tc>
      </w:tr>
      <w:tr w:rsidR="009D104A" w:rsidRPr="00F54B01">
        <w:trPr>
          <w:trHeight w:hRule="exact" w:val="242"/>
        </w:trPr>
        <w:tc>
          <w:tcPr>
            <w:tcW w:w="20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Εβδομάδα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96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b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144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e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192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h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240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j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288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384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o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96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c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144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f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192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i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240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k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288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n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384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p</w:t>
            </w:r>
          </w:p>
        </w:tc>
      </w:tr>
      <w:tr w:rsidR="009D104A" w:rsidRPr="00F54B01">
        <w:trPr>
          <w:trHeight w:hRule="exact" w:val="70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HBV DNA</w:t>
            </w:r>
            <w:r w:rsidRPr="00F54B0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&lt; 400</w:t>
            </w:r>
            <w:r w:rsidRPr="00F54B0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αντίγραφα/ml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(&lt; 69</w:t>
            </w:r>
            <w:r w:rsidRPr="00F54B0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IU/ml)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61</w:t>
            </w:r>
          </w:p>
        </w:tc>
      </w:tr>
      <w:tr w:rsidR="009D104A" w:rsidRPr="00F54B01">
        <w:trPr>
          <w:trHeight w:hRule="exact" w:val="47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ALT</w:t>
            </w:r>
            <w:r w:rsidRPr="00F54B01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Ομαλοποιημένη</w:t>
            </w:r>
            <w:r w:rsidRPr="00F54B0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ALT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d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56</w:t>
            </w:r>
          </w:p>
        </w:tc>
      </w:tr>
      <w:tr w:rsidR="009D104A" w:rsidRPr="00F54B01">
        <w:trPr>
          <w:trHeight w:hRule="exact" w:val="70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lastRenderedPageBreak/>
              <w:t xml:space="preserve">Ορολογία </w:t>
            </w:r>
            <w:r w:rsidRPr="00F54B01">
              <w:rPr>
                <w:rFonts w:ascii="Times New Roman" w:hAnsi="Times New Roman" w:cs="Times New Roman"/>
                <w:b/>
                <w:spacing w:val="10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(%)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 </w:t>
            </w:r>
            <w:r w:rsidRPr="00F54B01">
              <w:rPr>
                <w:rFonts w:ascii="Times New Roman" w:hAnsi="Times New Roman" w:cs="Times New Roman"/>
                <w:sz w:val="20"/>
              </w:rPr>
              <w:t>HBeAg</w:t>
            </w:r>
            <w:r w:rsidRPr="00F54B01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αρνητικο-</w:t>
            </w:r>
            <w:r w:rsidRPr="00F54B01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ποίηση/</w:t>
            </w:r>
            <w:r w:rsidRPr="00F54B01">
              <w:rPr>
                <w:rFonts w:ascii="Times New Roman" w:hAnsi="Times New Roman" w:cs="Times New Roman"/>
                <w:spacing w:val="-8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  <w:lang w:val="el-GR"/>
              </w:rPr>
              <w:t>ορομετατροπή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l-GR"/>
              </w:rPr>
            </w:pP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26/23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29/23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34/25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38/30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37/25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30/20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24/20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33/26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36/30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38/31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40/31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04A" w:rsidRPr="00F54B01" w:rsidRDefault="009D104A" w:rsidP="009A70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35/24</w:t>
            </w:r>
          </w:p>
        </w:tc>
      </w:tr>
      <w:tr w:rsidR="009D104A" w:rsidRPr="00F54B01">
        <w:trPr>
          <w:trHeight w:hRule="exact" w:val="461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HBsAg αρνητικο-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ποίηση/</w:t>
            </w:r>
            <w:r w:rsidRPr="00F54B0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ορομετατροπή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5/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1162CC" w:rsidRDefault="00302B89" w:rsidP="001162C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8/</w:t>
            </w:r>
            <w:r w:rsidRPr="001162CC">
              <w:rPr>
                <w:rFonts w:ascii="Times New Roman" w:hAnsi="Times New Roman" w:cs="Times New Roman"/>
                <w:sz w:val="20"/>
              </w:rPr>
              <w:t>6</w:t>
            </w:r>
            <w:r w:rsidRPr="001162CC">
              <w:rPr>
                <w:rFonts w:ascii="Times New Roman" w:hAnsi="Times New Roman" w:cs="Times New Roman"/>
                <w:sz w:val="20"/>
                <w:vertAlign w:val="superscript"/>
              </w:rPr>
              <w:t>g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8809ED" w:rsidRDefault="00302B89" w:rsidP="009A7039">
            <w:pPr>
              <w:pStyle w:val="TableParagraph"/>
              <w:ind w:hanging="46"/>
              <w:rPr>
                <w:rFonts w:ascii="Times New Roman" w:hAnsi="Times New Roman" w:cs="Times New Roman"/>
                <w:sz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11/</w:t>
            </w:r>
            <w:r w:rsidRPr="008809ED">
              <w:rPr>
                <w:rFonts w:ascii="Times New Roman" w:hAnsi="Times New Roman" w:cs="Times New Roman"/>
                <w:sz w:val="20"/>
              </w:rPr>
              <w:t>8</w:t>
            </w:r>
            <w:r w:rsidRPr="008809ED">
              <w:rPr>
                <w:rFonts w:ascii="Times New Roman" w:hAnsi="Times New Roman" w:cs="Times New Roman"/>
                <w:sz w:val="20"/>
                <w:vertAlign w:val="superscript"/>
              </w:rPr>
              <w:t>g</w:t>
            </w: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8809ED" w:rsidRDefault="00302B89" w:rsidP="009A7039">
            <w:pPr>
              <w:pStyle w:val="TableParagraph"/>
              <w:ind w:hanging="60"/>
              <w:rPr>
                <w:rFonts w:ascii="Times New Roman" w:hAnsi="Times New Roman" w:cs="Times New Roman"/>
                <w:sz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11/</w:t>
            </w:r>
            <w:r w:rsidRPr="008809ED">
              <w:rPr>
                <w:rFonts w:ascii="Times New Roman" w:hAnsi="Times New Roman" w:cs="Times New Roman"/>
                <w:sz w:val="20"/>
              </w:rPr>
              <w:t>8</w:t>
            </w:r>
            <w:r w:rsidRPr="008809ED">
              <w:rPr>
                <w:rFonts w:ascii="Times New Roman" w:hAnsi="Times New Roman" w:cs="Times New Roman"/>
                <w:sz w:val="20"/>
                <w:vertAlign w:val="superscript"/>
              </w:rPr>
              <w:t>l</w:t>
            </w:r>
          </w:p>
        </w:tc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8809ED" w:rsidRDefault="00302B89" w:rsidP="009A7039">
            <w:pPr>
              <w:pStyle w:val="TableParagraph"/>
              <w:ind w:hanging="60"/>
              <w:rPr>
                <w:rFonts w:ascii="Times New Roman" w:hAnsi="Times New Roman" w:cs="Times New Roman"/>
                <w:sz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12/</w:t>
            </w:r>
            <w:r w:rsidRPr="008809ED">
              <w:rPr>
                <w:rFonts w:ascii="Times New Roman" w:hAnsi="Times New Roman" w:cs="Times New Roman"/>
                <w:sz w:val="20"/>
              </w:rPr>
              <w:t>8</w:t>
            </w:r>
            <w:r w:rsidRPr="008809ED">
              <w:rPr>
                <w:rFonts w:ascii="Times New Roman" w:hAnsi="Times New Roman" w:cs="Times New Roman"/>
                <w:sz w:val="20"/>
                <w:vertAlign w:val="superscript"/>
              </w:rPr>
              <w:t>l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ind w:hanging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15/</w:t>
            </w:r>
            <w:r w:rsidRPr="00F54B01">
              <w:rPr>
                <w:rFonts w:ascii="Times New Roman" w:hAnsi="Times New Roman" w:cs="Times New Roman"/>
                <w:spacing w:val="1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12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l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6/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1162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8/</w:t>
            </w:r>
            <w:r w:rsidRPr="001162CC">
              <w:rPr>
                <w:rFonts w:ascii="Times New Roman" w:hAnsi="Times New Roman" w:cs="Times New Roman"/>
                <w:sz w:val="20"/>
              </w:rPr>
              <w:t>7</w:t>
            </w:r>
            <w:r w:rsidRPr="001162CC">
              <w:rPr>
                <w:rFonts w:ascii="Times New Roman" w:hAnsi="Times New Roman" w:cs="Times New Roman"/>
                <w:sz w:val="20"/>
                <w:vertAlign w:val="superscript"/>
              </w:rPr>
              <w:t>g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1162CC" w:rsidRDefault="00302B89" w:rsidP="001162C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8/</w:t>
            </w:r>
            <w:r w:rsidRPr="001162CC">
              <w:rPr>
                <w:rFonts w:ascii="Times New Roman" w:hAnsi="Times New Roman" w:cs="Times New Roman"/>
                <w:sz w:val="20"/>
              </w:rPr>
              <w:t>7</w:t>
            </w:r>
            <w:r w:rsidRPr="001162CC">
              <w:rPr>
                <w:rFonts w:ascii="Times New Roman" w:hAnsi="Times New Roman" w:cs="Times New Roman"/>
                <w:sz w:val="20"/>
                <w:vertAlign w:val="superscript"/>
              </w:rPr>
              <w:t>g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ind w:hanging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10/10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l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ind w:hanging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11/10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l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ind w:hanging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13/11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l</w:t>
            </w:r>
          </w:p>
        </w:tc>
      </w:tr>
    </w:tbl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eastAsia="Times New Roman" w:hAnsi="Times New Roman" w:cs="Times New Roman"/>
          <w:position w:val="8"/>
          <w:sz w:val="12"/>
          <w:szCs w:val="12"/>
        </w:rPr>
        <w:t>a</w:t>
      </w:r>
      <w:proofErr w:type="gramEnd"/>
      <w:r w:rsidRPr="00F54B01">
        <w:rPr>
          <w:rFonts w:ascii="Times New Roman" w:eastAsia="Times New Roman" w:hAnsi="Times New Roman" w:cs="Times New Roman"/>
          <w:position w:val="8"/>
          <w:sz w:val="12"/>
          <w:szCs w:val="12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Βασισμένη στον Αλγόριθμο Μακροχρόνιας Αξιολόγησης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>(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Long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Term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Evaluation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algorithm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,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LTE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</w:rPr>
        <w:t>Analysis</w:t>
      </w:r>
      <w:r w:rsidRPr="00F54B01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 xml:space="preserve">)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>– Οι</w:t>
      </w:r>
      <w:r w:rsidRPr="00F54B01">
        <w:rPr>
          <w:rFonts w:ascii="Times New Roman" w:eastAsia="Times New Roman" w:hAnsi="Times New Roman" w:cs="Times New Roman"/>
          <w:spacing w:val="-8"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>ασθενείς οι οποίοι διέκοψαν από τη μελέτη οποιαδήποτε χρονική στιγμή πριν από την 384</w:t>
      </w:r>
      <w:r w:rsidRPr="00F54B01">
        <w:rPr>
          <w:rFonts w:ascii="Times New Roman" w:eastAsia="Times New Roman" w:hAnsi="Times New Roman" w:cs="Times New Roman"/>
          <w:position w:val="8"/>
          <w:sz w:val="12"/>
          <w:szCs w:val="12"/>
          <w:lang w:val="el-GR"/>
        </w:rPr>
        <w:t xml:space="preserve">η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>εβδομάδα λόγω καταληκτικού</w:t>
      </w:r>
      <w:r w:rsidRPr="00F54B01">
        <w:rPr>
          <w:rFonts w:ascii="Times New Roman" w:eastAsia="Times New Roman" w:hAnsi="Times New Roman" w:cs="Times New Roman"/>
          <w:spacing w:val="-4"/>
          <w:sz w:val="18"/>
          <w:szCs w:val="18"/>
          <w:lang w:val="el-GR"/>
        </w:rPr>
        <w:t xml:space="preserve">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>σημείου οριζόμενου από το πρωτόκολλο, καθώς επίσης και όσοι ολοκλήρωσαν την 384</w:t>
      </w:r>
      <w:r w:rsidRPr="00F54B01">
        <w:rPr>
          <w:rFonts w:ascii="Times New Roman" w:eastAsia="Times New Roman" w:hAnsi="Times New Roman" w:cs="Times New Roman"/>
          <w:position w:val="8"/>
          <w:sz w:val="12"/>
          <w:szCs w:val="12"/>
          <w:lang w:val="el-GR"/>
        </w:rPr>
        <w:t xml:space="preserve">η </w:t>
      </w:r>
      <w:r w:rsidRPr="00F54B01">
        <w:rPr>
          <w:rFonts w:ascii="Times New Roman" w:eastAsia="Times New Roman" w:hAnsi="Times New Roman" w:cs="Times New Roman"/>
          <w:sz w:val="18"/>
          <w:szCs w:val="18"/>
          <w:lang w:val="el-GR"/>
        </w:rPr>
        <w:t>εβδομάδα, περιλαμβάνονται στον παρονομαστή.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b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48 εβδομάδες</w:t>
      </w:r>
      <w:r w:rsidRPr="00F54B01">
        <w:rPr>
          <w:rFonts w:ascii="Times New Roman" w:hAnsi="Times New Roman" w:cs="Times New Roman"/>
          <w:spacing w:val="-16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 ανοικτής</w:t>
      </w:r>
      <w:r w:rsidRPr="00F54B01">
        <w:rPr>
          <w:rFonts w:ascii="Times New Roman" w:hAnsi="Times New Roman" w:cs="Times New Roman"/>
          <w:spacing w:val="-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c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48 εβδομάδες θεραπείας</w:t>
      </w:r>
      <w:r w:rsidRPr="00F54B01">
        <w:rPr>
          <w:rFonts w:ascii="Times New Roman" w:hAnsi="Times New Roman" w:cs="Times New Roman"/>
          <w:spacing w:val="-19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ανοικτής</w:t>
      </w:r>
      <w:r w:rsidR="006D01C2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επισήμανσης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d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Ο πληθυσμός που χρησιμοποιήθηκε για την ανάλυση της ομαλοποίησης της </w:t>
      </w:r>
      <w:r w:rsidRPr="00F54B01">
        <w:rPr>
          <w:rFonts w:ascii="Times New Roman" w:hAnsi="Times New Roman" w:cs="Times New Roman"/>
          <w:sz w:val="18"/>
        </w:rPr>
        <w:t>ALT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συμπεριέλαβε μόνο ασθενείς με</w:t>
      </w:r>
      <w:r w:rsidRPr="00F54B01">
        <w:rPr>
          <w:rFonts w:ascii="Times New Roman" w:hAnsi="Times New Roman" w:cs="Times New Roman"/>
          <w:spacing w:val="-18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ALT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πάνω από το ΑΦΟ κατά την</w:t>
      </w:r>
      <w:r w:rsidRPr="00F54B01">
        <w:rPr>
          <w:rFonts w:ascii="Times New Roman" w:hAnsi="Times New Roman" w:cs="Times New Roman"/>
          <w:spacing w:val="-10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έναρξη.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e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="008809ED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96 εβδομάδες</w:t>
      </w:r>
      <w:r w:rsidRPr="00F54B01">
        <w:rPr>
          <w:rFonts w:ascii="Times New Roman" w:hAnsi="Times New Roman" w:cs="Times New Roman"/>
          <w:spacing w:val="-18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</w:t>
      </w:r>
      <w:r w:rsidR="006D01C2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ανοικτής</w:t>
      </w:r>
      <w:r w:rsidRPr="00F54B01">
        <w:rPr>
          <w:rFonts w:ascii="Times New Roman" w:hAnsi="Times New Roman" w:cs="Times New Roman"/>
          <w:spacing w:val="-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f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96 εβδομάδες θεραπείας</w:t>
      </w:r>
      <w:r w:rsidRPr="00F54B01">
        <w:rPr>
          <w:rFonts w:ascii="Times New Roman" w:hAnsi="Times New Roman" w:cs="Times New Roman"/>
          <w:spacing w:val="-19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ανοικτής επισήμανσης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g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Τα αριθμητικά στοιχεία που παρουσιάζονται είναι συγκεντρωτικά ποσοστά βασισμένα σε ανάλυση </w:t>
      </w:r>
      <w:r w:rsidRPr="00F54B01">
        <w:rPr>
          <w:rFonts w:ascii="Times New Roman" w:hAnsi="Times New Roman" w:cs="Times New Roman"/>
          <w:sz w:val="18"/>
        </w:rPr>
        <w:t>Kaplan</w:t>
      </w:r>
      <w:r w:rsidRPr="00F54B01">
        <w:rPr>
          <w:rFonts w:ascii="Times New Roman" w:hAnsi="Times New Roman" w:cs="Times New Roman"/>
          <w:spacing w:val="-10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Meier</w:t>
      </w:r>
      <w:r w:rsidR="008809ED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συμπεριλαμβανομένων των δεδομένων που συλλέχθηκαν μετά την προσθήκη της </w:t>
      </w:r>
      <w:r w:rsidR="00203833" w:rsidRPr="00203833">
        <w:rPr>
          <w:rFonts w:ascii="Times New Roman" w:hAnsi="Times New Roman" w:cs="Times New Roman"/>
          <w:sz w:val="18"/>
          <w:lang w:val="el-GR"/>
        </w:rPr>
        <w:t>εμτρισιταβίνη</w:t>
      </w:r>
      <w:r w:rsidR="00B807B9">
        <w:rPr>
          <w:rFonts w:ascii="Times New Roman" w:hAnsi="Times New Roman" w:cs="Times New Roman"/>
          <w:sz w:val="18"/>
          <w:lang w:val="el-GR"/>
        </w:rPr>
        <w:t>ς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στη θεραπεία</w:t>
      </w:r>
      <w:r w:rsidR="008809ED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pacing w:val="-2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ανοικτής επισήμανσης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="008809ED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(</w:t>
      </w:r>
      <w:r w:rsidRPr="00F54B01">
        <w:rPr>
          <w:rFonts w:ascii="Times New Roman" w:hAnsi="Times New Roman" w:cs="Times New Roman"/>
          <w:sz w:val="18"/>
        </w:rPr>
        <w:t>KM</w:t>
      </w:r>
      <w:r w:rsidRPr="00F54B01">
        <w:rPr>
          <w:rFonts w:ascii="Times New Roman" w:hAnsi="Times New Roman" w:cs="Times New Roman"/>
          <w:sz w:val="18"/>
          <w:lang w:val="el-GR"/>
        </w:rPr>
        <w:t>-</w:t>
      </w:r>
      <w:r w:rsidRPr="00F54B01">
        <w:rPr>
          <w:rFonts w:ascii="Times New Roman" w:hAnsi="Times New Roman" w:cs="Times New Roman"/>
          <w:sz w:val="18"/>
        </w:rPr>
        <w:t>ITT</w:t>
      </w:r>
      <w:r w:rsidRPr="00F54B01">
        <w:rPr>
          <w:rFonts w:ascii="Times New Roman" w:hAnsi="Times New Roman" w:cs="Times New Roman"/>
          <w:sz w:val="18"/>
          <w:lang w:val="el-GR"/>
        </w:rPr>
        <w:t>).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h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="008809ED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144 εβδομάδες</w:t>
      </w:r>
      <w:r w:rsidRPr="00F54B01">
        <w:rPr>
          <w:rFonts w:ascii="Times New Roman" w:hAnsi="Times New Roman" w:cs="Times New Roman"/>
          <w:spacing w:val="-1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 ανοικτής</w:t>
      </w:r>
      <w:r w:rsidRPr="00F54B01">
        <w:rPr>
          <w:rFonts w:ascii="Times New Roman" w:hAnsi="Times New Roman" w:cs="Times New Roman"/>
          <w:spacing w:val="-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i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144 εβδομάδες θεραπείας</w:t>
      </w:r>
      <w:r w:rsidRPr="00F54B01">
        <w:rPr>
          <w:rFonts w:ascii="Times New Roman" w:hAnsi="Times New Roman" w:cs="Times New Roman"/>
          <w:spacing w:val="-15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ανοικτής επισήμανσης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j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="008809ED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192 εβδομάδες</w:t>
      </w:r>
      <w:r w:rsidRPr="00F54B01">
        <w:rPr>
          <w:rFonts w:ascii="Times New Roman" w:hAnsi="Times New Roman" w:cs="Times New Roman"/>
          <w:spacing w:val="-1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 ανοικτής</w:t>
      </w:r>
      <w:r w:rsidRPr="00F54B01">
        <w:rPr>
          <w:rFonts w:ascii="Times New Roman" w:hAnsi="Times New Roman" w:cs="Times New Roman"/>
          <w:spacing w:val="-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k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192 εβδομάδες θεραπείας</w:t>
      </w:r>
      <w:r w:rsidRPr="00F54B01">
        <w:rPr>
          <w:rFonts w:ascii="Times New Roman" w:hAnsi="Times New Roman" w:cs="Times New Roman"/>
          <w:spacing w:val="-15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ανοικτής επισήμανσης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l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Τα αριθμητικά στοιχεία που παρουσιάζονται είναι συγκεντρωτικά ποσοστά βασισμένα σε ανάλυση </w:t>
      </w:r>
      <w:r w:rsidRPr="00F54B01">
        <w:rPr>
          <w:rFonts w:ascii="Times New Roman" w:hAnsi="Times New Roman" w:cs="Times New Roman"/>
          <w:sz w:val="18"/>
        </w:rPr>
        <w:t>Kaplan</w:t>
      </w:r>
      <w:r w:rsidRPr="00F54B01">
        <w:rPr>
          <w:rFonts w:ascii="Times New Roman" w:hAnsi="Times New Roman" w:cs="Times New Roman"/>
          <w:spacing w:val="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Meier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εξαιρουμένων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των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δεδομένων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που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συλλέχθηκαν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μετά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την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προσθήκη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της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="00203833" w:rsidRPr="00203833">
        <w:rPr>
          <w:rFonts w:ascii="Times New Roman" w:hAnsi="Times New Roman" w:cs="Times New Roman"/>
          <w:sz w:val="18"/>
          <w:lang w:val="el-GR"/>
        </w:rPr>
        <w:t>εμτρισιταβίνη</w:t>
      </w:r>
      <w:r w:rsidR="00B807B9">
        <w:rPr>
          <w:rFonts w:ascii="Times New Roman" w:hAnsi="Times New Roman" w:cs="Times New Roman"/>
          <w:sz w:val="18"/>
          <w:lang w:val="el-GR"/>
        </w:rPr>
        <w:t>ς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στη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</w:t>
      </w:r>
      <w:r w:rsidRPr="00F54B01">
        <w:rPr>
          <w:rFonts w:ascii="Times New Roman" w:hAnsi="Times New Roman" w:cs="Times New Roman"/>
          <w:spacing w:val="-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ανοικτής</w:t>
      </w:r>
      <w:r w:rsidRPr="00F54B01">
        <w:rPr>
          <w:rFonts w:ascii="Times New Roman" w:hAnsi="Times New Roman" w:cs="Times New Roman"/>
          <w:spacing w:val="-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</w:t>
      </w:r>
      <w:r w:rsidR="006D01C2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="008809ED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(</w:t>
      </w:r>
      <w:r w:rsidRPr="00F54B01">
        <w:rPr>
          <w:rFonts w:ascii="Times New Roman" w:hAnsi="Times New Roman" w:cs="Times New Roman"/>
          <w:sz w:val="18"/>
        </w:rPr>
        <w:t>KM</w:t>
      </w:r>
      <w:r w:rsidRPr="00F54B01">
        <w:rPr>
          <w:rFonts w:ascii="Times New Roman" w:hAnsi="Times New Roman" w:cs="Times New Roman"/>
          <w:sz w:val="18"/>
          <w:lang w:val="el-GR"/>
        </w:rPr>
        <w:t>-</w:t>
      </w:r>
      <w:r w:rsidRPr="00F54B01">
        <w:rPr>
          <w:rFonts w:ascii="Times New Roman" w:hAnsi="Times New Roman" w:cs="Times New Roman"/>
          <w:sz w:val="18"/>
        </w:rPr>
        <w:t>TDF</w:t>
      </w:r>
      <w:r w:rsidRPr="00F54B01">
        <w:rPr>
          <w:rFonts w:ascii="Times New Roman" w:hAnsi="Times New Roman" w:cs="Times New Roman"/>
          <w:sz w:val="18"/>
          <w:lang w:val="el-GR"/>
        </w:rPr>
        <w:t>).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m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="008809ED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240 εβδομάδες</w:t>
      </w:r>
      <w:r w:rsidRPr="00F54B01">
        <w:rPr>
          <w:rFonts w:ascii="Times New Roman" w:hAnsi="Times New Roman" w:cs="Times New Roman"/>
          <w:spacing w:val="-18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 ανοικτής</w:t>
      </w:r>
      <w:r w:rsidRPr="00F54B01">
        <w:rPr>
          <w:rFonts w:ascii="Times New Roman" w:hAnsi="Times New Roman" w:cs="Times New Roman"/>
          <w:spacing w:val="-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n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240 εβδομάδες θεραπείας</w:t>
      </w:r>
      <w:r w:rsidRPr="00F54B01">
        <w:rPr>
          <w:rFonts w:ascii="Times New Roman" w:hAnsi="Times New Roman" w:cs="Times New Roman"/>
          <w:spacing w:val="-1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ανοικτής</w:t>
      </w:r>
      <w:r w:rsidR="006D01C2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επισήμανσης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o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="008809ED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336 εβδομάδες</w:t>
      </w:r>
      <w:r w:rsidRPr="00F54B01">
        <w:rPr>
          <w:rFonts w:ascii="Times New Roman" w:hAnsi="Times New Roman" w:cs="Times New Roman"/>
          <w:spacing w:val="-1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θεραπείας ανοικτής</w:t>
      </w:r>
      <w:r w:rsidRPr="00F54B01">
        <w:rPr>
          <w:rFonts w:ascii="Times New Roman" w:hAnsi="Times New Roman" w:cs="Times New Roman"/>
          <w:spacing w:val="-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p</w:t>
      </w:r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336 εβδομάδες θεραπείας</w:t>
      </w:r>
      <w:r w:rsidRPr="00F54B01">
        <w:rPr>
          <w:rFonts w:ascii="Times New Roman" w:hAnsi="Times New Roman" w:cs="Times New Roman"/>
          <w:spacing w:val="-17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ανοικτής</w:t>
      </w:r>
      <w:r w:rsidR="006D01C2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επισήμανσης με </w:t>
      </w:r>
      <w:r w:rsidR="008809ED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  <w:proofErr w:type="gramEnd"/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6D01C2" w:rsidRPr="00F54B01" w:rsidRDefault="00302B89" w:rsidP="006D01C2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Αντιστοιχισμένα δεδομένα βιοψίας ήπατος κατά την έναρξη και κατά την 240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ήταν διαθέσιμα για 331/489 ασθενείς που παρέμειναν στις μελέτες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-174-0102 και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-174-0103 κατά την 240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 xml:space="preserve">εβδομάδα (βλ. Πίνακα 6 παρακάτω). </w:t>
      </w:r>
      <w:r w:rsidR="003E1789">
        <w:rPr>
          <w:rFonts w:cs="Times New Roman"/>
          <w:lang w:val="el-GR"/>
        </w:rPr>
        <w:t xml:space="preserve">Το </w:t>
      </w:r>
      <w:r w:rsidR="00967063">
        <w:rPr>
          <w:rFonts w:cs="Times New Roman"/>
          <w:lang w:val="el-GR"/>
        </w:rPr>
        <w:t xml:space="preserve">95% </w:t>
      </w:r>
      <w:r w:rsidRPr="00F54B01">
        <w:rPr>
          <w:rFonts w:cs="Times New Roman"/>
          <w:lang w:val="el-GR"/>
        </w:rPr>
        <w:t xml:space="preserve"> (225/237)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των ασθενών χωρίς κίρρωση κατά την έναρξη και </w:t>
      </w:r>
      <w:r w:rsidR="003E1789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99% (93/94) των ασθενών με κίρρωση κατά την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έναρξη παρουσίασαν είτε καμία μεταβολή είτε βελτίωση στην ίνωση (κλίμακα ίνωσης </w:t>
      </w:r>
      <w:r w:rsidRPr="00F54B01">
        <w:rPr>
          <w:rFonts w:cs="Times New Roman"/>
        </w:rPr>
        <w:t>Ishak</w:t>
      </w:r>
      <w:r w:rsidRPr="00F54B01">
        <w:rPr>
          <w:rFonts w:cs="Times New Roman"/>
          <w:lang w:val="el-GR"/>
        </w:rPr>
        <w:t>). Από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τους</w:t>
      </w:r>
      <w:r w:rsidR="006D01C2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94 ασθενείς με κίρρωση κατά την έναρξη (κλίμακα ίνωσης </w:t>
      </w:r>
      <w:r w:rsidRPr="00F54B01">
        <w:rPr>
          <w:rFonts w:cs="Times New Roman"/>
        </w:rPr>
        <w:t>Ishak</w:t>
      </w:r>
      <w:r w:rsidRPr="00F54B01">
        <w:rPr>
          <w:rFonts w:cs="Times New Roman"/>
          <w:lang w:val="el-GR"/>
        </w:rPr>
        <w:t xml:space="preserve">: 5 - 6), </w:t>
      </w:r>
      <w:r w:rsidR="003E1789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26% (24) δεν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παρουσίασ</w:t>
      </w:r>
      <w:r w:rsidR="003E1789">
        <w:rPr>
          <w:rFonts w:cs="Times New Roman"/>
          <w:lang w:val="el-GR"/>
        </w:rPr>
        <w:t>ε</w:t>
      </w:r>
      <w:r w:rsidRPr="00F54B01">
        <w:rPr>
          <w:rFonts w:cs="Times New Roman"/>
          <w:lang w:val="el-GR"/>
        </w:rPr>
        <w:t xml:space="preserve"> καμία μεταβολή στην κλίμακα ίνωσης </w:t>
      </w:r>
      <w:r w:rsidRPr="00F54B01">
        <w:rPr>
          <w:rFonts w:cs="Times New Roman"/>
        </w:rPr>
        <w:t>Ishak</w:t>
      </w:r>
      <w:r w:rsidRPr="00F54B01">
        <w:rPr>
          <w:rFonts w:cs="Times New Roman"/>
          <w:lang w:val="el-GR"/>
        </w:rPr>
        <w:t xml:space="preserve"> και </w:t>
      </w:r>
      <w:r w:rsidR="003E1789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72% (68) παρουσίασ</w:t>
      </w:r>
      <w:r w:rsidR="003E1789">
        <w:rPr>
          <w:rFonts w:cs="Times New Roman"/>
          <w:lang w:val="el-GR"/>
        </w:rPr>
        <w:t xml:space="preserve">ε </w:t>
      </w:r>
      <w:r w:rsidRPr="00F54B01">
        <w:rPr>
          <w:rFonts w:cs="Times New Roman"/>
          <w:lang w:val="el-GR"/>
        </w:rPr>
        <w:t>υποχώρηση της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κίρρωσης κατά την 240</w:t>
      </w:r>
      <w:r w:rsidRPr="00F54B01">
        <w:rPr>
          <w:rFonts w:cs="Times New Roman"/>
          <w:position w:val="10"/>
          <w:sz w:val="14"/>
          <w:lang w:val="el-GR"/>
        </w:rPr>
        <w:t xml:space="preserve">η  </w:t>
      </w:r>
      <w:r w:rsidRPr="00F54B01">
        <w:rPr>
          <w:rFonts w:cs="Times New Roman"/>
          <w:lang w:val="el-GR"/>
        </w:rPr>
        <w:t xml:space="preserve">εβδομάδα με μείωση στην κλίμακα ίνωσης </w:t>
      </w:r>
      <w:r w:rsidRPr="00F54B01">
        <w:rPr>
          <w:rFonts w:cs="Times New Roman"/>
        </w:rPr>
        <w:t>Ishak</w:t>
      </w:r>
      <w:r w:rsidRPr="00F54B01">
        <w:rPr>
          <w:rFonts w:cs="Times New Roman"/>
          <w:lang w:val="el-GR"/>
        </w:rPr>
        <w:t xml:space="preserve"> τουλάχιστον 2</w:t>
      </w:r>
      <w:r w:rsidRPr="00F54B01">
        <w:rPr>
          <w:rFonts w:cs="Times New Roman"/>
          <w:spacing w:val="-33"/>
          <w:lang w:val="el-GR"/>
        </w:rPr>
        <w:t xml:space="preserve"> </w:t>
      </w:r>
      <w:r w:rsidRPr="00F54B01">
        <w:rPr>
          <w:rFonts w:cs="Times New Roman"/>
          <w:lang w:val="el-GR"/>
        </w:rPr>
        <w:t>σημείων.</w:t>
      </w:r>
    </w:p>
    <w:p w:rsidR="006D01C2" w:rsidRPr="008809ED" w:rsidRDefault="006D01C2" w:rsidP="006D01C2">
      <w:pPr>
        <w:pStyle w:val="a3"/>
        <w:ind w:left="0"/>
        <w:rPr>
          <w:rFonts w:cs="Times New Roman"/>
          <w:lang w:val="el-GR"/>
        </w:rPr>
      </w:pPr>
    </w:p>
    <w:p w:rsidR="009D104A" w:rsidRPr="008809ED" w:rsidRDefault="00302B89" w:rsidP="006D01C2">
      <w:pPr>
        <w:pStyle w:val="a3"/>
        <w:ind w:left="0"/>
        <w:rPr>
          <w:rFonts w:cs="Times New Roman"/>
          <w:b/>
          <w:bCs/>
          <w:lang w:val="el-GR"/>
        </w:rPr>
      </w:pPr>
      <w:r w:rsidRPr="008809ED">
        <w:rPr>
          <w:rFonts w:cs="Times New Roman"/>
          <w:b/>
          <w:lang w:val="el-GR"/>
        </w:rPr>
        <w:t xml:space="preserve">Πίνακας 6: Ιστολογική ανταπόκριση (%) σε </w:t>
      </w:r>
      <w:r w:rsidRPr="008809ED">
        <w:rPr>
          <w:rFonts w:cs="Times New Roman"/>
          <w:b/>
        </w:rPr>
        <w:t>HBeAg</w:t>
      </w:r>
      <w:r w:rsidRPr="008809ED">
        <w:rPr>
          <w:rFonts w:cs="Times New Roman"/>
          <w:b/>
          <w:lang w:val="el-GR"/>
        </w:rPr>
        <w:t xml:space="preserve"> αρνητικά και </w:t>
      </w:r>
      <w:r w:rsidRPr="008809ED">
        <w:rPr>
          <w:rFonts w:cs="Times New Roman"/>
          <w:b/>
        </w:rPr>
        <w:t>HBeAg</w:t>
      </w:r>
      <w:r w:rsidRPr="008809ED">
        <w:rPr>
          <w:rFonts w:cs="Times New Roman"/>
          <w:b/>
          <w:lang w:val="el-GR"/>
        </w:rPr>
        <w:t xml:space="preserve"> θετικά άτομα</w:t>
      </w:r>
      <w:r w:rsidRPr="008809ED">
        <w:rPr>
          <w:rFonts w:cs="Times New Roman"/>
          <w:b/>
          <w:spacing w:val="-14"/>
          <w:lang w:val="el-GR"/>
        </w:rPr>
        <w:t xml:space="preserve"> </w:t>
      </w:r>
      <w:r w:rsidRPr="008809ED">
        <w:rPr>
          <w:rFonts w:cs="Times New Roman"/>
          <w:b/>
          <w:lang w:val="el-GR"/>
        </w:rPr>
        <w:t>με αντιρροπούμενη νόσο κατά την 240</w:t>
      </w:r>
      <w:r w:rsidRPr="008809ED">
        <w:rPr>
          <w:rFonts w:cs="Times New Roman"/>
          <w:b/>
          <w:position w:val="10"/>
          <w:sz w:val="14"/>
          <w:lang w:val="el-GR"/>
        </w:rPr>
        <w:t xml:space="preserve">η  </w:t>
      </w:r>
      <w:r w:rsidRPr="008809ED">
        <w:rPr>
          <w:rFonts w:cs="Times New Roman"/>
          <w:b/>
          <w:lang w:val="el-GR"/>
        </w:rPr>
        <w:t>εβδομάδα σε σύγκριση με την</w:t>
      </w:r>
      <w:r w:rsidRPr="008809ED">
        <w:rPr>
          <w:rFonts w:cs="Times New Roman"/>
          <w:b/>
          <w:spacing w:val="-26"/>
          <w:lang w:val="el-GR"/>
        </w:rPr>
        <w:t xml:space="preserve"> </w:t>
      </w:r>
      <w:r w:rsidRPr="008809ED">
        <w:rPr>
          <w:rFonts w:cs="Times New Roman"/>
          <w:b/>
          <w:lang w:val="el-GR"/>
        </w:rPr>
        <w:t>έναρξη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51"/>
        <w:gridCol w:w="1853"/>
        <w:gridCol w:w="1851"/>
        <w:gridCol w:w="1853"/>
      </w:tblGrid>
      <w:tr w:rsidR="009D104A" w:rsidRPr="00F54B01">
        <w:trPr>
          <w:trHeight w:hRule="exact" w:val="422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ind w:firstLine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B01">
              <w:rPr>
                <w:rFonts w:ascii="Times New Roman" w:hAnsi="Times New Roman" w:cs="Times New Roman"/>
                <w:b/>
                <w:sz w:val="18"/>
              </w:rPr>
              <w:t>Μελέτη</w:t>
            </w:r>
            <w:r w:rsidRPr="00F54B01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18"/>
              </w:rPr>
              <w:t>174-0102 (HBeAg</w:t>
            </w:r>
            <w:r w:rsidRPr="00F54B01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18"/>
              </w:rPr>
              <w:t>αρνητικό)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ind w:hanging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B01">
              <w:rPr>
                <w:rFonts w:ascii="Times New Roman" w:hAnsi="Times New Roman" w:cs="Times New Roman"/>
                <w:b/>
                <w:sz w:val="18"/>
              </w:rPr>
              <w:t>Μελέτη</w:t>
            </w:r>
            <w:r w:rsidRPr="00F54B01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18"/>
              </w:rPr>
              <w:t>174-0103 (HBeAg</w:t>
            </w:r>
            <w:r w:rsidRPr="00F54B01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18"/>
              </w:rPr>
              <w:t>θετικό)</w:t>
            </w:r>
          </w:p>
        </w:tc>
      </w:tr>
      <w:tr w:rsidR="009D104A" w:rsidRPr="00F54B01">
        <w:trPr>
          <w:trHeight w:hRule="exact" w:val="1046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B9" w:rsidRDefault="008809ED" w:rsidP="009A7039">
            <w:pPr>
              <w:pStyle w:val="TableParagraph"/>
              <w:ind w:hanging="1"/>
              <w:jc w:val="center"/>
              <w:rPr>
                <w:rFonts w:ascii="Times New Roman" w:hAnsi="Times New Roman" w:cs="Times New Roman"/>
                <w:sz w:val="18"/>
                <w:lang w:val="el-GR"/>
              </w:rPr>
            </w:pPr>
            <w:r>
              <w:rPr>
                <w:rFonts w:ascii="Times New Roman" w:hAnsi="Times New Roman" w:cs="Times New Roman"/>
                <w:sz w:val="18"/>
                <w:lang w:val="el-GR"/>
              </w:rPr>
              <w:t>Τ</w:t>
            </w:r>
            <w:r w:rsidRPr="008809ED">
              <w:rPr>
                <w:rFonts w:ascii="Times New Roman" w:hAnsi="Times New Roman" w:cs="Times New Roman"/>
                <w:sz w:val="18"/>
                <w:lang w:val="el-GR"/>
              </w:rPr>
              <w:t>ενοφοβίρη</w:t>
            </w:r>
            <w:r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</w:t>
            </w:r>
            <w:r w:rsidRPr="008809ED">
              <w:rPr>
                <w:rFonts w:ascii="Times New Roman" w:hAnsi="Times New Roman" w:cs="Times New Roman"/>
                <w:sz w:val="18"/>
                <w:lang w:val="el-GR"/>
              </w:rPr>
              <w:t>δισοπρόξιλη</w:t>
            </w:r>
            <w:r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245 </w:t>
            </w:r>
            <w:r w:rsidR="00302B89" w:rsidRPr="00F54B01">
              <w:rPr>
                <w:rFonts w:ascii="Times New Roman" w:hAnsi="Times New Roman" w:cs="Times New Roman"/>
                <w:sz w:val="18"/>
              </w:rPr>
              <w:t>mg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(ως</w:t>
            </w:r>
            <w:r w:rsidR="00302B89" w:rsidRPr="00FB72E2">
              <w:rPr>
                <w:rFonts w:ascii="Times New Roman" w:hAnsi="Times New Roman" w:cs="Times New Roman"/>
                <w:spacing w:val="-6"/>
                <w:sz w:val="18"/>
                <w:lang w:val="el-GR"/>
              </w:rPr>
              <w:t xml:space="preserve"> </w:t>
            </w:r>
            <w:r w:rsidR="00FB72E2">
              <w:rPr>
                <w:rFonts w:ascii="Times New Roman" w:hAnsi="Times New Roman" w:cs="Times New Roman"/>
                <w:sz w:val="18"/>
                <w:lang w:val="el-GR"/>
              </w:rPr>
              <w:t>ηλεκτρική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) </w:t>
            </w:r>
          </w:p>
          <w:p w:rsidR="009D104A" w:rsidRPr="00FB72E2" w:rsidRDefault="00302B89" w:rsidP="009A7039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18"/>
              </w:rPr>
              <w:t>n</w:t>
            </w:r>
            <w:r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= 250</w:t>
            </w:r>
            <w:r w:rsidRPr="00F54B01">
              <w:rPr>
                <w:rFonts w:ascii="Times New Roman" w:hAnsi="Times New Roman" w:cs="Times New Roman"/>
                <w:position w:val="8"/>
                <w:sz w:val="12"/>
              </w:rPr>
              <w:t>c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B72E2" w:rsidRDefault="00AA45B9" w:rsidP="009A7039">
            <w:pPr>
              <w:pStyle w:val="TableParagraph"/>
              <w:ind w:firstLine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  <w:r w:rsidRPr="00AA45B9">
              <w:rPr>
                <w:rFonts w:ascii="Times New Roman" w:hAnsi="Times New Roman" w:cs="Times New Roman"/>
                <w:sz w:val="18"/>
                <w:lang w:val="el-GR"/>
              </w:rPr>
              <w:t>Αδεφοβίρη διπιβοξίλη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10 </w:t>
            </w:r>
            <w:r w:rsidR="00302B89" w:rsidRPr="00F54B01">
              <w:rPr>
                <w:rFonts w:ascii="Times New Roman" w:hAnsi="Times New Roman" w:cs="Times New Roman"/>
                <w:sz w:val="18"/>
              </w:rPr>
              <w:t>mg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αλλαγή</w:t>
            </w:r>
            <w:r w:rsidR="00302B89" w:rsidRPr="00FB72E2">
              <w:rPr>
                <w:rFonts w:ascii="Times New Roman" w:hAnsi="Times New Roman" w:cs="Times New Roman"/>
                <w:spacing w:val="-3"/>
                <w:sz w:val="18"/>
                <w:lang w:val="el-GR"/>
              </w:rPr>
              <w:t xml:space="preserve"> 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σε </w:t>
            </w:r>
            <w:r w:rsidR="00643ECB" w:rsidRPr="00FB72E2">
              <w:rPr>
                <w:rFonts w:ascii="Times New Roman" w:hAnsi="Times New Roman" w:cs="Times New Roman"/>
                <w:sz w:val="18"/>
                <w:lang w:val="el-GR"/>
              </w:rPr>
              <w:t>τενοφοβίρη δισοπρόξιλη</w:t>
            </w:r>
            <w:r w:rsidR="00894E60">
              <w:rPr>
                <w:rFonts w:ascii="Times New Roman" w:hAnsi="Times New Roman" w:cs="Times New Roman"/>
                <w:sz w:val="18"/>
                <w:lang w:val="el-GR"/>
              </w:rPr>
              <w:t xml:space="preserve"> 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245 </w:t>
            </w:r>
            <w:r w:rsidR="00302B89" w:rsidRPr="00F54B01">
              <w:rPr>
                <w:rFonts w:ascii="Times New Roman" w:hAnsi="Times New Roman" w:cs="Times New Roman"/>
                <w:sz w:val="18"/>
              </w:rPr>
              <w:t>mg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(ως</w:t>
            </w:r>
            <w:r w:rsidR="00302B89" w:rsidRPr="00FB72E2">
              <w:rPr>
                <w:rFonts w:ascii="Times New Roman" w:hAnsi="Times New Roman" w:cs="Times New Roman"/>
                <w:spacing w:val="-7"/>
                <w:sz w:val="18"/>
                <w:lang w:val="el-GR"/>
              </w:rPr>
              <w:t xml:space="preserve"> </w:t>
            </w:r>
            <w:r w:rsidR="00FB72E2">
              <w:rPr>
                <w:rFonts w:ascii="Times New Roman" w:hAnsi="Times New Roman" w:cs="Times New Roman"/>
                <w:sz w:val="18"/>
                <w:lang w:val="el-GR"/>
              </w:rPr>
              <w:t>ηλεκτρική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>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4B01">
              <w:rPr>
                <w:rFonts w:ascii="Times New Roman" w:hAnsi="Times New Roman" w:cs="Times New Roman"/>
                <w:sz w:val="18"/>
              </w:rPr>
              <w:t>n =</w:t>
            </w:r>
            <w:r w:rsidRPr="00F54B01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18"/>
              </w:rPr>
              <w:t>125</w:t>
            </w:r>
            <w:r w:rsidRPr="00F54B01">
              <w:rPr>
                <w:rFonts w:ascii="Times New Roman" w:hAnsi="Times New Roman" w:cs="Times New Roman"/>
                <w:position w:val="8"/>
                <w:sz w:val="12"/>
              </w:rPr>
              <w:t>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B9" w:rsidRDefault="008809ED" w:rsidP="009A70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el-GR"/>
              </w:rPr>
            </w:pPr>
            <w:r>
              <w:rPr>
                <w:rFonts w:ascii="Times New Roman" w:hAnsi="Times New Roman" w:cs="Times New Roman"/>
                <w:sz w:val="18"/>
                <w:lang w:val="el-GR"/>
              </w:rPr>
              <w:t>Τενοφοβίρη</w:t>
            </w:r>
            <w:r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l-GR"/>
              </w:rPr>
              <w:t>δισοπρόξιλη</w:t>
            </w:r>
            <w:r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245 </w:t>
            </w:r>
            <w:r w:rsidR="00302B89" w:rsidRPr="00F54B01">
              <w:rPr>
                <w:rFonts w:ascii="Times New Roman" w:hAnsi="Times New Roman" w:cs="Times New Roman"/>
                <w:sz w:val="18"/>
              </w:rPr>
              <w:t>mg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(ως</w:t>
            </w:r>
            <w:r w:rsidR="00302B89" w:rsidRPr="00FB72E2">
              <w:rPr>
                <w:rFonts w:ascii="Times New Roman" w:hAnsi="Times New Roman" w:cs="Times New Roman"/>
                <w:spacing w:val="-7"/>
                <w:sz w:val="18"/>
                <w:lang w:val="el-GR"/>
              </w:rPr>
              <w:t xml:space="preserve"> </w:t>
            </w:r>
            <w:r w:rsidR="00FB72E2">
              <w:rPr>
                <w:rFonts w:ascii="Times New Roman" w:hAnsi="Times New Roman" w:cs="Times New Roman"/>
                <w:sz w:val="18"/>
                <w:lang w:val="el-GR"/>
              </w:rPr>
              <w:t>ηλεκτρική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>)</w:t>
            </w:r>
          </w:p>
          <w:p w:rsidR="009D104A" w:rsidRPr="00FB72E2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l-GR"/>
              </w:rPr>
            </w:pPr>
            <w:r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18"/>
              </w:rPr>
              <w:t>n</w:t>
            </w:r>
            <w:r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= 176</w:t>
            </w:r>
            <w:r w:rsidRPr="00F54B01">
              <w:rPr>
                <w:rFonts w:ascii="Times New Roman" w:hAnsi="Times New Roman" w:cs="Times New Roman"/>
                <w:position w:val="8"/>
                <w:sz w:val="12"/>
              </w:rPr>
              <w:t>c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B72E2" w:rsidRDefault="00AA45B9" w:rsidP="009A7039">
            <w:pPr>
              <w:pStyle w:val="TableParagraph"/>
              <w:ind w:firstLine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  <w:r w:rsidRPr="00AA45B9">
              <w:rPr>
                <w:rFonts w:ascii="Times New Roman" w:hAnsi="Times New Roman" w:cs="Times New Roman"/>
                <w:sz w:val="18"/>
                <w:lang w:val="el-GR"/>
              </w:rPr>
              <w:t>Αδεφοβίρη διπιβοξίλη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10 </w:t>
            </w:r>
            <w:r w:rsidR="00302B89" w:rsidRPr="00F54B01">
              <w:rPr>
                <w:rFonts w:ascii="Times New Roman" w:hAnsi="Times New Roman" w:cs="Times New Roman"/>
                <w:sz w:val="18"/>
              </w:rPr>
              <w:t>mg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αλλαγή</w:t>
            </w:r>
            <w:r w:rsidR="00302B89" w:rsidRPr="00FB72E2">
              <w:rPr>
                <w:rFonts w:ascii="Times New Roman" w:hAnsi="Times New Roman" w:cs="Times New Roman"/>
                <w:spacing w:val="-3"/>
                <w:sz w:val="18"/>
                <w:lang w:val="el-GR"/>
              </w:rPr>
              <w:t xml:space="preserve"> 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σε </w:t>
            </w:r>
            <w:r w:rsidR="00643ECB" w:rsidRPr="00FB72E2">
              <w:rPr>
                <w:rFonts w:ascii="Times New Roman" w:hAnsi="Times New Roman" w:cs="Times New Roman"/>
                <w:sz w:val="18"/>
                <w:lang w:val="el-GR"/>
              </w:rPr>
              <w:t>τενοφοβίρη δισοπρόξιλη</w:t>
            </w:r>
            <w:r w:rsidR="00894E60">
              <w:rPr>
                <w:rFonts w:ascii="Times New Roman" w:hAnsi="Times New Roman" w:cs="Times New Roman"/>
                <w:sz w:val="18"/>
                <w:lang w:val="el-GR"/>
              </w:rPr>
              <w:t xml:space="preserve"> 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245 </w:t>
            </w:r>
            <w:r w:rsidR="00302B89" w:rsidRPr="00F54B01">
              <w:rPr>
                <w:rFonts w:ascii="Times New Roman" w:hAnsi="Times New Roman" w:cs="Times New Roman"/>
                <w:sz w:val="18"/>
              </w:rPr>
              <w:t>mg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 xml:space="preserve"> (ως</w:t>
            </w:r>
            <w:r w:rsidR="00302B89" w:rsidRPr="00FB72E2">
              <w:rPr>
                <w:rFonts w:ascii="Times New Roman" w:hAnsi="Times New Roman" w:cs="Times New Roman"/>
                <w:spacing w:val="-7"/>
                <w:sz w:val="18"/>
                <w:lang w:val="el-GR"/>
              </w:rPr>
              <w:t xml:space="preserve"> </w:t>
            </w:r>
            <w:r w:rsidR="00FB72E2">
              <w:rPr>
                <w:rFonts w:ascii="Times New Roman" w:hAnsi="Times New Roman" w:cs="Times New Roman"/>
                <w:sz w:val="18"/>
                <w:lang w:val="el-GR"/>
              </w:rPr>
              <w:t>ηλεκτρική</w:t>
            </w:r>
            <w:r w:rsidR="00302B89" w:rsidRPr="00FB72E2">
              <w:rPr>
                <w:rFonts w:ascii="Times New Roman" w:hAnsi="Times New Roman" w:cs="Times New Roman"/>
                <w:sz w:val="18"/>
                <w:lang w:val="el-GR"/>
              </w:rPr>
              <w:t>)</w:t>
            </w:r>
          </w:p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4B01">
              <w:rPr>
                <w:rFonts w:ascii="Times New Roman" w:hAnsi="Times New Roman" w:cs="Times New Roman"/>
                <w:sz w:val="18"/>
              </w:rPr>
              <w:t>n =</w:t>
            </w:r>
            <w:r w:rsidRPr="00F54B01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18"/>
              </w:rPr>
              <w:t>90</w:t>
            </w:r>
            <w:r w:rsidRPr="00F54B01">
              <w:rPr>
                <w:rFonts w:ascii="Times New Roman" w:hAnsi="Times New Roman" w:cs="Times New Roman"/>
                <w:position w:val="8"/>
                <w:sz w:val="12"/>
              </w:rPr>
              <w:t>d</w:t>
            </w:r>
          </w:p>
        </w:tc>
      </w:tr>
      <w:tr w:rsidR="009D104A" w:rsidRPr="00F54B01">
        <w:trPr>
          <w:trHeight w:hRule="exact" w:val="42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B01">
              <w:rPr>
                <w:rFonts w:ascii="Times New Roman" w:hAnsi="Times New Roman" w:cs="Times New Roman"/>
                <w:sz w:val="18"/>
              </w:rPr>
              <w:t>Ιστολογική ανταπόκριση</w:t>
            </w:r>
            <w:r w:rsidRPr="00F54B01">
              <w:rPr>
                <w:rFonts w:ascii="Times New Roman" w:hAnsi="Times New Roman" w:cs="Times New Roman"/>
                <w:position w:val="8"/>
                <w:sz w:val="12"/>
              </w:rPr>
              <w:t>a</w:t>
            </w:r>
            <w:proofErr w:type="gramStart"/>
            <w:r w:rsidRPr="00F54B01">
              <w:rPr>
                <w:rFonts w:ascii="Times New Roman" w:hAnsi="Times New Roman" w:cs="Times New Roman"/>
                <w:position w:val="8"/>
                <w:sz w:val="12"/>
              </w:rPr>
              <w:t>,b</w:t>
            </w:r>
            <w:proofErr w:type="gramEnd"/>
            <w:r w:rsidRPr="00F54B01">
              <w:rPr>
                <w:rFonts w:ascii="Times New Roman" w:hAnsi="Times New Roman" w:cs="Times New Roman"/>
                <w:spacing w:val="8"/>
                <w:position w:val="8"/>
                <w:sz w:val="12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ind w:firstLine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B01">
              <w:rPr>
                <w:rFonts w:ascii="Times New Roman" w:hAnsi="Times New Roman" w:cs="Times New Roman"/>
                <w:sz w:val="18"/>
              </w:rPr>
              <w:t>88</w:t>
            </w:r>
            <w:r w:rsidRPr="00F54B01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18"/>
              </w:rPr>
              <w:t>[130/148]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B01">
              <w:rPr>
                <w:rFonts w:ascii="Times New Roman" w:hAnsi="Times New Roman" w:cs="Times New Roman"/>
                <w:sz w:val="18"/>
              </w:rPr>
              <w:t>85</w:t>
            </w:r>
            <w:r w:rsidRPr="00F54B01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18"/>
              </w:rPr>
              <w:t>[63/74]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B01">
              <w:rPr>
                <w:rFonts w:ascii="Times New Roman" w:hAnsi="Times New Roman" w:cs="Times New Roman"/>
                <w:sz w:val="18"/>
              </w:rPr>
              <w:t>90</w:t>
            </w:r>
            <w:r w:rsidRPr="00F54B01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18"/>
              </w:rPr>
              <w:t>[63/70]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B01">
              <w:rPr>
                <w:rFonts w:ascii="Times New Roman" w:hAnsi="Times New Roman" w:cs="Times New Roman"/>
                <w:sz w:val="18"/>
              </w:rPr>
              <w:t>92</w:t>
            </w:r>
            <w:r w:rsidRPr="00F54B01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18"/>
              </w:rPr>
              <w:t>[36/39]</w:t>
            </w:r>
          </w:p>
        </w:tc>
      </w:tr>
    </w:tbl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a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Ο πληθυσμός που χρησιμοποιήθηκε για την ανάλυση της ιστολογίας συμπεριέλαβε μόνο ασθενείς με διαθέσιμα</w:t>
      </w:r>
      <w:r w:rsidRPr="00F54B01">
        <w:rPr>
          <w:rFonts w:ascii="Times New Roman" w:hAnsi="Times New Roman" w:cs="Times New Roman"/>
          <w:spacing w:val="-12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δεδομένα βιοψίας ήπατος (Απουσία = Αποκλεισμός) κατά την 240</w:t>
      </w:r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η </w:t>
      </w:r>
      <w:r w:rsidRPr="00F54B01">
        <w:rPr>
          <w:rFonts w:ascii="Times New Roman" w:hAnsi="Times New Roman" w:cs="Times New Roman"/>
          <w:sz w:val="18"/>
          <w:lang w:val="el-GR"/>
        </w:rPr>
        <w:t>εβδομάδα. Η ανταπόκριση μετά την προσθήκη της</w:t>
      </w:r>
      <w:r w:rsidRPr="00F54B01">
        <w:rPr>
          <w:rFonts w:ascii="Times New Roman" w:hAnsi="Times New Roman" w:cs="Times New Roman"/>
          <w:spacing w:val="-11"/>
          <w:sz w:val="18"/>
          <w:lang w:val="el-GR"/>
        </w:rPr>
        <w:t xml:space="preserve"> </w:t>
      </w:r>
      <w:r w:rsidR="00203833" w:rsidRPr="00203833">
        <w:rPr>
          <w:rFonts w:ascii="Times New Roman" w:hAnsi="Times New Roman" w:cs="Times New Roman"/>
          <w:sz w:val="18"/>
          <w:lang w:val="el-GR"/>
        </w:rPr>
        <w:t>εμτρισιταβίνη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lastRenderedPageBreak/>
        <w:t>αποκλείσθηκε (σύνολο 17 ατόμων και στις δύο</w:t>
      </w:r>
      <w:r w:rsidRPr="00F54B01">
        <w:rPr>
          <w:rFonts w:ascii="Times New Roman" w:hAnsi="Times New Roman" w:cs="Times New Roman"/>
          <w:spacing w:val="-13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μελέτες).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b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Βελτίωση στην κλίμακα </w:t>
      </w:r>
      <w:r w:rsidRPr="00F54B01">
        <w:rPr>
          <w:rFonts w:ascii="Times New Roman" w:hAnsi="Times New Roman" w:cs="Times New Roman"/>
          <w:sz w:val="18"/>
        </w:rPr>
        <w:t>Knodell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φλεγμονής-νέκρωσης τουλάχιστον 2 σημείων χωρίς επιδείνωση στην κλίμακα</w:t>
      </w:r>
      <w:r w:rsidRPr="00F54B01">
        <w:rPr>
          <w:rFonts w:ascii="Times New Roman" w:hAnsi="Times New Roman" w:cs="Times New Roman"/>
          <w:spacing w:val="-15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ίνωσης</w:t>
      </w:r>
      <w:r w:rsidR="006D01C2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</w:rPr>
        <w:t>Knodell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c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901EF3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="00901EF3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ακολουθούμενης από έως 192</w:t>
      </w:r>
      <w:r w:rsidRPr="00F54B01">
        <w:rPr>
          <w:rFonts w:ascii="Times New Roman" w:hAnsi="Times New Roman" w:cs="Times New Roman"/>
          <w:spacing w:val="-14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εβδομάδες θεραπείας ανοικτής</w:t>
      </w:r>
      <w:r w:rsidRPr="00F54B01">
        <w:rPr>
          <w:rFonts w:ascii="Times New Roman" w:hAnsi="Times New Roman" w:cs="Times New Roman"/>
          <w:spacing w:val="-10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επισήμανσης.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d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48 εβδομάδες διπλής τυφλής θεραπείας με </w:t>
      </w:r>
      <w:r w:rsidR="00AA45B9" w:rsidRPr="00AA45B9">
        <w:rPr>
          <w:rFonts w:ascii="Times New Roman" w:hAnsi="Times New Roman" w:cs="Times New Roman"/>
          <w:sz w:val="18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ακολουθούμενης από έως 192 εβδομάδες θεραπείας</w:t>
      </w:r>
      <w:r w:rsidRPr="00F54B01">
        <w:rPr>
          <w:rFonts w:ascii="Times New Roman" w:hAnsi="Times New Roman" w:cs="Times New Roman"/>
          <w:spacing w:val="-16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ανοικτής</w:t>
      </w:r>
      <w:r w:rsidR="006D01C2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επισήμανσης με </w:t>
      </w:r>
      <w:r w:rsidR="00901EF3">
        <w:rPr>
          <w:rFonts w:ascii="Times New Roman" w:hAnsi="Times New Roman" w:cs="Times New Roman"/>
          <w:sz w:val="18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sz w:val="18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901EF3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 xml:space="preserve">Εμπειρία σε ασθενείς με συνυπάρχουσα λοίμωξη από τον ιό </w:t>
      </w:r>
      <w:r w:rsidRPr="00F54B01">
        <w:rPr>
          <w:rFonts w:ascii="Times New Roman" w:hAnsi="Times New Roman" w:cs="Times New Roman"/>
          <w:i/>
        </w:rPr>
        <w:t>HIV</w:t>
      </w:r>
      <w:r w:rsidRPr="00F54B01">
        <w:rPr>
          <w:rFonts w:ascii="Times New Roman" w:hAnsi="Times New Roman" w:cs="Times New Roman"/>
          <w:i/>
          <w:lang w:val="el-GR"/>
        </w:rPr>
        <w:t xml:space="preserve"> και προηγούμενη θεραπεία</w:t>
      </w:r>
      <w:r w:rsidRPr="00F54B01">
        <w:rPr>
          <w:rFonts w:ascii="Times New Roman" w:hAnsi="Times New Roman" w:cs="Times New Roman"/>
          <w:i/>
          <w:spacing w:val="-20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 xml:space="preserve">με </w:t>
      </w:r>
      <w:r w:rsidR="00643ECB" w:rsidRPr="00FB72E2">
        <w:rPr>
          <w:rFonts w:ascii="Times New Roman" w:hAnsi="Times New Roman" w:cs="Times New Roman"/>
          <w:i/>
          <w:lang w:val="el-GR"/>
        </w:rPr>
        <w:t>λαμιβουδίνη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Σε τυχαιοποιημένη, διπλή τυφλή, ελεγχόμενη μελέτη 48 εβδομάδων με </w:t>
      </w:r>
      <w:r w:rsidR="00901EF3" w:rsidRPr="00901EF3">
        <w:rPr>
          <w:rFonts w:cs="Times New Roman"/>
          <w:lang w:val="el-GR"/>
        </w:rPr>
        <w:t xml:space="preserve">τενοφοβίρη δισοπρόξιλη </w:t>
      </w:r>
      <w:r w:rsidRPr="00F54B01">
        <w:rPr>
          <w:rFonts w:cs="Times New Roman"/>
          <w:lang w:val="el-GR"/>
        </w:rPr>
        <w:t>245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σε ενήλικες ασθενείς με συνυπάρχουσα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 λοίμωξη και χρόνια ηπατίτιδα </w:t>
      </w:r>
      <w:r w:rsidRPr="00F54B01">
        <w:rPr>
          <w:rFonts w:cs="Times New Roman"/>
        </w:rPr>
        <w:t>B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σε προηγούμενη θεραπεία με </w:t>
      </w:r>
      <w:r w:rsidR="00643ECB" w:rsidRPr="00FB72E2">
        <w:rPr>
          <w:rFonts w:cs="Times New Roman"/>
          <w:lang w:val="el-GR"/>
        </w:rPr>
        <w:t>λαμιβουδίνη</w:t>
      </w:r>
      <w:r w:rsidR="00901EF3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(μελέτη </w:t>
      </w:r>
      <w:r w:rsidRPr="00F54B01">
        <w:rPr>
          <w:rFonts w:cs="Times New Roman"/>
        </w:rPr>
        <w:t>ACTG</w:t>
      </w:r>
      <w:r w:rsidRPr="00F54B01">
        <w:rPr>
          <w:rFonts w:cs="Times New Roman"/>
          <w:lang w:val="el-GR"/>
        </w:rPr>
        <w:t xml:space="preserve"> 5127), τα μέσα επίπεδα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 xml:space="preserve"> ορού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κατά την έναρξη σε ασθενείς τυχαιοποιημένους στο σκέλος </w:t>
      </w:r>
      <w:r w:rsidR="00901EF3">
        <w:rPr>
          <w:rFonts w:cs="Times New Roman"/>
          <w:lang w:val="el-GR"/>
        </w:rPr>
        <w:t>τενοφοβίρης</w:t>
      </w:r>
      <w:r w:rsidR="003E1789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ήταν 9,45 </w:t>
      </w:r>
      <w:r w:rsidRPr="00F54B01">
        <w:rPr>
          <w:rFonts w:cs="Times New Roman"/>
        </w:rPr>
        <w:t>log</w:t>
      </w:r>
      <w:r w:rsidRPr="00F54B01">
        <w:rPr>
          <w:rFonts w:cs="Times New Roman"/>
          <w:position w:val="-2"/>
          <w:sz w:val="14"/>
          <w:lang w:val="el-GR"/>
        </w:rPr>
        <w:t>10</w:t>
      </w:r>
      <w:r w:rsidRPr="00F54B01">
        <w:rPr>
          <w:rFonts w:cs="Times New Roman"/>
          <w:spacing w:val="-2"/>
          <w:position w:val="-2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="006D01C2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27). Η θεραπεία με </w:t>
      </w:r>
      <w:r w:rsidR="00901EF3" w:rsidRPr="00901EF3">
        <w:rPr>
          <w:rFonts w:cs="Times New Roman"/>
          <w:lang w:val="el-GR"/>
        </w:rPr>
        <w:t xml:space="preserve">τενοφοβίρη δισοπρόξιλη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συσχετίστηκε με μια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μέση μεταβολή στο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 xml:space="preserve"> ορού από την έναρξη, στους ασθενείς για τους οποίους υπήρχαν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δεδομένα 48 εβδομάδων, της τάξης του -5,74 </w:t>
      </w:r>
      <w:r w:rsidRPr="00F54B01">
        <w:rPr>
          <w:rFonts w:cs="Times New Roman"/>
        </w:rPr>
        <w:t>log</w:t>
      </w:r>
      <w:r w:rsidRPr="00F54B01">
        <w:rPr>
          <w:rFonts w:cs="Times New Roman"/>
          <w:position w:val="-2"/>
          <w:sz w:val="14"/>
          <w:lang w:val="el-GR"/>
        </w:rPr>
        <w:t xml:space="preserve">10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18). Επιπλέον, </w:t>
      </w:r>
      <w:r w:rsidR="003E1789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61% των ασθενών</w:t>
      </w:r>
      <w:r w:rsidRPr="00F54B01">
        <w:rPr>
          <w:rFonts w:cs="Times New Roman"/>
          <w:spacing w:val="-4"/>
          <w:lang w:val="el-GR"/>
        </w:rPr>
        <w:t xml:space="preserve"> </w:t>
      </w:r>
      <w:r w:rsidRPr="00F54B01">
        <w:rPr>
          <w:rFonts w:cs="Times New Roman"/>
          <w:lang w:val="el-GR"/>
        </w:rPr>
        <w:t>είχ</w:t>
      </w:r>
      <w:r w:rsidR="003E1789">
        <w:rPr>
          <w:rFonts w:cs="Times New Roman"/>
          <w:lang w:val="el-GR"/>
        </w:rPr>
        <w:t xml:space="preserve">ε </w:t>
      </w:r>
      <w:r w:rsidRPr="00F54B01">
        <w:rPr>
          <w:rFonts w:cs="Times New Roman"/>
          <w:lang w:val="el-GR"/>
        </w:rPr>
        <w:t xml:space="preserve">φυσιολογική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κατά την 48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spacing w:val="12"/>
          <w:position w:val="10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Εμπειρία σε ασθενείς με επιμένουσα ιική αντιγραφή (μελέτη</w:t>
      </w:r>
      <w:r w:rsidRPr="00F54B01">
        <w:rPr>
          <w:rFonts w:ascii="Times New Roman" w:hAnsi="Times New Roman" w:cs="Times New Roman"/>
          <w:i/>
          <w:spacing w:val="-1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GS</w:t>
      </w:r>
      <w:r w:rsidRPr="00F54B01">
        <w:rPr>
          <w:rFonts w:ascii="Times New Roman" w:hAnsi="Times New Roman" w:cs="Times New Roman"/>
          <w:i/>
          <w:lang w:val="el-GR"/>
        </w:rPr>
        <w:t>-</w:t>
      </w:r>
      <w:r w:rsidRPr="00F54B01">
        <w:rPr>
          <w:rFonts w:ascii="Times New Roman" w:hAnsi="Times New Roman" w:cs="Times New Roman"/>
          <w:i/>
        </w:rPr>
        <w:t>US</w:t>
      </w:r>
      <w:r w:rsidRPr="00F54B01">
        <w:rPr>
          <w:rFonts w:ascii="Times New Roman" w:hAnsi="Times New Roman" w:cs="Times New Roman"/>
          <w:i/>
          <w:lang w:val="el-GR"/>
        </w:rPr>
        <w:t>-174-0106)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αποτελεσματικότητα και η ασφάλεια </w:t>
      </w:r>
      <w:r w:rsidR="00901EF3" w:rsidRPr="00F54B01">
        <w:rPr>
          <w:rFonts w:cs="Times New Roman"/>
          <w:lang w:val="el-GR"/>
        </w:rPr>
        <w:t>τ</w:t>
      </w:r>
      <w:r w:rsidR="00901EF3">
        <w:rPr>
          <w:rFonts w:cs="Times New Roman"/>
          <w:lang w:val="el-GR"/>
        </w:rPr>
        <w:t>ης</w:t>
      </w:r>
      <w:r w:rsidR="00901EF3" w:rsidRPr="00F54B01">
        <w:rPr>
          <w:rFonts w:cs="Times New Roman"/>
          <w:lang w:val="el-GR"/>
        </w:rPr>
        <w:t xml:space="preserve"> </w:t>
      </w:r>
      <w:r w:rsidR="00901EF3" w:rsidRPr="00901EF3">
        <w:rPr>
          <w:rFonts w:cs="Times New Roman"/>
          <w:lang w:val="el-GR"/>
        </w:rPr>
        <w:t>τενοφοβίρη</w:t>
      </w:r>
      <w:r w:rsidR="00901EF3">
        <w:rPr>
          <w:rFonts w:cs="Times New Roman"/>
          <w:lang w:val="el-GR"/>
        </w:rPr>
        <w:t>ς</w:t>
      </w:r>
      <w:r w:rsidR="00901EF3" w:rsidRPr="00901EF3">
        <w:rPr>
          <w:rFonts w:cs="Times New Roman"/>
          <w:lang w:val="el-GR"/>
        </w:rPr>
        <w:t xml:space="preserve"> δισοπρόξιλη</w:t>
      </w:r>
      <w:r w:rsidR="00901EF3">
        <w:rPr>
          <w:rFonts w:cs="Times New Roman"/>
          <w:lang w:val="el-GR"/>
        </w:rPr>
        <w:t>ς</w:t>
      </w:r>
      <w:r w:rsidR="00901EF3" w:rsidRPr="00901EF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ή </w:t>
      </w:r>
      <w:r w:rsidR="00901EF3" w:rsidRPr="00F54B01">
        <w:rPr>
          <w:rFonts w:cs="Times New Roman"/>
          <w:lang w:val="el-GR"/>
        </w:rPr>
        <w:t>τ</w:t>
      </w:r>
      <w:r w:rsidR="00901EF3">
        <w:rPr>
          <w:rFonts w:cs="Times New Roman"/>
          <w:lang w:val="el-GR"/>
        </w:rPr>
        <w:t>ης</w:t>
      </w:r>
      <w:r w:rsidR="00901EF3" w:rsidRPr="00F54B01">
        <w:rPr>
          <w:rFonts w:cs="Times New Roman"/>
          <w:spacing w:val="-23"/>
          <w:lang w:val="el-GR"/>
        </w:rPr>
        <w:t xml:space="preserve"> </w:t>
      </w:r>
      <w:r w:rsidR="00901EF3" w:rsidRPr="00901EF3">
        <w:rPr>
          <w:rFonts w:cs="Times New Roman"/>
          <w:lang w:val="el-GR"/>
        </w:rPr>
        <w:t>τενοφοβίρη</w:t>
      </w:r>
      <w:r w:rsidR="00901EF3">
        <w:rPr>
          <w:rFonts w:cs="Times New Roman"/>
          <w:lang w:val="el-GR"/>
        </w:rPr>
        <w:t>ς</w:t>
      </w:r>
      <w:r w:rsidR="00901EF3" w:rsidRPr="00901EF3">
        <w:rPr>
          <w:rFonts w:cs="Times New Roman"/>
          <w:lang w:val="el-GR"/>
        </w:rPr>
        <w:t xml:space="preserve"> δισοπρόξιλη</w:t>
      </w:r>
      <w:r w:rsidR="00901EF3">
        <w:rPr>
          <w:rFonts w:cs="Times New Roman"/>
          <w:lang w:val="el-GR"/>
        </w:rPr>
        <w:t>ς</w:t>
      </w:r>
      <w:r w:rsidR="00901EF3" w:rsidRPr="00901EF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συν 200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εμτρισιταβίνη</w:t>
      </w:r>
      <w:r w:rsidR="00B807B9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αξιολογήθηκε σε τυχαιοποιημένη,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διπλή τυφλή μελέτη (μελέτη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-174-0106), σε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θετικούς και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αρνητικούς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ενήλικες ασθενείς που είχαν επιμένουσα ιαιμία (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 xml:space="preserve"> ≥1.000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) ενώ λάμβαναν</w:t>
      </w:r>
      <w:r w:rsidRPr="00F54B01">
        <w:rPr>
          <w:rFonts w:cs="Times New Roman"/>
          <w:spacing w:val="-17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αδεφοβίρη διπιβοξίλη</w:t>
      </w:r>
      <w:r w:rsidRPr="00F54B01">
        <w:rPr>
          <w:rFonts w:cs="Times New Roman"/>
          <w:lang w:val="el-GR"/>
        </w:rPr>
        <w:t xml:space="preserve"> 10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για περισσότερο από 24 εβδομάδες. Κατά την έναρξη, στην ομάδα θεραπείας το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57% των ασθενών τυχαιοποιημένων στο σκέλος </w:t>
      </w:r>
      <w:r w:rsidR="00901EF3" w:rsidRPr="00901EF3">
        <w:rPr>
          <w:rFonts w:cs="Times New Roman"/>
          <w:lang w:val="el-GR"/>
        </w:rPr>
        <w:t>τενοφοβίρη</w:t>
      </w:r>
      <w:r w:rsidR="00901EF3">
        <w:rPr>
          <w:rFonts w:cs="Times New Roman"/>
          <w:lang w:val="el-GR"/>
        </w:rPr>
        <w:t>ς</w:t>
      </w:r>
      <w:r w:rsidR="00901EF3" w:rsidRPr="00901EF3">
        <w:rPr>
          <w:rFonts w:cs="Times New Roman"/>
          <w:lang w:val="el-GR"/>
        </w:rPr>
        <w:t xml:space="preserve"> δισοπρόξιλη</w:t>
      </w:r>
      <w:r w:rsidR="00901EF3">
        <w:rPr>
          <w:rFonts w:cs="Times New Roman"/>
          <w:lang w:val="el-GR"/>
        </w:rPr>
        <w:t>ς</w:t>
      </w:r>
      <w:r w:rsidR="00901EF3" w:rsidRPr="00901EF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έναντι του 60%</w:t>
      </w:r>
      <w:r w:rsidRPr="00F54B01">
        <w:rPr>
          <w:rFonts w:cs="Times New Roman"/>
          <w:spacing w:val="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των ασθενών τυχαιοποιημένων στο σκέλος </w:t>
      </w:r>
      <w:r w:rsidR="00203833" w:rsidRPr="00203833">
        <w:rPr>
          <w:rFonts w:cs="Times New Roman"/>
          <w:lang w:val="el-GR"/>
        </w:rPr>
        <w:t>εμτρισιταβίνη</w:t>
      </w:r>
      <w:r w:rsidR="00967063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συν </w:t>
      </w:r>
      <w:r w:rsidR="00901EF3" w:rsidRPr="00901EF3">
        <w:rPr>
          <w:rFonts w:cs="Times New Roman"/>
          <w:lang w:val="el-GR"/>
        </w:rPr>
        <w:t>τενοφοβίρη</w:t>
      </w:r>
      <w:r w:rsidR="00967063">
        <w:rPr>
          <w:rFonts w:cs="Times New Roman"/>
          <w:lang w:val="el-GR"/>
        </w:rPr>
        <w:t>ς</w:t>
      </w:r>
      <w:r w:rsidR="00901EF3" w:rsidRPr="00901EF3">
        <w:rPr>
          <w:rFonts w:cs="Times New Roman"/>
          <w:lang w:val="el-GR"/>
        </w:rPr>
        <w:t xml:space="preserve"> δισοπρόξιλη</w:t>
      </w:r>
      <w:r w:rsidR="00967063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>,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είχε προηγουμένως λάβει θεραπεία με </w:t>
      </w:r>
      <w:r w:rsidR="00643ECB" w:rsidRPr="00FB72E2">
        <w:rPr>
          <w:rFonts w:cs="Times New Roman"/>
          <w:lang w:val="el-GR"/>
        </w:rPr>
        <w:t>λαμιβουδίνη</w:t>
      </w:r>
      <w:r w:rsidRPr="00F54B01">
        <w:rPr>
          <w:rFonts w:cs="Times New Roman"/>
          <w:lang w:val="el-GR"/>
        </w:rPr>
        <w:t>. Συνολικά κατά την 24</w:t>
      </w:r>
      <w:r w:rsidRPr="00F54B01">
        <w:rPr>
          <w:rFonts w:cs="Times New Roman"/>
          <w:position w:val="10"/>
          <w:sz w:val="14"/>
          <w:szCs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εβδομάδα, η θεραπεία</w:t>
      </w:r>
      <w:r w:rsidRPr="00F54B01">
        <w:rPr>
          <w:rFonts w:cs="Times New Roman"/>
          <w:spacing w:val="-3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αγωγή που περιείχε </w:t>
      </w:r>
      <w:r w:rsidR="00901EF3" w:rsidRPr="00901EF3">
        <w:rPr>
          <w:rFonts w:cs="Times New Roman"/>
          <w:lang w:val="el-GR"/>
        </w:rPr>
        <w:t xml:space="preserve">τενοφοβίρη δισοπρόξιλη </w:t>
      </w:r>
      <w:r w:rsidRPr="00F54B01">
        <w:rPr>
          <w:rFonts w:cs="Times New Roman"/>
          <w:lang w:val="el-GR"/>
        </w:rPr>
        <w:t>είχε ως αποτέλεσμα το 66% (35/53) των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ασθενών</w:t>
      </w:r>
      <w:r w:rsidR="006D01C2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 xml:space="preserve"> &lt;400 αντίγραφα/</w:t>
      </w:r>
      <w:r w:rsidRPr="00F54B01">
        <w:rPr>
          <w:rFonts w:cs="Times New Roman"/>
        </w:rPr>
        <w:t>ml</w:t>
      </w:r>
      <w:r w:rsidR="00967063">
        <w:rPr>
          <w:rFonts w:cs="Times New Roman"/>
          <w:lang w:val="el-GR"/>
        </w:rPr>
        <w:t xml:space="preserve"> (&lt;</w:t>
      </w:r>
      <w:r w:rsidRPr="00F54B01">
        <w:rPr>
          <w:rFonts w:cs="Times New Roman"/>
          <w:lang w:val="el-GR"/>
        </w:rPr>
        <w:t xml:space="preserve">69 </w:t>
      </w:r>
      <w:r w:rsidRPr="00F54B01">
        <w:rPr>
          <w:rFonts w:cs="Times New Roman"/>
        </w:rPr>
        <w:t>IU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) έναντι του 69% (36/52) των ασθενών οι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οποίοι έλαβαν </w:t>
      </w:r>
      <w:r w:rsidR="00203833" w:rsidRPr="00203833">
        <w:rPr>
          <w:rFonts w:cs="Times New Roman"/>
          <w:lang w:val="el-GR"/>
        </w:rPr>
        <w:t>εμτρισιταβίνη</w:t>
      </w:r>
      <w:r w:rsidRPr="00F54B01">
        <w:rPr>
          <w:rFonts w:cs="Times New Roman"/>
          <w:lang w:val="el-GR"/>
        </w:rPr>
        <w:t xml:space="preserve"> συν </w:t>
      </w:r>
      <w:r w:rsidR="00901EF3" w:rsidRPr="00901EF3">
        <w:rPr>
          <w:rFonts w:cs="Times New Roman"/>
          <w:lang w:val="el-GR"/>
        </w:rPr>
        <w:t xml:space="preserve">τενοφοβίρη δισοπρόξιλη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p</w:t>
      </w:r>
      <w:r w:rsidRPr="00F54B01">
        <w:rPr>
          <w:rFonts w:cs="Times New Roman"/>
          <w:lang w:val="el-GR"/>
        </w:rPr>
        <w:t xml:space="preserve"> = 0,672). Επιπρόσθετα, το 55% (29/53)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των ασθενών οι οποίοι έλαβαν </w:t>
      </w:r>
      <w:r w:rsidR="00203833" w:rsidRPr="00203833">
        <w:rPr>
          <w:rFonts w:cs="Times New Roman"/>
          <w:lang w:val="el-GR"/>
        </w:rPr>
        <w:t>εμτρισιταβίνη</w:t>
      </w:r>
      <w:r w:rsidRPr="00F54B01">
        <w:rPr>
          <w:rFonts w:cs="Times New Roman"/>
          <w:lang w:val="el-GR"/>
        </w:rPr>
        <w:t xml:space="preserve"> συν </w:t>
      </w:r>
      <w:r w:rsidR="00901EF3" w:rsidRPr="00901EF3">
        <w:rPr>
          <w:rFonts w:cs="Times New Roman"/>
          <w:lang w:val="el-GR"/>
        </w:rPr>
        <w:t xml:space="preserve">τενοφοβίρη δισοπρόξιλη </w:t>
      </w:r>
      <w:r w:rsidRPr="00F54B01">
        <w:rPr>
          <w:rFonts w:cs="Times New Roman"/>
          <w:lang w:val="el-GR"/>
        </w:rPr>
        <w:t>είχαν μη</w:t>
      </w:r>
      <w:r w:rsidRPr="00F54B01">
        <w:rPr>
          <w:rFonts w:cs="Times New Roman"/>
          <w:spacing w:val="-32"/>
          <w:lang w:val="el-GR"/>
        </w:rPr>
        <w:t xml:space="preserve"> </w:t>
      </w:r>
      <w:r w:rsidRPr="00F54B01">
        <w:rPr>
          <w:rFonts w:cs="Times New Roman"/>
          <w:lang w:val="el-GR"/>
        </w:rPr>
        <w:t>ανιχνεύσιμο</w:t>
      </w:r>
      <w:r w:rsidR="006D01C2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>(&lt; 169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[&lt; 29 </w:t>
      </w:r>
      <w:r w:rsidRPr="00F54B01">
        <w:rPr>
          <w:rFonts w:cs="Times New Roman"/>
        </w:rPr>
        <w:t>IU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], όριο της ποσοτικοποίησης της ανάλυσης </w:t>
      </w:r>
      <w:r w:rsidRPr="00F54B01">
        <w:rPr>
          <w:rFonts w:cs="Times New Roman"/>
        </w:rPr>
        <w:t>HBV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</w:rPr>
        <w:t>Roche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Cobas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TaqMan</w:t>
      </w:r>
      <w:r w:rsidRPr="00F54B01">
        <w:rPr>
          <w:rFonts w:cs="Times New Roman"/>
          <w:lang w:val="el-GR"/>
        </w:rPr>
        <w:t xml:space="preserve">) έναντι του 60% (31/52) των ασθενών οι οποίοι έλαβαν </w:t>
      </w:r>
      <w:r w:rsidR="00203833" w:rsidRPr="00203833">
        <w:rPr>
          <w:rFonts w:cs="Times New Roman"/>
          <w:lang w:val="el-GR"/>
        </w:rPr>
        <w:t>εμτρισιταβίνη</w:t>
      </w:r>
      <w:r w:rsidRPr="00F54B01">
        <w:rPr>
          <w:rFonts w:cs="Times New Roman"/>
          <w:lang w:val="el-GR"/>
        </w:rPr>
        <w:t xml:space="preserve"> συν</w:t>
      </w:r>
      <w:r w:rsidRPr="00F54B01">
        <w:rPr>
          <w:rFonts w:cs="Times New Roman"/>
          <w:spacing w:val="-26"/>
          <w:lang w:val="el-GR"/>
        </w:rPr>
        <w:t xml:space="preserve"> </w:t>
      </w:r>
      <w:r w:rsidR="00901EF3" w:rsidRPr="00901EF3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(</w:t>
      </w:r>
      <w:r w:rsidRPr="00F54B01">
        <w:rPr>
          <w:rFonts w:cs="Times New Roman"/>
        </w:rPr>
        <w:t>p</w:t>
      </w:r>
      <w:r w:rsidRPr="00F54B01">
        <w:rPr>
          <w:rFonts w:cs="Times New Roman"/>
          <w:lang w:val="el-GR"/>
        </w:rPr>
        <w:t xml:space="preserve"> = 0,504). Οι συγκρίσεις μεταξύ των ομάδων θεραπείας πέραν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της</w:t>
      </w:r>
      <w:r w:rsidR="006D01C2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24</w:t>
      </w:r>
      <w:r w:rsidRPr="00F54B01">
        <w:rPr>
          <w:rFonts w:cs="Times New Roman"/>
          <w:position w:val="10"/>
          <w:sz w:val="14"/>
          <w:lang w:val="el-GR"/>
        </w:rPr>
        <w:t xml:space="preserve">ης </w:t>
      </w:r>
      <w:r w:rsidRPr="00F54B01">
        <w:rPr>
          <w:rFonts w:cs="Times New Roman"/>
          <w:lang w:val="el-GR"/>
        </w:rPr>
        <w:t>εβδομάδας ήταν δύσκολο να ερμηνευτούν, εφόσον οι ερευνητές είχαν την επιλογή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>να</w:t>
      </w:r>
      <w:r w:rsidR="006D01C2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εντατικοποιήσουν τη θεραπεία σε θεραπεία ανοικτής επισήμανσης με </w:t>
      </w:r>
      <w:r w:rsidR="00203833" w:rsidRPr="00203833">
        <w:rPr>
          <w:rFonts w:cs="Times New Roman"/>
          <w:lang w:val="el-GR"/>
        </w:rPr>
        <w:t>εμτρισιταβίνη</w:t>
      </w:r>
      <w:r w:rsidRPr="00F54B01">
        <w:rPr>
          <w:rFonts w:cs="Times New Roman"/>
          <w:lang w:val="el-GR"/>
        </w:rPr>
        <w:t xml:space="preserve"> συν</w:t>
      </w:r>
      <w:r w:rsidRPr="00F54B01">
        <w:rPr>
          <w:rFonts w:cs="Times New Roman"/>
          <w:spacing w:val="-20"/>
          <w:lang w:val="el-GR"/>
        </w:rPr>
        <w:t xml:space="preserve"> </w:t>
      </w:r>
      <w:r w:rsidR="00901EF3" w:rsidRPr="00901EF3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. Μακροχρόνιες μελέτες για να αξιολογηθεί ο λόγος οφέλους/κίνδυνο της διπλής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θεραπείας με </w:t>
      </w:r>
      <w:r w:rsidR="00203833" w:rsidRPr="00203833">
        <w:rPr>
          <w:rFonts w:cs="Times New Roman"/>
          <w:lang w:val="el-GR"/>
        </w:rPr>
        <w:t>εμτρισιταβίνη</w:t>
      </w:r>
      <w:r w:rsidRPr="00F54B01">
        <w:rPr>
          <w:rFonts w:cs="Times New Roman"/>
          <w:lang w:val="el-GR"/>
        </w:rPr>
        <w:t xml:space="preserve"> συν </w:t>
      </w:r>
      <w:r w:rsidR="00901EF3" w:rsidRPr="00901EF3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, σε ασθενείς με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μονο-λοίμωξη, βρίσκονται</w:t>
      </w:r>
      <w:r w:rsidRPr="00F54B01">
        <w:rPr>
          <w:rFonts w:cs="Times New Roman"/>
          <w:spacing w:val="-33"/>
          <w:lang w:val="el-GR"/>
        </w:rPr>
        <w:t xml:space="preserve"> </w:t>
      </w:r>
      <w:r w:rsidRPr="00F54B01">
        <w:rPr>
          <w:rFonts w:cs="Times New Roman"/>
          <w:lang w:val="el-GR"/>
        </w:rPr>
        <w:t>σε εξέλιξη.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9D104A" w:rsidRPr="00F54B01" w:rsidRDefault="00302B89" w:rsidP="00F54B01">
      <w:pPr>
        <w:rPr>
          <w:rFonts w:ascii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Εμπειρία σε ασθενείς με μη αντιρροπούμενη ηπατική νόσο τη 48</w:t>
      </w:r>
      <w:r w:rsidRPr="00F54B01">
        <w:rPr>
          <w:rFonts w:ascii="Times New Roman" w:hAnsi="Times New Roman" w:cs="Times New Roman"/>
          <w:i/>
          <w:position w:val="10"/>
          <w:sz w:val="14"/>
          <w:lang w:val="el-GR"/>
        </w:rPr>
        <w:t xml:space="preserve">η  </w:t>
      </w:r>
      <w:r w:rsidRPr="00F54B01">
        <w:rPr>
          <w:rFonts w:ascii="Times New Roman" w:hAnsi="Times New Roman" w:cs="Times New Roman"/>
          <w:i/>
          <w:lang w:val="el-GR"/>
        </w:rPr>
        <w:t>εβδομάδα (μελέτη</w:t>
      </w:r>
      <w:r w:rsidRPr="00F54B01">
        <w:rPr>
          <w:rFonts w:ascii="Times New Roman" w:hAnsi="Times New Roman" w:cs="Times New Roman"/>
          <w:i/>
          <w:spacing w:val="-28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GS</w:t>
      </w:r>
      <w:r w:rsidRPr="00F54B01">
        <w:rPr>
          <w:rFonts w:ascii="Times New Roman" w:hAnsi="Times New Roman" w:cs="Times New Roman"/>
          <w:i/>
          <w:lang w:val="el-GR"/>
        </w:rPr>
        <w:t>-</w:t>
      </w:r>
      <w:r w:rsidRPr="00F54B01">
        <w:rPr>
          <w:rFonts w:ascii="Times New Roman" w:hAnsi="Times New Roman" w:cs="Times New Roman"/>
          <w:i/>
        </w:rPr>
        <w:t>US</w:t>
      </w:r>
      <w:r w:rsidRPr="00F54B01">
        <w:rPr>
          <w:rFonts w:ascii="Times New Roman" w:hAnsi="Times New Roman" w:cs="Times New Roman"/>
          <w:i/>
          <w:lang w:val="el-GR"/>
        </w:rPr>
        <w:t xml:space="preserve">-174-0108) </w:t>
      </w:r>
      <w:r w:rsidRPr="00F54B01">
        <w:rPr>
          <w:rFonts w:ascii="Times New Roman" w:hAnsi="Times New Roman" w:cs="Times New Roman"/>
          <w:lang w:val="el-GR"/>
        </w:rPr>
        <w:t xml:space="preserve">Η μελέτη </w:t>
      </w:r>
      <w:r w:rsidRPr="00F54B01">
        <w:rPr>
          <w:rFonts w:ascii="Times New Roman" w:hAnsi="Times New Roman" w:cs="Times New Roman"/>
        </w:rPr>
        <w:t>GS</w:t>
      </w:r>
      <w:r w:rsidRPr="00F54B01">
        <w:rPr>
          <w:rFonts w:ascii="Times New Roman" w:hAnsi="Times New Roman" w:cs="Times New Roman"/>
          <w:lang w:val="el-GR"/>
        </w:rPr>
        <w:t>-</w:t>
      </w:r>
      <w:r w:rsidRPr="00F54B01">
        <w:rPr>
          <w:rFonts w:ascii="Times New Roman" w:hAnsi="Times New Roman" w:cs="Times New Roman"/>
        </w:rPr>
        <w:t>US</w:t>
      </w:r>
      <w:r w:rsidRPr="00F54B01">
        <w:rPr>
          <w:rFonts w:ascii="Times New Roman" w:hAnsi="Times New Roman" w:cs="Times New Roman"/>
          <w:lang w:val="el-GR"/>
        </w:rPr>
        <w:t>-174-0108 είναι μια τυχαιοποιημένη, διπλά τυφλή ενεργοποιημένη μελέτη</w:t>
      </w:r>
      <w:r w:rsidRPr="00F54B01">
        <w:rPr>
          <w:rFonts w:ascii="Times New Roman" w:hAnsi="Times New Roman" w:cs="Times New Roman"/>
          <w:spacing w:val="-15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που αξιολογεί την ασφάλεια και την αποτελεσματικότητα </w:t>
      </w:r>
      <w:r w:rsidR="00901EF3">
        <w:rPr>
          <w:rFonts w:ascii="Times New Roman" w:hAnsi="Times New Roman" w:cs="Times New Roman"/>
          <w:lang w:val="el-GR"/>
        </w:rPr>
        <w:t xml:space="preserve">της </w:t>
      </w:r>
      <w:r w:rsidR="00901EF3" w:rsidRPr="00901EF3">
        <w:rPr>
          <w:rFonts w:ascii="Times New Roman" w:hAnsi="Times New Roman" w:cs="Times New Roman"/>
          <w:lang w:val="el-GR"/>
        </w:rPr>
        <w:t>τενοφοβίρη</w:t>
      </w:r>
      <w:r w:rsidR="00901EF3">
        <w:rPr>
          <w:rFonts w:ascii="Times New Roman" w:hAnsi="Times New Roman" w:cs="Times New Roman"/>
          <w:lang w:val="el-GR"/>
        </w:rPr>
        <w:t>ς</w:t>
      </w:r>
      <w:r w:rsidR="00901EF3" w:rsidRPr="00901EF3">
        <w:rPr>
          <w:rFonts w:ascii="Times New Roman" w:hAnsi="Times New Roman" w:cs="Times New Roman"/>
          <w:lang w:val="el-GR"/>
        </w:rPr>
        <w:t xml:space="preserve"> δισοπρόξιλη</w:t>
      </w:r>
      <w:r w:rsidR="00901EF3">
        <w:rPr>
          <w:rFonts w:ascii="Times New Roman" w:hAnsi="Times New Roman" w:cs="Times New Roman"/>
          <w:lang w:val="el-GR"/>
        </w:rPr>
        <w:t>ς</w:t>
      </w:r>
      <w:r w:rsidRPr="00F54B01">
        <w:rPr>
          <w:rFonts w:ascii="Times New Roman" w:hAnsi="Times New Roman" w:cs="Times New Roman"/>
          <w:lang w:val="el-GR"/>
        </w:rPr>
        <w:t xml:space="preserve"> (</w:t>
      </w:r>
      <w:r w:rsidRPr="00F54B01">
        <w:rPr>
          <w:rFonts w:ascii="Times New Roman" w:hAnsi="Times New Roman" w:cs="Times New Roman"/>
        </w:rPr>
        <w:t>n</w:t>
      </w:r>
      <w:r w:rsidRPr="00F54B01">
        <w:rPr>
          <w:rFonts w:ascii="Times New Roman" w:hAnsi="Times New Roman" w:cs="Times New Roman"/>
          <w:lang w:val="el-GR"/>
        </w:rPr>
        <w:t xml:space="preserve"> = 45),</w:t>
      </w:r>
      <w:r w:rsidRPr="00F54B01">
        <w:rPr>
          <w:rFonts w:ascii="Times New Roman" w:hAnsi="Times New Roman" w:cs="Times New Roman"/>
          <w:spacing w:val="-18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της </w:t>
      </w:r>
      <w:r w:rsidR="00203833" w:rsidRPr="00203833">
        <w:rPr>
          <w:rFonts w:ascii="Times New Roman" w:hAnsi="Times New Roman" w:cs="Times New Roman"/>
          <w:lang w:val="el-GR"/>
        </w:rPr>
        <w:t>εμτρισιταβίνη</w:t>
      </w:r>
      <w:r w:rsidR="00B807B9">
        <w:rPr>
          <w:rFonts w:ascii="Times New Roman" w:hAnsi="Times New Roman" w:cs="Times New Roman"/>
          <w:lang w:val="el-GR"/>
        </w:rPr>
        <w:t>ς</w:t>
      </w:r>
      <w:r w:rsidRPr="00F54B01">
        <w:rPr>
          <w:rFonts w:ascii="Times New Roman" w:hAnsi="Times New Roman" w:cs="Times New Roman"/>
          <w:lang w:val="el-GR"/>
        </w:rPr>
        <w:t xml:space="preserve"> συν </w:t>
      </w:r>
      <w:r w:rsidR="00901EF3">
        <w:rPr>
          <w:rFonts w:ascii="Times New Roman" w:hAnsi="Times New Roman" w:cs="Times New Roman"/>
          <w:lang w:val="el-GR"/>
        </w:rPr>
        <w:t xml:space="preserve">την </w:t>
      </w:r>
      <w:r w:rsidR="00901EF3" w:rsidRPr="00901EF3">
        <w:rPr>
          <w:rFonts w:ascii="Times New Roman" w:hAnsi="Times New Roman" w:cs="Times New Roman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lang w:val="el-GR"/>
        </w:rPr>
        <w:t xml:space="preserve"> (</w:t>
      </w:r>
      <w:r w:rsidRPr="00F54B01">
        <w:rPr>
          <w:rFonts w:ascii="Times New Roman" w:hAnsi="Times New Roman" w:cs="Times New Roman"/>
        </w:rPr>
        <w:t>n</w:t>
      </w:r>
      <w:r w:rsidRPr="00F54B01">
        <w:rPr>
          <w:rFonts w:ascii="Times New Roman" w:hAnsi="Times New Roman" w:cs="Times New Roman"/>
          <w:lang w:val="el-GR"/>
        </w:rPr>
        <w:t xml:space="preserve"> = 45), και τ</w:t>
      </w:r>
      <w:r w:rsidR="00B807B9">
        <w:rPr>
          <w:rFonts w:ascii="Times New Roman" w:hAnsi="Times New Roman" w:cs="Times New Roman"/>
          <w:lang w:val="el-GR"/>
        </w:rPr>
        <w:t>ης</w:t>
      </w:r>
      <w:r w:rsidRPr="00F54B01">
        <w:rPr>
          <w:rFonts w:ascii="Times New Roman" w:hAnsi="Times New Roman" w:cs="Times New Roman"/>
          <w:lang w:val="el-GR"/>
        </w:rPr>
        <w:t xml:space="preserve"> </w:t>
      </w:r>
      <w:r w:rsidR="00796AA2" w:rsidRPr="00796AA2">
        <w:rPr>
          <w:rFonts w:ascii="Times New Roman" w:hAnsi="Times New Roman" w:cs="Times New Roman"/>
          <w:lang w:val="el-GR"/>
        </w:rPr>
        <w:t>εντεκαβίρη</w:t>
      </w:r>
      <w:r w:rsidR="00B807B9">
        <w:rPr>
          <w:rFonts w:ascii="Times New Roman" w:hAnsi="Times New Roman" w:cs="Times New Roman"/>
          <w:lang w:val="el-GR"/>
        </w:rPr>
        <w:t>ς</w:t>
      </w:r>
      <w:r w:rsidRPr="00F54B01">
        <w:rPr>
          <w:rFonts w:ascii="Times New Roman" w:hAnsi="Times New Roman" w:cs="Times New Roman"/>
          <w:lang w:val="el-GR"/>
        </w:rPr>
        <w:t xml:space="preserve"> (</w:t>
      </w:r>
      <w:r w:rsidRPr="00F54B01">
        <w:rPr>
          <w:rFonts w:ascii="Times New Roman" w:hAnsi="Times New Roman" w:cs="Times New Roman"/>
        </w:rPr>
        <w:t>n</w:t>
      </w:r>
      <w:r w:rsidRPr="00F54B01">
        <w:rPr>
          <w:rFonts w:ascii="Times New Roman" w:hAnsi="Times New Roman" w:cs="Times New Roman"/>
          <w:lang w:val="el-GR"/>
        </w:rPr>
        <w:t xml:space="preserve"> = 22), σε ασθενείς</w:t>
      </w:r>
      <w:r w:rsidRPr="00F54B01">
        <w:rPr>
          <w:rFonts w:ascii="Times New Roman" w:hAnsi="Times New Roman" w:cs="Times New Roman"/>
          <w:spacing w:val="-29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με μη αντιρροπούμενη ηπατική νόσο. Στο σκέλος θεραπείας με </w:t>
      </w:r>
      <w:r w:rsidR="00901EF3" w:rsidRPr="00901EF3">
        <w:rPr>
          <w:rFonts w:ascii="Times New Roman" w:hAnsi="Times New Roman" w:cs="Times New Roman"/>
          <w:lang w:val="el-GR"/>
        </w:rPr>
        <w:t>τενοφοβίρη δισοπρόξιλη</w:t>
      </w:r>
      <w:r w:rsidRPr="00F54B01">
        <w:rPr>
          <w:rFonts w:ascii="Times New Roman" w:hAnsi="Times New Roman" w:cs="Times New Roman"/>
          <w:lang w:val="el-GR"/>
        </w:rPr>
        <w:t>,</w:t>
      </w:r>
      <w:r w:rsidRPr="00F54B01">
        <w:rPr>
          <w:rFonts w:ascii="Times New Roman" w:hAnsi="Times New Roman" w:cs="Times New Roman"/>
          <w:spacing w:val="-25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οι</w:t>
      </w:r>
      <w:r w:rsidR="006D01C2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ασθενείς είχαν μέση βαθμολογία </w:t>
      </w:r>
      <w:r w:rsidRPr="00F54B01">
        <w:rPr>
          <w:rFonts w:ascii="Times New Roman" w:hAnsi="Times New Roman" w:cs="Times New Roman"/>
        </w:rPr>
        <w:t>CPT</w:t>
      </w:r>
      <w:r w:rsidRPr="00F54B01">
        <w:rPr>
          <w:rFonts w:ascii="Times New Roman" w:hAnsi="Times New Roman" w:cs="Times New Roman"/>
          <w:lang w:val="el-GR"/>
        </w:rPr>
        <w:t xml:space="preserve"> των 7,2, η μέση </w:t>
      </w:r>
      <w:r w:rsidRPr="00F54B01">
        <w:rPr>
          <w:rFonts w:ascii="Times New Roman" w:hAnsi="Times New Roman" w:cs="Times New Roman"/>
        </w:rPr>
        <w:t>HBV</w:t>
      </w:r>
      <w:r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</w:rPr>
        <w:t>DNA</w:t>
      </w:r>
      <w:r w:rsidRPr="00F54B01">
        <w:rPr>
          <w:rFonts w:ascii="Times New Roman" w:hAnsi="Times New Roman" w:cs="Times New Roman"/>
          <w:lang w:val="el-GR"/>
        </w:rPr>
        <w:t xml:space="preserve"> των 5,8 </w:t>
      </w:r>
      <w:r w:rsidRPr="00F54B01">
        <w:rPr>
          <w:rFonts w:ascii="Times New Roman" w:hAnsi="Times New Roman" w:cs="Times New Roman"/>
        </w:rPr>
        <w:t>log</w:t>
      </w:r>
      <w:r w:rsidRPr="00F54B01">
        <w:rPr>
          <w:rFonts w:ascii="Times New Roman" w:hAnsi="Times New Roman" w:cs="Times New Roman"/>
          <w:position w:val="-2"/>
          <w:sz w:val="14"/>
          <w:szCs w:val="14"/>
          <w:lang w:val="el-GR"/>
        </w:rPr>
        <w:t xml:space="preserve">10 </w:t>
      </w:r>
      <w:r w:rsidRPr="00F54B01">
        <w:rPr>
          <w:rFonts w:ascii="Times New Roman" w:hAnsi="Times New Roman" w:cs="Times New Roman"/>
          <w:lang w:val="el-GR"/>
        </w:rPr>
        <w:t>αντίγραφα/</w:t>
      </w:r>
      <w:r w:rsidRPr="00F54B01">
        <w:rPr>
          <w:rFonts w:ascii="Times New Roman" w:hAnsi="Times New Roman" w:cs="Times New Roman"/>
        </w:rPr>
        <w:t>ml</w:t>
      </w:r>
      <w:r w:rsidRPr="00F54B01">
        <w:rPr>
          <w:rFonts w:ascii="Times New Roman" w:hAnsi="Times New Roman" w:cs="Times New Roman"/>
          <w:lang w:val="el-GR"/>
        </w:rPr>
        <w:t xml:space="preserve"> και</w:t>
      </w:r>
      <w:r w:rsidRPr="00F54B01">
        <w:rPr>
          <w:rFonts w:ascii="Times New Roman" w:hAnsi="Times New Roman" w:cs="Times New Roman"/>
          <w:spacing w:val="-34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η μέση </w:t>
      </w:r>
      <w:r w:rsidRPr="00F54B01">
        <w:rPr>
          <w:rFonts w:ascii="Times New Roman" w:hAnsi="Times New Roman" w:cs="Times New Roman"/>
        </w:rPr>
        <w:t>ALT</w:t>
      </w:r>
      <w:r w:rsidRPr="00F54B01">
        <w:rPr>
          <w:rFonts w:ascii="Times New Roman" w:hAnsi="Times New Roman" w:cs="Times New Roman"/>
          <w:lang w:val="el-GR"/>
        </w:rPr>
        <w:t xml:space="preserve"> στον ορό των 61 </w:t>
      </w:r>
      <w:r w:rsidRPr="00F54B01">
        <w:rPr>
          <w:rFonts w:ascii="Times New Roman" w:hAnsi="Times New Roman" w:cs="Times New Roman"/>
        </w:rPr>
        <w:t>U</w:t>
      </w:r>
      <w:r w:rsidRPr="00F54B01">
        <w:rPr>
          <w:rFonts w:ascii="Times New Roman" w:hAnsi="Times New Roman" w:cs="Times New Roman"/>
          <w:lang w:val="el-GR"/>
        </w:rPr>
        <w:t>/</w:t>
      </w:r>
      <w:r w:rsidRPr="00F54B01">
        <w:rPr>
          <w:rFonts w:ascii="Times New Roman" w:hAnsi="Times New Roman" w:cs="Times New Roman"/>
        </w:rPr>
        <w:t>l</w:t>
      </w:r>
      <w:r w:rsidRPr="00F54B01">
        <w:rPr>
          <w:rFonts w:ascii="Times New Roman" w:hAnsi="Times New Roman" w:cs="Times New Roman"/>
          <w:lang w:val="el-GR"/>
        </w:rPr>
        <w:t xml:space="preserve"> κατά την έναρξη.</w:t>
      </w:r>
      <w:r w:rsidR="003E1789">
        <w:rPr>
          <w:rFonts w:ascii="Times New Roman" w:hAnsi="Times New Roman" w:cs="Times New Roman"/>
          <w:lang w:val="el-GR"/>
        </w:rPr>
        <w:t xml:space="preserve"> Το </w:t>
      </w:r>
      <w:r w:rsidR="00967063">
        <w:rPr>
          <w:rFonts w:ascii="Times New Roman" w:hAnsi="Times New Roman" w:cs="Times New Roman"/>
          <w:lang w:val="el-GR"/>
        </w:rPr>
        <w:t xml:space="preserve">42% </w:t>
      </w:r>
      <w:r w:rsidRPr="00F54B01">
        <w:rPr>
          <w:rFonts w:ascii="Times New Roman" w:hAnsi="Times New Roman" w:cs="Times New Roman"/>
          <w:lang w:val="el-GR"/>
        </w:rPr>
        <w:t xml:space="preserve"> (19/45) των ασθενών</w:t>
      </w:r>
      <w:r w:rsidRPr="00F54B01">
        <w:rPr>
          <w:rFonts w:ascii="Times New Roman" w:hAnsi="Times New Roman" w:cs="Times New Roman"/>
          <w:spacing w:val="-25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είχ</w:t>
      </w:r>
      <w:r w:rsidR="003E1789">
        <w:rPr>
          <w:rFonts w:ascii="Times New Roman" w:hAnsi="Times New Roman" w:cs="Times New Roman"/>
          <w:lang w:val="el-GR"/>
        </w:rPr>
        <w:t>ε</w:t>
      </w:r>
      <w:r w:rsidRPr="00F54B01">
        <w:rPr>
          <w:rFonts w:ascii="Times New Roman" w:hAnsi="Times New Roman" w:cs="Times New Roman"/>
          <w:lang w:val="el-GR"/>
        </w:rPr>
        <w:t xml:space="preserve"> τουλάχιστον 6 μήνες προηγούμενη εμπειρία θεραπείας </w:t>
      </w:r>
      <w:r w:rsidR="00901EF3" w:rsidRPr="00F54B01">
        <w:rPr>
          <w:rFonts w:ascii="Times New Roman" w:hAnsi="Times New Roman" w:cs="Times New Roman"/>
          <w:lang w:val="el-GR"/>
        </w:rPr>
        <w:t>στ</w:t>
      </w:r>
      <w:r w:rsidR="00967063">
        <w:rPr>
          <w:rFonts w:ascii="Times New Roman" w:hAnsi="Times New Roman" w:cs="Times New Roman"/>
          <w:lang w:val="el-GR"/>
        </w:rPr>
        <w:t>η</w:t>
      </w:r>
      <w:r w:rsidR="00901EF3" w:rsidRPr="00F54B01">
        <w:rPr>
          <w:rFonts w:ascii="Times New Roman" w:hAnsi="Times New Roman" w:cs="Times New Roman"/>
          <w:lang w:val="el-GR"/>
        </w:rPr>
        <w:t xml:space="preserve"> </w:t>
      </w:r>
      <w:r w:rsidR="00643ECB" w:rsidRPr="00FB72E2">
        <w:rPr>
          <w:rFonts w:ascii="Times New Roman" w:hAnsi="Times New Roman" w:cs="Times New Roman"/>
          <w:lang w:val="el-GR"/>
        </w:rPr>
        <w:t>λαμιβουδίνη</w:t>
      </w:r>
      <w:r w:rsidRPr="00F54B01">
        <w:rPr>
          <w:rFonts w:ascii="Times New Roman" w:hAnsi="Times New Roman" w:cs="Times New Roman"/>
          <w:lang w:val="el-GR"/>
        </w:rPr>
        <w:t>, το 20% (9/45) των</w:t>
      </w:r>
      <w:r w:rsidRPr="00F54B01">
        <w:rPr>
          <w:rFonts w:ascii="Times New Roman" w:hAnsi="Times New Roman" w:cs="Times New Roman"/>
          <w:spacing w:val="-24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ασθενών είχαν προηγούμενη εμπειρία θεραπείας στ</w:t>
      </w:r>
      <w:r w:rsidR="00967063">
        <w:rPr>
          <w:rFonts w:ascii="Times New Roman" w:hAnsi="Times New Roman" w:cs="Times New Roman"/>
          <w:lang w:val="el-GR"/>
        </w:rPr>
        <w:t>ην</w:t>
      </w:r>
      <w:r w:rsidRPr="00F54B01">
        <w:rPr>
          <w:rFonts w:ascii="Times New Roman" w:hAnsi="Times New Roman" w:cs="Times New Roman"/>
          <w:lang w:val="el-GR"/>
        </w:rPr>
        <w:t xml:space="preserve"> </w:t>
      </w:r>
      <w:r w:rsidR="00AA45B9" w:rsidRPr="00AA45B9">
        <w:rPr>
          <w:rFonts w:ascii="Times New Roman" w:hAnsi="Times New Roman" w:cs="Times New Roman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lang w:val="el-GR"/>
        </w:rPr>
        <w:t xml:space="preserve"> και 9 </w:t>
      </w:r>
      <w:r w:rsidR="001A142B">
        <w:rPr>
          <w:rFonts w:ascii="Times New Roman" w:hAnsi="Times New Roman" w:cs="Times New Roman"/>
          <w:lang w:val="el-GR"/>
        </w:rPr>
        <w:t>σ</w:t>
      </w:r>
      <w:r w:rsidRPr="00F54B01">
        <w:rPr>
          <w:rFonts w:ascii="Times New Roman" w:hAnsi="Times New Roman" w:cs="Times New Roman"/>
          <w:lang w:val="el-GR"/>
        </w:rPr>
        <w:t>του</w:t>
      </w:r>
      <w:r w:rsidR="001A142B">
        <w:rPr>
          <w:rFonts w:ascii="Times New Roman" w:hAnsi="Times New Roman" w:cs="Times New Roman"/>
          <w:lang w:val="el-GR"/>
        </w:rPr>
        <w:t>ς</w:t>
      </w:r>
      <w:r w:rsidRPr="00F54B01">
        <w:rPr>
          <w:rFonts w:ascii="Times New Roman" w:hAnsi="Times New Roman" w:cs="Times New Roman"/>
          <w:lang w:val="el-GR"/>
        </w:rPr>
        <w:t xml:space="preserve"> 45 ασθενείς (20%)</w:t>
      </w:r>
      <w:r w:rsidRPr="00F54B01">
        <w:rPr>
          <w:rFonts w:ascii="Times New Roman" w:hAnsi="Times New Roman" w:cs="Times New Roman"/>
          <w:spacing w:val="-20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είχαν μεταλλάξεις αντοχής </w:t>
      </w:r>
      <w:r w:rsidR="001A142B" w:rsidRPr="00F54B01">
        <w:rPr>
          <w:rFonts w:ascii="Times New Roman" w:hAnsi="Times New Roman" w:cs="Times New Roman"/>
          <w:lang w:val="el-GR"/>
        </w:rPr>
        <w:t>στ</w:t>
      </w:r>
      <w:r w:rsidR="00967063">
        <w:rPr>
          <w:rFonts w:ascii="Times New Roman" w:hAnsi="Times New Roman" w:cs="Times New Roman"/>
          <w:lang w:val="el-GR"/>
        </w:rPr>
        <w:t>η</w:t>
      </w:r>
      <w:r w:rsidR="001A142B" w:rsidRPr="00F54B01">
        <w:rPr>
          <w:rFonts w:ascii="Times New Roman" w:hAnsi="Times New Roman" w:cs="Times New Roman"/>
          <w:lang w:val="el-GR"/>
        </w:rPr>
        <w:t xml:space="preserve"> </w:t>
      </w:r>
      <w:r w:rsidR="00643ECB" w:rsidRPr="00FB72E2">
        <w:rPr>
          <w:rFonts w:ascii="Times New Roman" w:hAnsi="Times New Roman" w:cs="Times New Roman"/>
          <w:lang w:val="el-GR"/>
        </w:rPr>
        <w:t>λαμιβουδίνη</w:t>
      </w:r>
      <w:r w:rsidR="001A142B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και/ή στ</w:t>
      </w:r>
      <w:r w:rsidR="00967063">
        <w:rPr>
          <w:rFonts w:ascii="Times New Roman" w:hAnsi="Times New Roman" w:cs="Times New Roman"/>
          <w:lang w:val="el-GR"/>
        </w:rPr>
        <w:t xml:space="preserve">ην </w:t>
      </w:r>
      <w:r w:rsidR="00AA45B9" w:rsidRPr="00AA45B9">
        <w:rPr>
          <w:rFonts w:ascii="Times New Roman" w:hAnsi="Times New Roman" w:cs="Times New Roman"/>
          <w:lang w:val="el-GR"/>
        </w:rPr>
        <w:t>αδεφοβίρη διπιβοξίλη</w:t>
      </w:r>
      <w:r w:rsidRPr="00F54B01">
        <w:rPr>
          <w:rFonts w:ascii="Times New Roman" w:hAnsi="Times New Roman" w:cs="Times New Roman"/>
          <w:lang w:val="el-GR"/>
        </w:rPr>
        <w:t xml:space="preserve"> κατά την έναρξη. Τα</w:t>
      </w:r>
      <w:r w:rsidRPr="00F54B01">
        <w:rPr>
          <w:rFonts w:ascii="Times New Roman" w:hAnsi="Times New Roman" w:cs="Times New Roman"/>
          <w:spacing w:val="-21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πρωτογενή καταληκτικά σημεία ασφάλειας ήταν η διακοπή λόγω μιας ανεπιθύμητης ενέργειας και</w:t>
      </w:r>
      <w:r w:rsidRPr="00F54B01">
        <w:rPr>
          <w:rFonts w:ascii="Times New Roman" w:hAnsi="Times New Roman" w:cs="Times New Roman"/>
          <w:spacing w:val="-15"/>
          <w:lang w:val="el-GR"/>
        </w:rPr>
        <w:t xml:space="preserve"> </w:t>
      </w:r>
      <w:r w:rsidR="00967063">
        <w:rPr>
          <w:rFonts w:ascii="Times New Roman" w:hAnsi="Times New Roman" w:cs="Times New Roman"/>
          <w:spacing w:val="-15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η επιβεβαιωμένη αύξηση στην κρεατινίνη ορού </w:t>
      </w:r>
      <w:r w:rsidRPr="00F54B01">
        <w:rPr>
          <w:rFonts w:ascii="Times New Roman" w:hAnsi="Times New Roman" w:cs="Times New Roman"/>
          <w:b/>
          <w:bCs/>
          <w:lang w:val="el-GR"/>
        </w:rPr>
        <w:t xml:space="preserve">≥ </w:t>
      </w:r>
      <w:r w:rsidRPr="00F54B01">
        <w:rPr>
          <w:rFonts w:ascii="Times New Roman" w:hAnsi="Times New Roman" w:cs="Times New Roman"/>
          <w:lang w:val="el-GR"/>
        </w:rPr>
        <w:t xml:space="preserve">0,5 </w:t>
      </w:r>
      <w:r w:rsidRPr="00F54B01">
        <w:rPr>
          <w:rFonts w:ascii="Times New Roman" w:hAnsi="Times New Roman" w:cs="Times New Roman"/>
        </w:rPr>
        <w:t>mg</w:t>
      </w:r>
      <w:r w:rsidRPr="00F54B01">
        <w:rPr>
          <w:rFonts w:ascii="Times New Roman" w:hAnsi="Times New Roman" w:cs="Times New Roman"/>
          <w:lang w:val="el-GR"/>
        </w:rPr>
        <w:t>/</w:t>
      </w:r>
      <w:r w:rsidRPr="00F54B01">
        <w:rPr>
          <w:rFonts w:ascii="Times New Roman" w:hAnsi="Times New Roman" w:cs="Times New Roman"/>
        </w:rPr>
        <w:t>dl</w:t>
      </w:r>
      <w:r w:rsidRPr="00F54B01">
        <w:rPr>
          <w:rFonts w:ascii="Times New Roman" w:hAnsi="Times New Roman" w:cs="Times New Roman"/>
          <w:lang w:val="el-GR"/>
        </w:rPr>
        <w:t xml:space="preserve"> ή ο επιβεβαιωμένος φώσφορος</w:t>
      </w:r>
      <w:r w:rsidRPr="00F54B01">
        <w:rPr>
          <w:rFonts w:ascii="Times New Roman" w:hAnsi="Times New Roman" w:cs="Times New Roman"/>
          <w:spacing w:val="-22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ορού</w:t>
      </w:r>
      <w:r w:rsidR="00F54B01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&lt;2</w:t>
      </w:r>
      <w:r w:rsidRPr="00F54B0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</w:rPr>
        <w:t>mg</w:t>
      </w:r>
      <w:r w:rsidRPr="00F54B01">
        <w:rPr>
          <w:rFonts w:ascii="Times New Roman" w:hAnsi="Times New Roman" w:cs="Times New Roman"/>
          <w:lang w:val="el-GR"/>
        </w:rPr>
        <w:t>/</w:t>
      </w:r>
      <w:r w:rsidRPr="00F54B01">
        <w:rPr>
          <w:rFonts w:ascii="Times New Roman" w:hAnsi="Times New Roman" w:cs="Times New Roman"/>
        </w:rPr>
        <w:t>dl</w:t>
      </w:r>
      <w:r w:rsidRPr="00F54B01">
        <w:rPr>
          <w:rFonts w:ascii="Times New Roman" w:hAnsi="Times New Roman"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Σε ασθενείς με βαθμούς </w:t>
      </w:r>
      <w:r w:rsidRPr="00F54B01">
        <w:rPr>
          <w:rFonts w:cs="Times New Roman"/>
        </w:rPr>
        <w:t>CPT</w:t>
      </w:r>
      <w:r w:rsidRPr="00F54B01">
        <w:rPr>
          <w:rFonts w:cs="Times New Roman"/>
          <w:lang w:val="el-GR"/>
        </w:rPr>
        <w:t xml:space="preserve"> ≤ 9, </w:t>
      </w:r>
      <w:r w:rsidR="003E1789">
        <w:rPr>
          <w:rFonts w:cs="Times New Roman"/>
          <w:lang w:val="el-GR"/>
        </w:rPr>
        <w:t xml:space="preserve">στο </w:t>
      </w:r>
      <w:r w:rsidRPr="00F54B01">
        <w:rPr>
          <w:rFonts w:cs="Times New Roman"/>
          <w:lang w:val="el-GR"/>
        </w:rPr>
        <w:t xml:space="preserve">74% (29/39) στην ομάδα θεραπείας με </w:t>
      </w:r>
      <w:r w:rsidR="001A142B" w:rsidRPr="001A142B">
        <w:rPr>
          <w:rFonts w:cs="Times New Roman"/>
          <w:lang w:val="el-GR"/>
        </w:rPr>
        <w:t xml:space="preserve">τενοφοβίρη δισοπρόξιλη </w:t>
      </w:r>
      <w:r w:rsidRPr="00F54B01">
        <w:rPr>
          <w:rFonts w:cs="Times New Roman"/>
          <w:lang w:val="el-GR"/>
        </w:rPr>
        <w:t>και</w:t>
      </w:r>
      <w:r w:rsidR="003E1789">
        <w:rPr>
          <w:rFonts w:cs="Times New Roman"/>
          <w:lang w:val="el-GR"/>
        </w:rPr>
        <w:t xml:space="preserve"> το</w:t>
      </w:r>
      <w:r w:rsidRPr="00F54B01">
        <w:rPr>
          <w:rFonts w:cs="Times New Roman"/>
          <w:lang w:val="el-GR"/>
        </w:rPr>
        <w:t xml:space="preserve"> 94% (33/35) στην ομάδα θεραπείας με </w:t>
      </w:r>
      <w:r w:rsidR="00203833" w:rsidRPr="00203833">
        <w:rPr>
          <w:rFonts w:cs="Times New Roman"/>
          <w:lang w:val="el-GR"/>
        </w:rPr>
        <w:t>εμτρισιταβίνη</w:t>
      </w:r>
      <w:r w:rsidRPr="00F54B01">
        <w:rPr>
          <w:rFonts w:cs="Times New Roman"/>
          <w:lang w:val="el-GR"/>
        </w:rPr>
        <w:t xml:space="preserve"> συν </w:t>
      </w:r>
      <w:r w:rsidR="001A142B" w:rsidRPr="001A142B">
        <w:rPr>
          <w:rFonts w:cs="Times New Roman"/>
          <w:lang w:val="el-GR"/>
        </w:rPr>
        <w:t xml:space="preserve">τενοφοβίρη δισοπρόξιλη </w:t>
      </w:r>
      <w:r w:rsidRPr="00F54B01">
        <w:rPr>
          <w:rFonts w:cs="Times New Roman"/>
          <w:lang w:val="el-GR"/>
        </w:rPr>
        <w:t xml:space="preserve">επετεύχθησαν επίπεδα </w:t>
      </w:r>
      <w:r w:rsidRPr="00F54B01">
        <w:rPr>
          <w:rFonts w:cs="Times New Roman"/>
          <w:spacing w:val="-2"/>
        </w:rPr>
        <w:t>HBV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</w:rPr>
        <w:t>DNA</w:t>
      </w:r>
      <w:r w:rsidR="00967063">
        <w:rPr>
          <w:rFonts w:cs="Times New Roman"/>
          <w:lang w:val="el-GR"/>
        </w:rPr>
        <w:t xml:space="preserve"> &lt;</w:t>
      </w:r>
      <w:r w:rsidRPr="00F54B01">
        <w:rPr>
          <w:rFonts w:cs="Times New Roman"/>
          <w:lang w:val="el-GR"/>
        </w:rPr>
        <w:t xml:space="preserve">400 αντίγραφα </w:t>
      </w:r>
      <w:r w:rsidRPr="00F54B01">
        <w:rPr>
          <w:rFonts w:cs="Times New Roman"/>
          <w:spacing w:val="-2"/>
          <w:lang w:val="el-GR"/>
        </w:rPr>
        <w:t>/</w:t>
      </w:r>
      <w:r w:rsidRPr="00F54B01">
        <w:rPr>
          <w:rFonts w:cs="Times New Roman"/>
          <w:spacing w:val="-2"/>
        </w:rPr>
        <w:t>ml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μετά από 48 εβδομάδες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θεραπείας.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Συνολικά, τα δεδομένα που εξήχθησαν από τη μελέτη αυτή είναι υπερβολικά περιορισμένα ώστε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να εξαχθούν οποιαδήποτε οριστικά συμπεράσματα σχετικά με τη σύγκριση της </w:t>
      </w:r>
      <w:r w:rsidR="00203833" w:rsidRPr="00203833">
        <w:rPr>
          <w:rFonts w:cs="Times New Roman"/>
          <w:lang w:val="el-GR"/>
        </w:rPr>
        <w:t>εμτρισιταβίνη</w:t>
      </w:r>
      <w:r w:rsidR="00967063">
        <w:rPr>
          <w:rFonts w:cs="Times New Roman"/>
          <w:spacing w:val="-22"/>
          <w:lang w:val="el-GR"/>
        </w:rPr>
        <w:t xml:space="preserve">ς </w:t>
      </w:r>
      <w:r w:rsidRPr="00F54B01">
        <w:rPr>
          <w:rFonts w:cs="Times New Roman"/>
          <w:lang w:val="el-GR"/>
        </w:rPr>
        <w:t xml:space="preserve">συν </w:t>
      </w:r>
      <w:r w:rsidR="001A142B" w:rsidRPr="001A142B">
        <w:rPr>
          <w:rFonts w:cs="Times New Roman"/>
          <w:lang w:val="el-GR"/>
        </w:rPr>
        <w:t>τενοφοβίρη</w:t>
      </w:r>
      <w:r w:rsidR="00967063">
        <w:rPr>
          <w:rFonts w:cs="Times New Roman"/>
          <w:lang w:val="el-GR"/>
        </w:rPr>
        <w:t>ς</w:t>
      </w:r>
      <w:r w:rsidR="001A142B" w:rsidRPr="001A142B">
        <w:rPr>
          <w:rFonts w:cs="Times New Roman"/>
          <w:lang w:val="el-GR"/>
        </w:rPr>
        <w:t xml:space="preserve"> δισοπρόξιλη</w:t>
      </w:r>
      <w:r w:rsidR="00967063">
        <w:rPr>
          <w:rFonts w:cs="Times New Roman"/>
          <w:lang w:val="el-GR"/>
        </w:rPr>
        <w:t>ς</w:t>
      </w:r>
      <w:r w:rsidR="001A142B" w:rsidRPr="001A142B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έναντι </w:t>
      </w:r>
      <w:r w:rsidR="001A142B" w:rsidRPr="00F54B01">
        <w:rPr>
          <w:rFonts w:cs="Times New Roman"/>
          <w:lang w:val="el-GR"/>
        </w:rPr>
        <w:t>τ</w:t>
      </w:r>
      <w:r w:rsidR="001A142B">
        <w:rPr>
          <w:rFonts w:cs="Times New Roman"/>
          <w:lang w:val="el-GR"/>
        </w:rPr>
        <w:t>ης</w:t>
      </w:r>
      <w:r w:rsidR="001A142B" w:rsidRPr="00F54B01">
        <w:rPr>
          <w:rFonts w:cs="Times New Roman"/>
          <w:lang w:val="el-GR"/>
        </w:rPr>
        <w:t xml:space="preserve"> </w:t>
      </w:r>
      <w:r w:rsidR="001A142B" w:rsidRPr="001A142B">
        <w:rPr>
          <w:rFonts w:cs="Times New Roman"/>
          <w:lang w:val="el-GR"/>
        </w:rPr>
        <w:t>τενοφοβίρη</w:t>
      </w:r>
      <w:r w:rsidR="001A142B">
        <w:rPr>
          <w:rFonts w:cs="Times New Roman"/>
          <w:lang w:val="el-GR"/>
        </w:rPr>
        <w:t>ς</w:t>
      </w:r>
      <w:r w:rsidR="001A142B" w:rsidRPr="001A142B">
        <w:rPr>
          <w:rFonts w:cs="Times New Roman"/>
          <w:lang w:val="el-GR"/>
        </w:rPr>
        <w:t xml:space="preserve"> δισοπρόξιλη</w:t>
      </w:r>
      <w:r w:rsidR="001A142B">
        <w:rPr>
          <w:rFonts w:cs="Times New Roman"/>
          <w:lang w:val="el-GR"/>
        </w:rPr>
        <w:t>ς</w:t>
      </w:r>
      <w:r w:rsidR="001A142B" w:rsidRPr="001A142B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(Βλέπε Πίνακα 7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παρακάτω).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ind w:left="0" w:firstLine="0"/>
        <w:rPr>
          <w:rFonts w:cs="Times New Roman"/>
          <w:b w:val="0"/>
          <w:bCs w:val="0"/>
          <w:lang w:val="el-GR"/>
        </w:rPr>
      </w:pPr>
      <w:r w:rsidRPr="00F54B01">
        <w:rPr>
          <w:rFonts w:cs="Times New Roman"/>
          <w:lang w:val="el-GR"/>
        </w:rPr>
        <w:t>Πίνακας 7: Παράμετροι ασφάλειας και αποτελεσματικότητας σε ασθενείς με μη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αντιρροπούμενη ηπατική νόσο κατά την 48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spacing w:val="17"/>
          <w:position w:val="10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εβδομάδα</w:t>
      </w:r>
    </w:p>
    <w:tbl>
      <w:tblPr>
        <w:tblW w:w="904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124"/>
        <w:gridCol w:w="2269"/>
        <w:gridCol w:w="1843"/>
      </w:tblGrid>
      <w:tr w:rsidR="009D104A" w:rsidRPr="00F54B01" w:rsidTr="00CF210F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9D104A" w:rsidP="009A7039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Μελέτη</w:t>
            </w:r>
            <w:r w:rsidRPr="00F54B0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174-0108</w:t>
            </w:r>
          </w:p>
        </w:tc>
      </w:tr>
      <w:tr w:rsidR="009D104A" w:rsidRPr="00CA6D48" w:rsidTr="00CF210F">
        <w:trPr>
          <w:trHeight w:hRule="exact" w:val="93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Παράμετρος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B72E2" w:rsidRDefault="001A142B" w:rsidP="009A7039">
            <w:pPr>
              <w:pStyle w:val="TableParagraph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lang w:val="el-GR"/>
              </w:rPr>
              <w:t>Τ</w:t>
            </w:r>
            <w:r w:rsidRPr="001A142B">
              <w:rPr>
                <w:rFonts w:ascii="Times New Roman" w:hAnsi="Times New Roman" w:cs="Times New Roman"/>
                <w:sz w:val="20"/>
                <w:lang w:val="el-GR"/>
              </w:rPr>
              <w:t>ενοφοβίρη</w:t>
            </w:r>
            <w:r w:rsidRPr="00FB72E2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1A142B">
              <w:rPr>
                <w:rFonts w:ascii="Times New Roman" w:hAnsi="Times New Roman" w:cs="Times New Roman"/>
                <w:sz w:val="20"/>
                <w:lang w:val="el-GR"/>
              </w:rPr>
              <w:t>δισοπρόξιλη</w:t>
            </w:r>
            <w:r w:rsidRPr="00FB72E2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FB72E2">
              <w:rPr>
                <w:rFonts w:ascii="Times New Roman" w:hAnsi="Times New Roman" w:cs="Times New Roman"/>
                <w:sz w:val="20"/>
                <w:lang w:val="el-GR"/>
              </w:rPr>
              <w:t xml:space="preserve">245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FB72E2">
              <w:rPr>
                <w:rFonts w:ascii="Times New Roman" w:hAnsi="Times New Roman" w:cs="Times New Roman"/>
                <w:sz w:val="20"/>
                <w:lang w:val="el-GR"/>
              </w:rPr>
              <w:t xml:space="preserve"> (ως</w:t>
            </w:r>
            <w:r w:rsidR="00302B89" w:rsidRPr="00FB72E2">
              <w:rPr>
                <w:rFonts w:ascii="Times New Roman" w:hAnsi="Times New Roman" w:cs="Times New Roman"/>
                <w:spacing w:val="-8"/>
                <w:sz w:val="20"/>
                <w:lang w:val="el-GR"/>
              </w:rPr>
              <w:t xml:space="preserve"> </w:t>
            </w:r>
            <w:r w:rsidR="00FB72E2">
              <w:rPr>
                <w:rFonts w:ascii="Times New Roman" w:hAnsi="Times New Roman" w:cs="Times New Roman"/>
                <w:sz w:val="20"/>
                <w:lang w:val="el-GR"/>
              </w:rPr>
              <w:t>ηλεκτρική</w:t>
            </w:r>
            <w:r w:rsidR="00302B89" w:rsidRPr="00FB72E2">
              <w:rPr>
                <w:rFonts w:ascii="Times New Roman" w:hAnsi="Times New Roman" w:cs="Times New Roman"/>
                <w:sz w:val="20"/>
                <w:lang w:val="el-GR"/>
              </w:rPr>
              <w:t>)</w:t>
            </w:r>
            <w:r w:rsidR="00302B89" w:rsidRPr="00FB72E2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302B89" w:rsidRPr="00FB72E2">
              <w:rPr>
                <w:rFonts w:ascii="Times New Roman" w:hAnsi="Times New Roman" w:cs="Times New Roman"/>
                <w:sz w:val="20"/>
                <w:lang w:val="el-GR"/>
              </w:rPr>
              <w:t>(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n</w:t>
            </w:r>
            <w:r w:rsidR="00302B89" w:rsidRPr="00FB72E2">
              <w:rPr>
                <w:rFonts w:ascii="Times New Roman" w:hAnsi="Times New Roman" w:cs="Times New Roman"/>
                <w:sz w:val="20"/>
                <w:lang w:val="el-GR"/>
              </w:rPr>
              <w:t xml:space="preserve"> =</w:t>
            </w:r>
            <w:r w:rsidR="00302B89" w:rsidRPr="00FB72E2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="00302B89" w:rsidRPr="00FB72E2">
              <w:rPr>
                <w:rFonts w:ascii="Times New Roman" w:hAnsi="Times New Roman" w:cs="Times New Roman"/>
                <w:sz w:val="20"/>
                <w:lang w:val="el-GR"/>
              </w:rPr>
              <w:t>45)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203833" w:rsidRDefault="00203833" w:rsidP="001A14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203833">
              <w:rPr>
                <w:rFonts w:ascii="Times New Roman" w:hAnsi="Times New Roman" w:cs="Times New Roman"/>
                <w:sz w:val="20"/>
                <w:lang w:val="el-GR"/>
              </w:rPr>
              <w:t>Εμτρισιταβίνη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 200</w:t>
            </w:r>
            <w:r w:rsidR="00302B89" w:rsidRPr="00203833">
              <w:rPr>
                <w:rFonts w:ascii="Times New Roman" w:hAnsi="Times New Roman" w:cs="Times New Roman"/>
                <w:spacing w:val="-7"/>
                <w:sz w:val="20"/>
                <w:lang w:val="el-GR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/</w:t>
            </w:r>
            <w:r w:rsidR="00302B89" w:rsidRPr="00203833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1A142B" w:rsidRPr="001A142B">
              <w:rPr>
                <w:rFonts w:ascii="Times New Roman" w:hAnsi="Times New Roman" w:cs="Times New Roman"/>
                <w:sz w:val="20"/>
                <w:lang w:val="el-GR"/>
              </w:rPr>
              <w:t>τενοφοβίρη</w:t>
            </w:r>
            <w:r w:rsidR="001A142B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1A142B" w:rsidRPr="001A142B">
              <w:rPr>
                <w:rFonts w:ascii="Times New Roman" w:hAnsi="Times New Roman" w:cs="Times New Roman"/>
                <w:sz w:val="20"/>
                <w:lang w:val="el-GR"/>
              </w:rPr>
              <w:t>δισοπρόξιλη</w:t>
            </w:r>
            <w:r w:rsidR="001A142B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245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 (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n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 xml:space="preserve"> =</w:t>
            </w:r>
            <w:r w:rsidR="00302B89" w:rsidRPr="00203833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="00302B89" w:rsidRPr="00203833">
              <w:rPr>
                <w:rFonts w:ascii="Times New Roman" w:hAnsi="Times New Roman" w:cs="Times New Roman"/>
                <w:sz w:val="20"/>
                <w:lang w:val="el-GR"/>
              </w:rPr>
              <w:t>45)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CA6D48" w:rsidRDefault="00796AA2" w:rsidP="009A7039">
            <w:pPr>
              <w:pStyle w:val="TableParagraph"/>
              <w:ind w:firstLine="266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Εντεκαβίρη</w:t>
            </w:r>
            <w:r w:rsidR="00302B89" w:rsidRPr="00CA6D48">
              <w:rPr>
                <w:rFonts w:ascii="Times New Roman" w:hAnsi="Times New Roman" w:cs="Times New Roman"/>
                <w:w w:val="99"/>
                <w:sz w:val="20"/>
                <w:lang w:val="el-GR"/>
              </w:rPr>
              <w:t xml:space="preserve"> </w:t>
            </w:r>
            <w:r w:rsidR="00302B89"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(0,5 </w:t>
            </w:r>
            <w:r w:rsidR="00302B89" w:rsidRPr="00F54B01">
              <w:rPr>
                <w:rFonts w:ascii="Times New Roman" w:hAnsi="Times New Roman" w:cs="Times New Roman"/>
                <w:sz w:val="20"/>
              </w:rPr>
              <w:t>mg</w:t>
            </w:r>
            <w:r w:rsidR="00302B89"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 ή 1</w:t>
            </w:r>
            <w:r w:rsidR="00302B89" w:rsidRPr="00CA6D48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 xml:space="preserve"> </w:t>
            </w:r>
            <w:r w:rsidR="00302B89" w:rsidRPr="00F54B01">
              <w:rPr>
                <w:rFonts w:ascii="Times New Roman" w:hAnsi="Times New Roman" w:cs="Times New Roman"/>
                <w:spacing w:val="-2"/>
                <w:sz w:val="20"/>
              </w:rPr>
              <w:t>mg</w:t>
            </w:r>
            <w:r w:rsidR="00302B89" w:rsidRPr="00CA6D48">
              <w:rPr>
                <w:rFonts w:ascii="Times New Roman" w:hAnsi="Times New Roman" w:cs="Times New Roman"/>
                <w:spacing w:val="-2"/>
                <w:sz w:val="20"/>
                <w:lang w:val="el-GR"/>
              </w:rPr>
              <w:t>)</w:t>
            </w:r>
          </w:p>
          <w:p w:rsidR="009D104A" w:rsidRPr="00CA6D48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n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 xml:space="preserve"> =</w:t>
            </w:r>
            <w:r w:rsidRPr="00CA6D48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CA6D48">
              <w:rPr>
                <w:rFonts w:ascii="Times New Roman" w:hAnsi="Times New Roman" w:cs="Times New Roman"/>
                <w:sz w:val="20"/>
                <w:lang w:val="el-GR"/>
              </w:rPr>
              <w:t>22</w:t>
            </w:r>
          </w:p>
        </w:tc>
      </w:tr>
      <w:tr w:rsidR="009D104A" w:rsidRPr="00F54B01" w:rsidTr="00CF210F">
        <w:trPr>
          <w:trHeight w:hRule="exact" w:val="16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Αποτυχία</w:t>
            </w:r>
            <w:r w:rsidRPr="00F54B01">
              <w:rPr>
                <w:rFonts w:ascii="Times New Roman" w:hAnsi="Times New Roman" w:cs="Times New Roman"/>
                <w:b/>
                <w:spacing w:val="-2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ανεκτικότητας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(μόνιμη διακοπή</w:t>
            </w:r>
            <w:r w:rsidRPr="00F54B01">
              <w:rPr>
                <w:rFonts w:ascii="Times New Roman" w:hAnsi="Times New Roman" w:cs="Times New Roman"/>
                <w:b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του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φαρμάκου της μελέτης</w:t>
            </w:r>
            <w:r w:rsidRPr="00F54B01">
              <w:rPr>
                <w:rFonts w:ascii="Times New Roman" w:hAnsi="Times New Roman" w:cs="Times New Roman"/>
                <w:b/>
                <w:spacing w:val="-8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λόγω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μιας ανεπιθύμητης</w:t>
            </w:r>
            <w:r w:rsidRPr="00F54B01">
              <w:rPr>
                <w:rFonts w:ascii="Times New Roman" w:hAnsi="Times New Roman" w:cs="Times New Roman"/>
                <w:b/>
                <w:spacing w:val="-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ενέργειας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κατά τη διάρκεια</w:t>
            </w:r>
            <w:r w:rsidRPr="00F54B01">
              <w:rPr>
                <w:rFonts w:ascii="Times New Roman" w:hAnsi="Times New Roman" w:cs="Times New Roman"/>
                <w:b/>
                <w:spacing w:val="-5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της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θεραπείας)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n</w:t>
            </w:r>
            <w:r w:rsidRPr="00F54B0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 (7%)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 (4%)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 (9%)</w:t>
            </w:r>
          </w:p>
        </w:tc>
      </w:tr>
      <w:tr w:rsidR="009D104A" w:rsidRPr="00F54B01" w:rsidTr="00CF210F">
        <w:trPr>
          <w:trHeight w:hRule="exact" w:val="13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Επιβεβαιωμένη αύξηση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l-GR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της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l-GR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κρεατινίνης </w:t>
            </w:r>
            <w:r w:rsidR="00B807B9"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ορού</w:t>
            </w:r>
            <w:r w:rsidR="00B8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 &gt;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0,5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l-GR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mg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/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l-GR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από την έναρξη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l-GR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ή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l-GR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επιβεβαιωμένος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l-GR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φώσφορος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l-GR"/>
              </w:rPr>
              <w:t xml:space="preserve"> </w:t>
            </w:r>
            <w:r w:rsidR="00B8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ορού &lt;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2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l-GR"/>
              </w:rPr>
              <w:t xml:space="preserve"> 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mg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/</w:t>
            </w:r>
            <w:r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n</w:t>
            </w:r>
            <w:r w:rsidRPr="00F54B0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  <w:r w:rsidRPr="00F54B01">
              <w:rPr>
                <w:rFonts w:ascii="Times New Roman" w:hAnsi="Times New Roman" w:cs="Times New Roman"/>
                <w:position w:val="9"/>
                <w:sz w:val="13"/>
              </w:rPr>
              <w:t>b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4 (9%)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 (7%)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 (5%)</w:t>
            </w:r>
          </w:p>
        </w:tc>
      </w:tr>
      <w:tr w:rsidR="009D104A" w:rsidRPr="00F54B01" w:rsidTr="00CF210F">
        <w:trPr>
          <w:trHeight w:hRule="exact" w:val="69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HBV DNA n</w:t>
            </w:r>
            <w:r w:rsidRPr="00F54B01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(%)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&lt; 400</w:t>
            </w:r>
            <w:r w:rsidRPr="00F54B0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αντίγραφα/ml</w:t>
            </w:r>
            <w:r w:rsidRPr="00F54B01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n</w:t>
            </w:r>
            <w:r w:rsidRPr="00F54B0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1A14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31/44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(70%)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1A14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36/41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(88%)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1A14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16/22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(73%)</w:t>
            </w:r>
          </w:p>
        </w:tc>
      </w:tr>
      <w:tr w:rsidR="009D104A" w:rsidRPr="00F54B01" w:rsidTr="00CF210F">
        <w:trPr>
          <w:trHeight w:hRule="exact" w:val="4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</w:rPr>
              <w:t>ALT n</w:t>
            </w:r>
            <w:r w:rsidRPr="00F54B0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(%)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Ομαλοποιημένη</w:t>
            </w:r>
            <w:r w:rsidRPr="00F54B0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ALT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1A14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25/44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(57%)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1A14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31/41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(76%)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1A14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12/22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(55%)</w:t>
            </w:r>
          </w:p>
        </w:tc>
      </w:tr>
      <w:tr w:rsidR="009D104A" w:rsidRPr="00F54B01" w:rsidTr="00CF210F">
        <w:trPr>
          <w:trHeight w:hRule="exact" w:val="70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B807B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Μείωση ≥</w:t>
            </w:r>
            <w:r w:rsidR="00302B89"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2 βαθμών στη</w:t>
            </w:r>
            <w:r w:rsidR="00302B89" w:rsidRPr="00F54B01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l-GR"/>
              </w:rPr>
              <w:t xml:space="preserve"> </w:t>
            </w:r>
            <w:r w:rsidR="00302B89"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CPT</w:t>
            </w:r>
            <w:r w:rsidR="00302B89" w:rsidRPr="00F54B0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l-GR"/>
              </w:rPr>
              <w:t xml:space="preserve"> </w:t>
            </w:r>
            <w:r w:rsidR="00302B89"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από την</w:t>
            </w:r>
            <w:r w:rsidR="00302B89" w:rsidRPr="00F54B01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l-GR"/>
              </w:rPr>
              <w:t xml:space="preserve"> </w:t>
            </w:r>
            <w:r w:rsidR="00302B89" w:rsidRPr="00F54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/>
              </w:rPr>
              <w:t>έναρξη</w:t>
            </w:r>
          </w:p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4B01">
              <w:rPr>
                <w:rFonts w:ascii="Times New Roman" w:hAnsi="Times New Roman" w:cs="Times New Roman"/>
                <w:sz w:val="20"/>
              </w:rPr>
              <w:t>n</w:t>
            </w:r>
            <w:proofErr w:type="gramEnd"/>
            <w:r w:rsidRPr="00F54B0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1A14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7/27</w:t>
            </w:r>
            <w:r w:rsidRPr="00F54B0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(26%)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1A14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12/25</w:t>
            </w:r>
            <w:r w:rsidRPr="00F54B0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(48%)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1A14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5/12</w:t>
            </w:r>
            <w:r w:rsidRPr="00F54B0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54B01">
              <w:rPr>
                <w:rFonts w:ascii="Times New Roman" w:hAnsi="Times New Roman" w:cs="Times New Roman"/>
                <w:sz w:val="20"/>
              </w:rPr>
              <w:t>(42%)</w:t>
            </w:r>
          </w:p>
        </w:tc>
      </w:tr>
      <w:tr w:rsidR="009D104A" w:rsidRPr="00F54B01" w:rsidTr="00CF210F">
        <w:trPr>
          <w:trHeight w:hRule="exact" w:val="4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Μέση αλλαγή στο βαθμό</w:t>
            </w:r>
            <w:r w:rsidRPr="00F54B01">
              <w:rPr>
                <w:rFonts w:ascii="Times New Roman" w:hAnsi="Times New Roman" w:cs="Times New Roman"/>
                <w:b/>
                <w:spacing w:val="-6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</w:rPr>
              <w:t>CPT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από την</w:t>
            </w:r>
            <w:r w:rsidRPr="00F54B01">
              <w:rPr>
                <w:rFonts w:ascii="Times New Roman" w:hAnsi="Times New Roman" w:cs="Times New Roman"/>
                <w:b/>
                <w:spacing w:val="-7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έναρξη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-0,8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-0,9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-1,3</w:t>
            </w:r>
          </w:p>
        </w:tc>
      </w:tr>
      <w:tr w:rsidR="009D104A" w:rsidRPr="00F54B01" w:rsidTr="00CF210F">
        <w:trPr>
          <w:trHeight w:hRule="exact" w:val="92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Μέση αλλαγή στο</w:t>
            </w:r>
            <w:r w:rsidRPr="00F54B01">
              <w:rPr>
                <w:rFonts w:ascii="Times New Roman" w:hAnsi="Times New Roman" w:cs="Times New Roman"/>
                <w:b/>
                <w:spacing w:val="-3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βαθμό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ΜΗΝΤΣ (Μοντέλο</w:t>
            </w:r>
            <w:r w:rsidRPr="00F54B01">
              <w:rPr>
                <w:rFonts w:ascii="Times New Roman" w:hAnsi="Times New Roman" w:cs="Times New Roman"/>
                <w:b/>
                <w:spacing w:val="-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Ηπατικής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Νόσου Τελικού Σταδίου)</w:t>
            </w:r>
            <w:r w:rsidRPr="00F54B01">
              <w:rPr>
                <w:rFonts w:ascii="Times New Roman" w:hAnsi="Times New Roman" w:cs="Times New Roman"/>
                <w:b/>
                <w:spacing w:val="-8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από</w:t>
            </w:r>
            <w:r w:rsidRPr="00F54B01">
              <w:rPr>
                <w:rFonts w:ascii="Times New Roman" w:hAnsi="Times New Roman" w:cs="Times New Roman"/>
                <w:b/>
                <w:w w:val="99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την</w:t>
            </w:r>
            <w:r w:rsidRPr="00F54B01">
              <w:rPr>
                <w:rFonts w:ascii="Times New Roman" w:hAnsi="Times New Roman" w:cs="Times New Roman"/>
                <w:b/>
                <w:spacing w:val="-5"/>
                <w:sz w:val="20"/>
                <w:lang w:val="el-GR"/>
              </w:rPr>
              <w:t xml:space="preserve"> </w:t>
            </w:r>
            <w:r w:rsidRPr="00F54B01">
              <w:rPr>
                <w:rFonts w:ascii="Times New Roman" w:hAnsi="Times New Roman" w:cs="Times New Roman"/>
                <w:b/>
                <w:sz w:val="20"/>
                <w:lang w:val="el-GR"/>
              </w:rPr>
              <w:t>έναρξη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-1,8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-2,3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4A" w:rsidRPr="00F54B01" w:rsidRDefault="00302B89" w:rsidP="009A70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01">
              <w:rPr>
                <w:rFonts w:ascii="Times New Roman" w:hAnsi="Times New Roman" w:cs="Times New Roman"/>
                <w:sz w:val="20"/>
              </w:rPr>
              <w:t>-2,6</w:t>
            </w:r>
          </w:p>
        </w:tc>
      </w:tr>
    </w:tbl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a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Τιμή </w:t>
      </w:r>
      <w:r w:rsidRPr="00F54B01">
        <w:rPr>
          <w:rFonts w:ascii="Times New Roman" w:hAnsi="Times New Roman" w:cs="Times New Roman"/>
          <w:sz w:val="18"/>
        </w:rPr>
        <w:t>p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η οποία συγκρίνει το σκέλος που περιέχει το συνδυασμό με </w:t>
      </w:r>
      <w:r w:rsidR="001A142B">
        <w:rPr>
          <w:rFonts w:ascii="Times New Roman" w:hAnsi="Times New Roman" w:cs="Times New Roman"/>
          <w:sz w:val="18"/>
          <w:lang w:val="el-GR"/>
        </w:rPr>
        <w:t>τενοφοβίρη</w:t>
      </w:r>
      <w:r w:rsidR="001A142B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έναντι του σκέλους με </w:t>
      </w:r>
      <w:r w:rsidR="00796AA2" w:rsidRPr="00796AA2">
        <w:rPr>
          <w:rFonts w:ascii="Times New Roman" w:hAnsi="Times New Roman" w:cs="Times New Roman"/>
          <w:sz w:val="18"/>
          <w:lang w:val="el-GR"/>
        </w:rPr>
        <w:t>εντεκαβίρη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=</w:t>
      </w:r>
      <w:r w:rsidRPr="00F54B01">
        <w:rPr>
          <w:rFonts w:ascii="Times New Roman" w:hAnsi="Times New Roman" w:cs="Times New Roman"/>
          <w:spacing w:val="-10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0,622,</w:t>
      </w:r>
    </w:p>
    <w:p w:rsidR="009D104A" w:rsidRPr="00F54B01" w:rsidRDefault="00302B89" w:rsidP="009A7039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gramStart"/>
      <w:r w:rsidRPr="00F54B01">
        <w:rPr>
          <w:rFonts w:ascii="Times New Roman" w:hAnsi="Times New Roman" w:cs="Times New Roman"/>
          <w:position w:val="8"/>
          <w:sz w:val="12"/>
        </w:rPr>
        <w:t>b</w:t>
      </w:r>
      <w:proofErr w:type="gramEnd"/>
      <w:r w:rsidRPr="00F54B01">
        <w:rPr>
          <w:rFonts w:ascii="Times New Roman" w:hAnsi="Times New Roman" w:cs="Times New Roman"/>
          <w:position w:val="8"/>
          <w:sz w:val="12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Τιμή </w:t>
      </w:r>
      <w:r w:rsidRPr="00F54B01">
        <w:rPr>
          <w:rFonts w:ascii="Times New Roman" w:hAnsi="Times New Roman" w:cs="Times New Roman"/>
          <w:sz w:val="18"/>
        </w:rPr>
        <w:t>p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η οποία συγκρίνει το σκέλος που περιέχει το συνδυασμό με </w:t>
      </w:r>
      <w:r w:rsidR="001A142B">
        <w:rPr>
          <w:rFonts w:ascii="Times New Roman" w:hAnsi="Times New Roman" w:cs="Times New Roman"/>
          <w:sz w:val="18"/>
          <w:lang w:val="el-GR"/>
        </w:rPr>
        <w:t>τενοφοβίρη</w:t>
      </w:r>
      <w:r w:rsidR="001A142B" w:rsidRPr="00F54B01">
        <w:rPr>
          <w:rFonts w:ascii="Times New Roman" w:hAnsi="Times New Roman" w:cs="Times New Roman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έναντι του σκέλους με </w:t>
      </w:r>
      <w:r w:rsidR="00796AA2" w:rsidRPr="00796AA2">
        <w:rPr>
          <w:rFonts w:ascii="Times New Roman" w:hAnsi="Times New Roman" w:cs="Times New Roman"/>
          <w:sz w:val="18"/>
          <w:lang w:val="el-GR"/>
        </w:rPr>
        <w:t>εντεκαβίρη</w:t>
      </w:r>
      <w:r w:rsidRPr="00F54B01">
        <w:rPr>
          <w:rFonts w:ascii="Times New Roman" w:hAnsi="Times New Roman" w:cs="Times New Roman"/>
          <w:sz w:val="18"/>
          <w:lang w:val="el-GR"/>
        </w:rPr>
        <w:t xml:space="preserve"> =</w:t>
      </w:r>
      <w:r w:rsidRPr="00F54B01">
        <w:rPr>
          <w:rFonts w:ascii="Times New Roman" w:hAnsi="Times New Roman" w:cs="Times New Roman"/>
          <w:spacing w:val="-10"/>
          <w:sz w:val="18"/>
          <w:lang w:val="el-GR"/>
        </w:rPr>
        <w:t xml:space="preserve"> </w:t>
      </w:r>
      <w:r w:rsidRPr="00F54B01">
        <w:rPr>
          <w:rFonts w:ascii="Times New Roman" w:hAnsi="Times New Roman" w:cs="Times New Roman"/>
          <w:sz w:val="18"/>
          <w:lang w:val="el-GR"/>
        </w:rPr>
        <w:t>1,000.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Εμπειρία πέραν των 48 εβδομάδων στη μελέτη</w:t>
      </w:r>
      <w:r w:rsidRPr="00F54B01">
        <w:rPr>
          <w:rFonts w:ascii="Times New Roman" w:hAnsi="Times New Roman" w:cs="Times New Roman"/>
          <w:i/>
          <w:spacing w:val="-10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GS</w:t>
      </w:r>
      <w:r w:rsidRPr="00F54B01">
        <w:rPr>
          <w:rFonts w:ascii="Times New Roman" w:hAnsi="Times New Roman" w:cs="Times New Roman"/>
          <w:i/>
          <w:lang w:val="el-GR"/>
        </w:rPr>
        <w:t>-</w:t>
      </w:r>
      <w:r w:rsidRPr="00F54B01">
        <w:rPr>
          <w:rFonts w:ascii="Times New Roman" w:hAnsi="Times New Roman" w:cs="Times New Roman"/>
          <w:i/>
        </w:rPr>
        <w:t>US</w:t>
      </w:r>
      <w:r w:rsidRPr="00F54B01">
        <w:rPr>
          <w:rFonts w:ascii="Times New Roman" w:hAnsi="Times New Roman" w:cs="Times New Roman"/>
          <w:i/>
          <w:lang w:val="el-GR"/>
        </w:rPr>
        <w:t>-174-0108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Χρησιμοποιώντας μια ανάλυση του τύπου μη ολοκληρώσαντες/αλλαγή = αποτυχία, </w:t>
      </w:r>
      <w:r w:rsidR="00B807B9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50% (21/42)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των ατόμων που έλαβαν </w:t>
      </w:r>
      <w:r w:rsidR="00085C2F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, </w:t>
      </w:r>
      <w:r w:rsidR="00B807B9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76% (28/37) των ατόμων που έλαβαν</w:t>
      </w:r>
      <w:r w:rsidRPr="00F54B01">
        <w:rPr>
          <w:rFonts w:cs="Times New Roman"/>
          <w:spacing w:val="-34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εμτρισιταβίνη</w:t>
      </w:r>
      <w:r w:rsidRPr="00F54B01">
        <w:rPr>
          <w:rFonts w:cs="Times New Roman"/>
          <w:lang w:val="el-GR"/>
        </w:rPr>
        <w:t xml:space="preserve"> συν </w:t>
      </w:r>
      <w:r w:rsidR="00085C2F" w:rsidRPr="00085C2F">
        <w:rPr>
          <w:rFonts w:cs="Times New Roman"/>
          <w:lang w:val="el-GR"/>
        </w:rPr>
        <w:t xml:space="preserve">τενοφοβίρη δισοπρόξιλη </w:t>
      </w:r>
      <w:r w:rsidRPr="00F54B01">
        <w:rPr>
          <w:rFonts w:cs="Times New Roman"/>
          <w:lang w:val="el-GR"/>
        </w:rPr>
        <w:t xml:space="preserve">και </w:t>
      </w:r>
      <w:r w:rsidR="00B807B9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 xml:space="preserve">52% (11/21) των ατόμων που έλαβαν </w:t>
      </w:r>
      <w:r w:rsidR="00796AA2" w:rsidRPr="00796AA2">
        <w:rPr>
          <w:rFonts w:cs="Times New Roman"/>
          <w:lang w:val="el-GR"/>
        </w:rPr>
        <w:t>εντεκαβίρη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πέτυχαν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="00967063">
        <w:rPr>
          <w:rFonts w:cs="Times New Roman"/>
          <w:lang w:val="el-GR"/>
        </w:rPr>
        <w:t xml:space="preserve"> &lt;</w:t>
      </w:r>
      <w:r w:rsidRPr="00F54B01">
        <w:rPr>
          <w:rFonts w:cs="Times New Roman"/>
          <w:lang w:val="el-GR"/>
        </w:rPr>
        <w:t>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την 168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spacing w:val="15"/>
          <w:position w:val="10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εβδομάδα.</w:t>
      </w:r>
    </w:p>
    <w:p w:rsidR="00F54B01" w:rsidRPr="001A142B" w:rsidRDefault="00F54B01" w:rsidP="009A7039">
      <w:pPr>
        <w:rPr>
          <w:rFonts w:ascii="Times New Roman" w:hAnsi="Times New Roman" w:cs="Times New Roman"/>
          <w:i/>
          <w:lang w:val="el-GR"/>
        </w:rPr>
      </w:pPr>
    </w:p>
    <w:p w:rsidR="00085C2F" w:rsidRPr="00FC5E77" w:rsidRDefault="00302B89" w:rsidP="00F54B01">
      <w:pPr>
        <w:rPr>
          <w:rFonts w:ascii="Times New Roman" w:hAnsi="Times New Roman" w:cs="Times New Roman"/>
          <w:i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 xml:space="preserve">Εμπειρία σε ασθενείς με </w:t>
      </w:r>
      <w:r w:rsidRPr="00F54B01">
        <w:rPr>
          <w:rFonts w:ascii="Times New Roman" w:hAnsi="Times New Roman" w:cs="Times New Roman"/>
          <w:i/>
        </w:rPr>
        <w:t>HVB</w:t>
      </w:r>
      <w:r w:rsidRPr="00F54B01">
        <w:rPr>
          <w:rFonts w:ascii="Times New Roman" w:hAnsi="Times New Roman" w:cs="Times New Roman"/>
          <w:i/>
          <w:lang w:val="el-GR"/>
        </w:rPr>
        <w:t xml:space="preserve"> με αντοχή στη λαμιβουδίνη την </w:t>
      </w:r>
      <w:r w:rsidRPr="00FC5E77">
        <w:rPr>
          <w:rFonts w:ascii="Times New Roman" w:hAnsi="Times New Roman" w:cs="Times New Roman"/>
          <w:i/>
          <w:lang w:val="el-GR"/>
        </w:rPr>
        <w:t>240</w:t>
      </w:r>
      <w:r w:rsidRPr="00FC5E77">
        <w:rPr>
          <w:rFonts w:ascii="Times New Roman" w:hAnsi="Times New Roman" w:cs="Times New Roman"/>
          <w:i/>
          <w:position w:val="10"/>
          <w:sz w:val="14"/>
          <w:lang w:val="el-GR"/>
        </w:rPr>
        <w:t xml:space="preserve">η </w:t>
      </w:r>
      <w:r w:rsidRPr="00F54B01">
        <w:rPr>
          <w:rFonts w:ascii="Times New Roman" w:hAnsi="Times New Roman" w:cs="Times New Roman"/>
          <w:i/>
          <w:lang w:val="el-GR"/>
        </w:rPr>
        <w:t>εβδομάδα (μελέτη</w:t>
      </w:r>
      <w:r w:rsidRPr="00F54B01">
        <w:rPr>
          <w:rFonts w:ascii="Times New Roman" w:hAnsi="Times New Roman" w:cs="Times New Roman"/>
          <w:i/>
          <w:spacing w:val="-29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</w:rPr>
        <w:t>GS</w:t>
      </w:r>
      <w:r w:rsidRPr="00F54B01">
        <w:rPr>
          <w:rFonts w:ascii="Times New Roman" w:hAnsi="Times New Roman" w:cs="Times New Roman"/>
          <w:i/>
          <w:lang w:val="el-GR"/>
        </w:rPr>
        <w:t>-</w:t>
      </w:r>
      <w:r w:rsidRPr="00F54B01">
        <w:rPr>
          <w:rFonts w:ascii="Times New Roman" w:hAnsi="Times New Roman" w:cs="Times New Roman"/>
          <w:i/>
        </w:rPr>
        <w:t>US</w:t>
      </w:r>
      <w:r w:rsidRPr="00F54B01">
        <w:rPr>
          <w:rFonts w:ascii="Times New Roman" w:hAnsi="Times New Roman" w:cs="Times New Roman"/>
          <w:i/>
          <w:lang w:val="el-GR"/>
        </w:rPr>
        <w:t xml:space="preserve">-174-0121) </w:t>
      </w:r>
    </w:p>
    <w:p w:rsidR="009D104A" w:rsidRPr="00F54B01" w:rsidRDefault="00302B89" w:rsidP="00F54B01">
      <w:pPr>
        <w:rPr>
          <w:rFonts w:ascii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lang w:val="el-GR"/>
        </w:rPr>
        <w:t xml:space="preserve">Η αποτελεσματικότητα και η ασφάλεια </w:t>
      </w:r>
      <w:r w:rsidR="00085C2F">
        <w:rPr>
          <w:rFonts w:ascii="Times New Roman" w:hAnsi="Times New Roman" w:cs="Times New Roman"/>
          <w:lang w:val="el-GR"/>
        </w:rPr>
        <w:t xml:space="preserve">της </w:t>
      </w:r>
      <w:r w:rsidR="00085C2F" w:rsidRPr="00085C2F">
        <w:rPr>
          <w:rFonts w:ascii="Times New Roman" w:hAnsi="Times New Roman" w:cs="Times New Roman"/>
          <w:lang w:val="el-GR"/>
        </w:rPr>
        <w:t>τενοφοβίρη</w:t>
      </w:r>
      <w:r w:rsidR="00085C2F">
        <w:rPr>
          <w:rFonts w:ascii="Times New Roman" w:hAnsi="Times New Roman" w:cs="Times New Roman"/>
          <w:lang w:val="el-GR"/>
        </w:rPr>
        <w:t>ς</w:t>
      </w:r>
      <w:r w:rsidR="00085C2F" w:rsidRPr="00085C2F">
        <w:rPr>
          <w:rFonts w:ascii="Times New Roman" w:hAnsi="Times New Roman" w:cs="Times New Roman"/>
          <w:lang w:val="el-GR"/>
        </w:rPr>
        <w:t xml:space="preserve"> δισοπρόξιλη</w:t>
      </w:r>
      <w:r w:rsidR="00085C2F">
        <w:rPr>
          <w:rFonts w:ascii="Times New Roman" w:hAnsi="Times New Roman" w:cs="Times New Roman"/>
          <w:lang w:val="el-GR"/>
        </w:rPr>
        <w:t>ς</w:t>
      </w:r>
      <w:r w:rsidRPr="00F54B01">
        <w:rPr>
          <w:rFonts w:ascii="Times New Roman" w:hAnsi="Times New Roman" w:cs="Times New Roman"/>
          <w:lang w:val="el-GR"/>
        </w:rPr>
        <w:t xml:space="preserve"> 245 </w:t>
      </w:r>
      <w:r w:rsidRPr="00F54B01">
        <w:rPr>
          <w:rFonts w:ascii="Times New Roman" w:hAnsi="Times New Roman" w:cs="Times New Roman"/>
        </w:rPr>
        <w:t>mg</w:t>
      </w:r>
      <w:r w:rsidRPr="00F54B01">
        <w:rPr>
          <w:rFonts w:ascii="Times New Roman" w:hAnsi="Times New Roman" w:cs="Times New Roman"/>
          <w:lang w:val="el-GR"/>
        </w:rPr>
        <w:t xml:space="preserve"> αξιολογήθηκε σε μια τυχαιοποιημένη, διπλά τυφλή μελέτη (</w:t>
      </w:r>
      <w:r w:rsidRPr="00F54B01">
        <w:rPr>
          <w:rFonts w:ascii="Times New Roman" w:hAnsi="Times New Roman" w:cs="Times New Roman"/>
        </w:rPr>
        <w:t>GS</w:t>
      </w:r>
      <w:r w:rsidRPr="00F54B01">
        <w:rPr>
          <w:rFonts w:ascii="Times New Roman" w:hAnsi="Times New Roman" w:cs="Times New Roman"/>
          <w:lang w:val="el-GR"/>
        </w:rPr>
        <w:t>-</w:t>
      </w:r>
      <w:r w:rsidRPr="00F54B01">
        <w:rPr>
          <w:rFonts w:ascii="Times New Roman" w:hAnsi="Times New Roman" w:cs="Times New Roman"/>
        </w:rPr>
        <w:t>US</w:t>
      </w:r>
      <w:r w:rsidRPr="00F54B01">
        <w:rPr>
          <w:rFonts w:ascii="Times New Roman" w:hAnsi="Times New Roman" w:cs="Times New Roman"/>
          <w:lang w:val="el-GR"/>
        </w:rPr>
        <w:t xml:space="preserve">-174-0121) σε </w:t>
      </w:r>
      <w:r w:rsidRPr="00F54B01">
        <w:rPr>
          <w:rFonts w:ascii="Times New Roman" w:hAnsi="Times New Roman" w:cs="Times New Roman"/>
        </w:rPr>
        <w:t>HBeAg</w:t>
      </w:r>
      <w:r w:rsidRPr="00F54B01">
        <w:rPr>
          <w:rFonts w:ascii="Times New Roman" w:hAnsi="Times New Roman" w:cs="Times New Roman"/>
          <w:lang w:val="el-GR"/>
        </w:rPr>
        <w:t xml:space="preserve"> θετικούς</w:t>
      </w:r>
      <w:r w:rsidRPr="00F54B01">
        <w:rPr>
          <w:rFonts w:ascii="Times New Roman" w:hAnsi="Times New Roman" w:cs="Times New Roman"/>
          <w:spacing w:val="-14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και</w:t>
      </w:r>
      <w:r w:rsidR="00F54B01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</w:rPr>
        <w:t>HBeAg</w:t>
      </w:r>
      <w:r w:rsidRPr="00F54B01">
        <w:rPr>
          <w:rFonts w:ascii="Times New Roman" w:hAnsi="Times New Roman" w:cs="Times New Roman"/>
          <w:lang w:val="el-GR"/>
        </w:rPr>
        <w:t xml:space="preserve"> αρνητικούς ασθενείς (</w:t>
      </w:r>
      <w:r w:rsidRPr="00F54B01">
        <w:rPr>
          <w:rFonts w:ascii="Times New Roman" w:hAnsi="Times New Roman" w:cs="Times New Roman"/>
        </w:rPr>
        <w:t>n</w:t>
      </w:r>
      <w:r w:rsidRPr="00F54B01">
        <w:rPr>
          <w:rFonts w:ascii="Times New Roman" w:hAnsi="Times New Roman" w:cs="Times New Roman"/>
          <w:lang w:val="el-GR"/>
        </w:rPr>
        <w:t xml:space="preserve"> = 280) με αντιρροπούμενη ηπατική νόσο,</w:t>
      </w:r>
      <w:r w:rsidRPr="00F54B01">
        <w:rPr>
          <w:rFonts w:ascii="Times New Roman" w:hAnsi="Times New Roman" w:cs="Times New Roman"/>
          <w:spacing w:val="-15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ιαιμία</w:t>
      </w:r>
      <w:r w:rsidR="00F54B01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(</w:t>
      </w:r>
      <w:r w:rsidRPr="00F54B01">
        <w:rPr>
          <w:rFonts w:ascii="Times New Roman" w:hAnsi="Times New Roman" w:cs="Times New Roman"/>
        </w:rPr>
        <w:t>HBV</w:t>
      </w:r>
      <w:r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</w:rPr>
        <w:t>DNA</w:t>
      </w:r>
      <w:r w:rsidRPr="00F54B01">
        <w:rPr>
          <w:rFonts w:ascii="Times New Roman" w:hAnsi="Times New Roman" w:cs="Times New Roman"/>
          <w:lang w:val="el-GR"/>
        </w:rPr>
        <w:t xml:space="preserve"> ≥1.000 </w:t>
      </w:r>
      <w:r w:rsidRPr="00F54B01">
        <w:rPr>
          <w:rFonts w:ascii="Times New Roman" w:hAnsi="Times New Roman" w:cs="Times New Roman"/>
        </w:rPr>
        <w:t>IU</w:t>
      </w:r>
      <w:r w:rsidRPr="00F54B01">
        <w:rPr>
          <w:rFonts w:ascii="Times New Roman" w:hAnsi="Times New Roman" w:cs="Times New Roman"/>
          <w:lang w:val="el-GR"/>
        </w:rPr>
        <w:t>/</w:t>
      </w:r>
      <w:r w:rsidRPr="00F54B01">
        <w:rPr>
          <w:rFonts w:ascii="Times New Roman" w:hAnsi="Times New Roman" w:cs="Times New Roman"/>
        </w:rPr>
        <w:t>ml</w:t>
      </w:r>
      <w:r w:rsidRPr="00F54B01">
        <w:rPr>
          <w:rFonts w:ascii="Times New Roman" w:hAnsi="Times New Roman" w:cs="Times New Roman"/>
          <w:lang w:val="el-GR"/>
        </w:rPr>
        <w:t xml:space="preserve">) και γονοτυπικές ενδείξεις αντίστασης </w:t>
      </w:r>
      <w:r w:rsidR="00085C2F" w:rsidRPr="00F54B01">
        <w:rPr>
          <w:rFonts w:ascii="Times New Roman" w:hAnsi="Times New Roman" w:cs="Times New Roman"/>
          <w:lang w:val="el-GR"/>
        </w:rPr>
        <w:t>στ</w:t>
      </w:r>
      <w:r w:rsidR="00085C2F">
        <w:rPr>
          <w:rFonts w:ascii="Times New Roman" w:hAnsi="Times New Roman" w:cs="Times New Roman"/>
          <w:lang w:val="el-GR"/>
        </w:rPr>
        <w:t>ο</w:t>
      </w:r>
      <w:r w:rsidR="00085C2F" w:rsidRPr="00F54B01">
        <w:rPr>
          <w:rFonts w:ascii="Times New Roman" w:hAnsi="Times New Roman" w:cs="Times New Roman"/>
          <w:lang w:val="el-GR"/>
        </w:rPr>
        <w:t xml:space="preserve"> </w:t>
      </w:r>
      <w:r w:rsidR="00643ECB" w:rsidRPr="00FB72E2">
        <w:rPr>
          <w:rFonts w:ascii="Times New Roman" w:hAnsi="Times New Roman" w:cs="Times New Roman"/>
          <w:lang w:val="el-GR"/>
        </w:rPr>
        <w:t>λαμιβουδίνη</w:t>
      </w:r>
      <w:r w:rsidR="00085C2F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(</w:t>
      </w:r>
      <w:r w:rsidRPr="00F54B01">
        <w:rPr>
          <w:rFonts w:ascii="Times New Roman" w:hAnsi="Times New Roman" w:cs="Times New Roman"/>
        </w:rPr>
        <w:t>rtM</w:t>
      </w:r>
      <w:r w:rsidRPr="00F54B01">
        <w:rPr>
          <w:rFonts w:ascii="Times New Roman" w:hAnsi="Times New Roman" w:cs="Times New Roman"/>
          <w:lang w:val="el-GR"/>
        </w:rPr>
        <w:t>204</w:t>
      </w:r>
      <w:r w:rsidRPr="00F54B01">
        <w:rPr>
          <w:rFonts w:ascii="Times New Roman" w:hAnsi="Times New Roman" w:cs="Times New Roman"/>
        </w:rPr>
        <w:t>I</w:t>
      </w:r>
      <w:r w:rsidRPr="00F54B01">
        <w:rPr>
          <w:rFonts w:ascii="Times New Roman" w:hAnsi="Times New Roman" w:cs="Times New Roman"/>
          <w:lang w:val="el-GR"/>
        </w:rPr>
        <w:t>/</w:t>
      </w:r>
      <w:r w:rsidRPr="00F54B01">
        <w:rPr>
          <w:rFonts w:ascii="Times New Roman" w:hAnsi="Times New Roman" w:cs="Times New Roman"/>
        </w:rPr>
        <w:t>V</w:t>
      </w:r>
      <w:r w:rsidRPr="00F54B01">
        <w:rPr>
          <w:rFonts w:ascii="Times New Roman" w:hAnsi="Times New Roman" w:cs="Times New Roman"/>
          <w:spacing w:val="-19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+/- </w:t>
      </w:r>
      <w:r w:rsidRPr="00F54B01">
        <w:rPr>
          <w:rFonts w:ascii="Times New Roman" w:hAnsi="Times New Roman" w:cs="Times New Roman"/>
        </w:rPr>
        <w:t>rtL</w:t>
      </w:r>
      <w:r w:rsidRPr="00F54B01">
        <w:rPr>
          <w:rFonts w:ascii="Times New Roman" w:hAnsi="Times New Roman" w:cs="Times New Roman"/>
          <w:lang w:val="el-GR"/>
        </w:rPr>
        <w:t>180</w:t>
      </w:r>
      <w:r w:rsidRPr="00F54B01">
        <w:rPr>
          <w:rFonts w:ascii="Times New Roman" w:hAnsi="Times New Roman" w:cs="Times New Roman"/>
        </w:rPr>
        <w:t>M</w:t>
      </w:r>
      <w:r w:rsidRPr="00F54B01">
        <w:rPr>
          <w:rFonts w:ascii="Times New Roman" w:hAnsi="Times New Roman" w:cs="Times New Roman"/>
          <w:lang w:val="el-GR"/>
        </w:rPr>
        <w:t xml:space="preserve">). Μόνο πέντε ασθενείς είχαν μεταλλάξεις που σχετίζονται με αντοχή </w:t>
      </w:r>
      <w:r w:rsidR="00B807B9">
        <w:rPr>
          <w:rFonts w:ascii="Times New Roman" w:hAnsi="Times New Roman" w:cs="Times New Roman"/>
          <w:lang w:val="el-GR"/>
        </w:rPr>
        <w:t>στην αδεφοβίρη</w:t>
      </w:r>
      <w:r w:rsidRPr="00F54B01">
        <w:rPr>
          <w:rFonts w:ascii="Times New Roman" w:hAnsi="Times New Roman" w:cs="Times New Roman"/>
          <w:lang w:val="el-GR"/>
        </w:rPr>
        <w:t xml:space="preserve"> κατά</w:t>
      </w:r>
      <w:r w:rsidRPr="00F54B01">
        <w:rPr>
          <w:rFonts w:ascii="Times New Roman" w:hAnsi="Times New Roman" w:cs="Times New Roman"/>
          <w:spacing w:val="-19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την έναρξη. Εκατόν σαράντα ένα και 139 ενήλικα άτομα τυχαιοποιήθηκαν σε ένα σκέλος</w:t>
      </w:r>
      <w:r w:rsidRPr="00F54B01">
        <w:rPr>
          <w:rFonts w:ascii="Times New Roman" w:hAnsi="Times New Roman" w:cs="Times New Roman"/>
          <w:spacing w:val="-17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θεραπείας </w:t>
      </w:r>
      <w:r w:rsidR="00085C2F" w:rsidRPr="00085C2F">
        <w:rPr>
          <w:rFonts w:ascii="Times New Roman" w:hAnsi="Times New Roman" w:cs="Times New Roman"/>
          <w:lang w:val="el-GR"/>
        </w:rPr>
        <w:t>τενοφοβίρη</w:t>
      </w:r>
      <w:r w:rsidR="00085C2F">
        <w:rPr>
          <w:rFonts w:ascii="Times New Roman" w:hAnsi="Times New Roman" w:cs="Times New Roman"/>
          <w:lang w:val="el-GR"/>
        </w:rPr>
        <w:t>ς</w:t>
      </w:r>
      <w:r w:rsidR="00085C2F" w:rsidRPr="00085C2F">
        <w:rPr>
          <w:rFonts w:ascii="Times New Roman" w:hAnsi="Times New Roman" w:cs="Times New Roman"/>
          <w:lang w:val="el-GR"/>
        </w:rPr>
        <w:t xml:space="preserve"> δισοπρόξιλη</w:t>
      </w:r>
      <w:r w:rsidR="00085C2F">
        <w:rPr>
          <w:rFonts w:ascii="Times New Roman" w:hAnsi="Times New Roman" w:cs="Times New Roman"/>
          <w:lang w:val="el-GR"/>
        </w:rPr>
        <w:t>ς</w:t>
      </w:r>
      <w:r w:rsidR="00085C2F" w:rsidRPr="00085C2F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και </w:t>
      </w:r>
      <w:r w:rsidR="00203833" w:rsidRPr="00203833">
        <w:rPr>
          <w:rFonts w:ascii="Times New Roman" w:hAnsi="Times New Roman" w:cs="Times New Roman"/>
          <w:lang w:val="el-GR"/>
        </w:rPr>
        <w:t>εμτρισιταβίνη</w:t>
      </w:r>
      <w:r w:rsidR="00967063">
        <w:rPr>
          <w:rFonts w:ascii="Times New Roman" w:hAnsi="Times New Roman" w:cs="Times New Roman"/>
          <w:lang w:val="el-GR"/>
        </w:rPr>
        <w:t>ς</w:t>
      </w:r>
      <w:r w:rsidRPr="00F54B01">
        <w:rPr>
          <w:rFonts w:ascii="Times New Roman" w:hAnsi="Times New Roman" w:cs="Times New Roman"/>
          <w:lang w:val="el-GR"/>
        </w:rPr>
        <w:t xml:space="preserve"> συν </w:t>
      </w:r>
      <w:r w:rsidR="00085C2F" w:rsidRPr="00085C2F">
        <w:rPr>
          <w:rFonts w:ascii="Times New Roman" w:hAnsi="Times New Roman" w:cs="Times New Roman"/>
          <w:lang w:val="el-GR"/>
        </w:rPr>
        <w:t>τενοφοβίρη</w:t>
      </w:r>
      <w:r w:rsidR="00967063">
        <w:rPr>
          <w:rFonts w:ascii="Times New Roman" w:hAnsi="Times New Roman" w:cs="Times New Roman"/>
          <w:lang w:val="el-GR"/>
        </w:rPr>
        <w:t>ς</w:t>
      </w:r>
      <w:r w:rsidR="00085C2F" w:rsidRPr="00085C2F">
        <w:rPr>
          <w:rFonts w:ascii="Times New Roman" w:hAnsi="Times New Roman" w:cs="Times New Roman"/>
          <w:lang w:val="el-GR"/>
        </w:rPr>
        <w:t xml:space="preserve"> δισοπρόξιλη</w:t>
      </w:r>
      <w:r w:rsidR="00967063">
        <w:rPr>
          <w:rFonts w:ascii="Times New Roman" w:hAnsi="Times New Roman" w:cs="Times New Roman"/>
          <w:lang w:val="el-GR"/>
        </w:rPr>
        <w:t>ς</w:t>
      </w:r>
      <w:r w:rsidRPr="00F54B01">
        <w:rPr>
          <w:rFonts w:ascii="Times New Roman" w:hAnsi="Times New Roman" w:cs="Times New Roman"/>
          <w:lang w:val="el-GR"/>
        </w:rPr>
        <w:t>, αντίστοιχα.</w:t>
      </w:r>
      <w:r w:rsidRPr="00F54B01">
        <w:rPr>
          <w:rFonts w:ascii="Times New Roman" w:hAnsi="Times New Roman" w:cs="Times New Roman"/>
          <w:spacing w:val="-22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Τα δημογραφικά δεδομένα κατά την έναρξη ήταν παρόμοια μεταξύ των δύο σκελών θεραπείας: Κατά</w:t>
      </w:r>
      <w:r w:rsidRPr="00F54B01">
        <w:rPr>
          <w:rFonts w:ascii="Times New Roman" w:hAnsi="Times New Roman" w:cs="Times New Roman"/>
          <w:spacing w:val="-19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 xml:space="preserve">την έναρξη, </w:t>
      </w:r>
      <w:r w:rsidR="00585960">
        <w:rPr>
          <w:rFonts w:ascii="Times New Roman" w:hAnsi="Times New Roman" w:cs="Times New Roman"/>
          <w:lang w:val="el-GR"/>
        </w:rPr>
        <w:t xml:space="preserve">το </w:t>
      </w:r>
      <w:r w:rsidRPr="00F54B01">
        <w:rPr>
          <w:rFonts w:ascii="Times New Roman" w:hAnsi="Times New Roman" w:cs="Times New Roman"/>
          <w:lang w:val="el-GR"/>
        </w:rPr>
        <w:t xml:space="preserve">52,5% των ατόμων ήταν </w:t>
      </w:r>
      <w:r w:rsidRPr="00F54B01">
        <w:rPr>
          <w:rFonts w:ascii="Times New Roman" w:hAnsi="Times New Roman" w:cs="Times New Roman"/>
        </w:rPr>
        <w:t>HBeAg</w:t>
      </w:r>
      <w:r w:rsidRPr="00F54B01">
        <w:rPr>
          <w:rFonts w:ascii="Times New Roman" w:hAnsi="Times New Roman" w:cs="Times New Roman"/>
          <w:lang w:val="el-GR"/>
        </w:rPr>
        <w:t xml:space="preserve"> αρνητικά, </w:t>
      </w:r>
      <w:r w:rsidR="00585960">
        <w:rPr>
          <w:rFonts w:ascii="Times New Roman" w:hAnsi="Times New Roman" w:cs="Times New Roman"/>
          <w:lang w:val="el-GR"/>
        </w:rPr>
        <w:t xml:space="preserve">το </w:t>
      </w:r>
      <w:r w:rsidRPr="00F54B01">
        <w:rPr>
          <w:rFonts w:ascii="Times New Roman" w:hAnsi="Times New Roman" w:cs="Times New Roman"/>
          <w:lang w:val="el-GR"/>
        </w:rPr>
        <w:t xml:space="preserve">47,5% ήταν </w:t>
      </w:r>
      <w:r w:rsidRPr="00F54B01">
        <w:rPr>
          <w:rFonts w:ascii="Times New Roman" w:hAnsi="Times New Roman" w:cs="Times New Roman"/>
        </w:rPr>
        <w:t>HBeAg</w:t>
      </w:r>
      <w:r w:rsidRPr="00F54B01">
        <w:rPr>
          <w:rFonts w:ascii="Times New Roman" w:hAnsi="Times New Roman" w:cs="Times New Roman"/>
          <w:lang w:val="el-GR"/>
        </w:rPr>
        <w:t xml:space="preserve"> θετικά, το μέσο</w:t>
      </w:r>
      <w:r w:rsidRPr="00F54B01">
        <w:rPr>
          <w:rFonts w:ascii="Times New Roman" w:hAnsi="Times New Roman" w:cs="Times New Roman"/>
          <w:spacing w:val="-19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επίπεδο</w:t>
      </w:r>
      <w:r w:rsidR="00F54B01"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</w:rPr>
        <w:t>HBV</w:t>
      </w:r>
      <w:r w:rsidRPr="00F54B01">
        <w:rPr>
          <w:rFonts w:ascii="Times New Roman" w:hAnsi="Times New Roman" w:cs="Times New Roman"/>
          <w:lang w:val="el-GR"/>
        </w:rPr>
        <w:t xml:space="preserve"> </w:t>
      </w:r>
      <w:r w:rsidRPr="00F54B01">
        <w:rPr>
          <w:rFonts w:ascii="Times New Roman" w:hAnsi="Times New Roman" w:cs="Times New Roman"/>
        </w:rPr>
        <w:t>DNA</w:t>
      </w:r>
      <w:r w:rsidRPr="00F54B01">
        <w:rPr>
          <w:rFonts w:ascii="Times New Roman" w:hAnsi="Times New Roman" w:cs="Times New Roman"/>
          <w:lang w:val="el-GR"/>
        </w:rPr>
        <w:t xml:space="preserve"> ήταν 6,5 </w:t>
      </w:r>
      <w:r w:rsidRPr="00F54B01">
        <w:rPr>
          <w:rFonts w:ascii="Times New Roman" w:hAnsi="Times New Roman" w:cs="Times New Roman"/>
        </w:rPr>
        <w:t>log</w:t>
      </w:r>
      <w:r w:rsidRPr="00F54B01">
        <w:rPr>
          <w:rFonts w:ascii="Times New Roman" w:hAnsi="Times New Roman" w:cs="Times New Roman"/>
          <w:position w:val="-2"/>
          <w:sz w:val="14"/>
          <w:lang w:val="el-GR"/>
        </w:rPr>
        <w:t xml:space="preserve">10  </w:t>
      </w:r>
      <w:r w:rsidRPr="00F54B01">
        <w:rPr>
          <w:rFonts w:ascii="Times New Roman" w:hAnsi="Times New Roman" w:cs="Times New Roman"/>
          <w:lang w:val="el-GR"/>
        </w:rPr>
        <w:t>αντίγραφα/</w:t>
      </w:r>
      <w:r w:rsidRPr="00F54B01">
        <w:rPr>
          <w:rFonts w:ascii="Times New Roman" w:hAnsi="Times New Roman" w:cs="Times New Roman"/>
        </w:rPr>
        <w:t>ml</w:t>
      </w:r>
      <w:r w:rsidRPr="00F54B01">
        <w:rPr>
          <w:rFonts w:ascii="Times New Roman" w:hAnsi="Times New Roman" w:cs="Times New Roman"/>
          <w:lang w:val="el-GR"/>
        </w:rPr>
        <w:t xml:space="preserve">, και η μέση </w:t>
      </w:r>
      <w:r w:rsidRPr="00F54B01">
        <w:rPr>
          <w:rFonts w:ascii="Times New Roman" w:hAnsi="Times New Roman" w:cs="Times New Roman"/>
        </w:rPr>
        <w:t>ALT</w:t>
      </w:r>
      <w:r w:rsidRPr="00F54B01">
        <w:rPr>
          <w:rFonts w:ascii="Times New Roman" w:hAnsi="Times New Roman" w:cs="Times New Roman"/>
          <w:lang w:val="el-GR"/>
        </w:rPr>
        <w:t xml:space="preserve"> ήταν 79 </w:t>
      </w:r>
      <w:r w:rsidRPr="00F54B01">
        <w:rPr>
          <w:rFonts w:ascii="Times New Roman" w:hAnsi="Times New Roman" w:cs="Times New Roman"/>
        </w:rPr>
        <w:t>U</w:t>
      </w:r>
      <w:r w:rsidRPr="00F54B01">
        <w:rPr>
          <w:rFonts w:ascii="Times New Roman" w:hAnsi="Times New Roman" w:cs="Times New Roman"/>
          <w:lang w:val="el-GR"/>
        </w:rPr>
        <w:t>/</w:t>
      </w:r>
      <w:r w:rsidRPr="00F54B01">
        <w:rPr>
          <w:rFonts w:ascii="Times New Roman" w:hAnsi="Times New Roman" w:cs="Times New Roman"/>
        </w:rPr>
        <w:t>l</w:t>
      </w:r>
      <w:r w:rsidRPr="00F54B01">
        <w:rPr>
          <w:rFonts w:ascii="Times New Roman" w:hAnsi="Times New Roman" w:cs="Times New Roman"/>
          <w:lang w:val="el-GR"/>
        </w:rPr>
        <w:t>,</w:t>
      </w:r>
      <w:r w:rsidRPr="00F54B01">
        <w:rPr>
          <w:rFonts w:ascii="Times New Roman" w:hAnsi="Times New Roman" w:cs="Times New Roman"/>
          <w:spacing w:val="-34"/>
          <w:lang w:val="el-GR"/>
        </w:rPr>
        <w:t xml:space="preserve"> </w:t>
      </w:r>
      <w:r w:rsidRPr="00F54B01">
        <w:rPr>
          <w:rFonts w:ascii="Times New Roman" w:hAnsi="Times New Roman" w:cs="Times New Roman"/>
          <w:lang w:val="el-GR"/>
        </w:rPr>
        <w:t>αντίστοιχα.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Μετά από </w:t>
      </w:r>
      <w:r w:rsidRPr="003D4CFC">
        <w:rPr>
          <w:rFonts w:cs="Times New Roman"/>
          <w:lang w:val="el-GR"/>
        </w:rPr>
        <w:t xml:space="preserve">240 </w:t>
      </w:r>
      <w:r w:rsidRPr="00F54B01">
        <w:rPr>
          <w:rFonts w:cs="Times New Roman"/>
          <w:lang w:val="el-GR"/>
        </w:rPr>
        <w:t xml:space="preserve">εβδομάδες θεραπείας, </w:t>
      </w:r>
      <w:r w:rsidRPr="003D4CFC">
        <w:rPr>
          <w:rFonts w:cs="Times New Roman"/>
          <w:lang w:val="el-GR"/>
        </w:rPr>
        <w:t xml:space="preserve">117 </w:t>
      </w:r>
      <w:r w:rsidRPr="00F54B01">
        <w:rPr>
          <w:rFonts w:cs="Times New Roman"/>
          <w:lang w:val="el-GR"/>
        </w:rPr>
        <w:t>από 141 άτομα (</w:t>
      </w:r>
      <w:r w:rsidRPr="003D4CFC">
        <w:rPr>
          <w:rFonts w:cs="Times New Roman"/>
          <w:lang w:val="el-GR"/>
        </w:rPr>
        <w:t>83</w:t>
      </w:r>
      <w:r w:rsidRPr="00F54B01">
        <w:rPr>
          <w:rFonts w:cs="Times New Roman"/>
          <w:lang w:val="el-GR"/>
        </w:rPr>
        <w:t>%) που τυχαιοποιήθηκαν σε</w:t>
      </w:r>
      <w:r w:rsidRPr="00F54B01">
        <w:rPr>
          <w:rFonts w:cs="Times New Roman"/>
          <w:spacing w:val="-12"/>
          <w:lang w:val="el-GR"/>
        </w:rPr>
        <w:t xml:space="preserve"> </w:t>
      </w:r>
      <w:r w:rsidR="00085C2F" w:rsidRPr="00085C2F">
        <w:rPr>
          <w:rFonts w:cs="Times New Roman"/>
          <w:lang w:val="el-GR"/>
        </w:rPr>
        <w:t>τενοφοβίρη δισοπρόξιλη</w:t>
      </w:r>
      <w:r w:rsidR="00894E60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είχαν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 xml:space="preserve"> &lt;400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, και </w:t>
      </w:r>
      <w:r w:rsidRPr="003D4CFC">
        <w:rPr>
          <w:rFonts w:cs="Times New Roman"/>
          <w:lang w:val="el-GR"/>
        </w:rPr>
        <w:t xml:space="preserve">51 </w:t>
      </w:r>
      <w:r w:rsidRPr="00F54B01">
        <w:rPr>
          <w:rFonts w:cs="Times New Roman"/>
          <w:lang w:val="el-GR"/>
        </w:rPr>
        <w:t>από 79 άτομα (</w:t>
      </w:r>
      <w:r w:rsidRPr="003D4CFC">
        <w:rPr>
          <w:rFonts w:cs="Times New Roman"/>
          <w:lang w:val="el-GR"/>
        </w:rPr>
        <w:t>65</w:t>
      </w:r>
      <w:r w:rsidRPr="00F54B01">
        <w:rPr>
          <w:rFonts w:cs="Times New Roman"/>
          <w:lang w:val="el-GR"/>
        </w:rPr>
        <w:t>%)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είχαν ομαλοποίηση της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. Μετά από </w:t>
      </w:r>
      <w:r w:rsidRPr="003D4CFC">
        <w:rPr>
          <w:rFonts w:cs="Times New Roman"/>
          <w:lang w:val="el-GR"/>
        </w:rPr>
        <w:t xml:space="preserve">240 </w:t>
      </w:r>
      <w:r w:rsidRPr="00F54B01">
        <w:rPr>
          <w:rFonts w:cs="Times New Roman"/>
          <w:lang w:val="el-GR"/>
        </w:rPr>
        <w:t xml:space="preserve">εβδομάδες θεραπείας με </w:t>
      </w:r>
      <w:r w:rsidR="00203833" w:rsidRPr="00203833">
        <w:rPr>
          <w:rFonts w:cs="Times New Roman"/>
          <w:lang w:val="el-GR"/>
        </w:rPr>
        <w:t>εμτρισιταβίνη</w:t>
      </w:r>
      <w:r w:rsidRPr="00F54B01">
        <w:rPr>
          <w:rFonts w:cs="Times New Roman"/>
          <w:lang w:val="el-GR"/>
        </w:rPr>
        <w:t xml:space="preserve"> συν </w:t>
      </w:r>
      <w:r w:rsidR="00085C2F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, </w:t>
      </w:r>
      <w:r w:rsidRPr="003D4CFC">
        <w:rPr>
          <w:rFonts w:cs="Times New Roman"/>
          <w:lang w:val="el-GR"/>
        </w:rPr>
        <w:t xml:space="preserve">115 </w:t>
      </w:r>
      <w:r w:rsidRPr="00F54B01">
        <w:rPr>
          <w:rFonts w:cs="Times New Roman"/>
          <w:lang w:val="el-GR"/>
        </w:rPr>
        <w:t xml:space="preserve">από 139 </w:t>
      </w:r>
      <w:r w:rsidRPr="00F54B01">
        <w:rPr>
          <w:rFonts w:cs="Times New Roman"/>
          <w:lang w:val="el-GR"/>
        </w:rPr>
        <w:lastRenderedPageBreak/>
        <w:t>άτομα (</w:t>
      </w:r>
      <w:r w:rsidRPr="003D4CFC">
        <w:rPr>
          <w:rFonts w:cs="Times New Roman"/>
          <w:lang w:val="el-GR"/>
        </w:rPr>
        <w:t>83</w:t>
      </w:r>
      <w:r w:rsidRPr="00F54B01">
        <w:rPr>
          <w:rFonts w:cs="Times New Roman"/>
          <w:lang w:val="el-GR"/>
        </w:rPr>
        <w:t xml:space="preserve">%) είχαν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="00967063">
        <w:rPr>
          <w:rFonts w:cs="Times New Roman"/>
          <w:lang w:val="el-GR"/>
        </w:rPr>
        <w:t xml:space="preserve"> &lt;</w:t>
      </w:r>
      <w:r w:rsidRPr="00F54B01">
        <w:rPr>
          <w:rFonts w:cs="Times New Roman"/>
          <w:lang w:val="el-GR"/>
        </w:rPr>
        <w:t>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, και </w:t>
      </w:r>
      <w:r w:rsidRPr="003D4CFC">
        <w:rPr>
          <w:rFonts w:cs="Times New Roman"/>
          <w:lang w:val="el-GR"/>
        </w:rPr>
        <w:t xml:space="preserve">59 </w:t>
      </w:r>
      <w:r w:rsidRPr="00F54B01">
        <w:rPr>
          <w:rFonts w:cs="Times New Roman"/>
          <w:lang w:val="el-GR"/>
        </w:rPr>
        <w:t>από 83</w:t>
      </w:r>
      <w:r w:rsidRPr="00F54B01">
        <w:rPr>
          <w:rFonts w:cs="Times New Roman"/>
          <w:spacing w:val="-10"/>
          <w:lang w:val="el-GR"/>
        </w:rPr>
        <w:t xml:space="preserve"> </w:t>
      </w:r>
      <w:r w:rsidRPr="00F54B01">
        <w:rPr>
          <w:rFonts w:cs="Times New Roman"/>
          <w:lang w:val="el-GR"/>
        </w:rPr>
        <w:t>άτομα (</w:t>
      </w:r>
      <w:r w:rsidRPr="003D4CFC">
        <w:rPr>
          <w:rFonts w:cs="Times New Roman"/>
          <w:lang w:val="el-GR"/>
        </w:rPr>
        <w:t>71</w:t>
      </w:r>
      <w:r w:rsidRPr="00F54B01">
        <w:rPr>
          <w:rFonts w:cs="Times New Roman"/>
          <w:lang w:val="el-GR"/>
        </w:rPr>
        <w:t xml:space="preserve">%) είχαν ομαλοποίηση της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. Μεταξύ των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θετικών ατόμων που τυχαιοποιήθηκαν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σε </w:t>
      </w:r>
      <w:r w:rsidR="001F2C2F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, </w:t>
      </w:r>
      <w:r w:rsidRPr="003D4CFC">
        <w:rPr>
          <w:rFonts w:cs="Times New Roman"/>
          <w:lang w:val="el-GR"/>
        </w:rPr>
        <w:t xml:space="preserve">16 </w:t>
      </w:r>
      <w:r w:rsidRPr="00F54B01">
        <w:rPr>
          <w:rFonts w:cs="Times New Roman"/>
          <w:lang w:val="el-GR"/>
        </w:rPr>
        <w:t>από 65 άτομα (</w:t>
      </w:r>
      <w:r w:rsidRPr="003D4CFC">
        <w:rPr>
          <w:rFonts w:cs="Times New Roman"/>
          <w:lang w:val="el-GR"/>
        </w:rPr>
        <w:t>25</w:t>
      </w:r>
      <w:r w:rsidRPr="00F54B01">
        <w:rPr>
          <w:rFonts w:cs="Times New Roman"/>
          <w:lang w:val="el-GR"/>
        </w:rPr>
        <w:t xml:space="preserve">%) εμφάνισαν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αρνητικοποίηση, και </w:t>
      </w:r>
      <w:r w:rsidRPr="003D4CFC">
        <w:rPr>
          <w:rFonts w:cs="Times New Roman"/>
          <w:lang w:val="el-GR"/>
        </w:rPr>
        <w:t>8</w:t>
      </w:r>
      <w:r w:rsidRPr="003D4CFC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από 65 άτομα (</w:t>
      </w:r>
      <w:r w:rsidRPr="003D4CFC">
        <w:rPr>
          <w:rFonts w:cs="Times New Roman"/>
          <w:lang w:val="el-GR"/>
        </w:rPr>
        <w:t>12</w:t>
      </w:r>
      <w:r w:rsidRPr="00F54B01">
        <w:rPr>
          <w:rFonts w:cs="Times New Roman"/>
          <w:lang w:val="el-GR"/>
        </w:rPr>
        <w:t>%) εμφάνισαν αντι-</w:t>
      </w:r>
      <w:r w:rsidRPr="00F54B01">
        <w:rPr>
          <w:rFonts w:cs="Times New Roman"/>
        </w:rPr>
        <w:t>HBe</w:t>
      </w:r>
      <w:r w:rsidRPr="00F54B01">
        <w:rPr>
          <w:rFonts w:cs="Times New Roman"/>
          <w:lang w:val="el-GR"/>
        </w:rPr>
        <w:t xml:space="preserve"> ορομετατροπή μέχρι την </w:t>
      </w:r>
      <w:r w:rsidRPr="003D4CFC">
        <w:rPr>
          <w:rFonts w:cs="Times New Roman"/>
          <w:lang w:val="el-GR"/>
        </w:rPr>
        <w:t>240</w:t>
      </w:r>
      <w:r w:rsidRPr="003D4CFC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 xml:space="preserve">εβδομάδα. Στα </w:t>
      </w:r>
      <w:r w:rsidRPr="00F54B01">
        <w:rPr>
          <w:rFonts w:cs="Times New Roman"/>
        </w:rPr>
        <w:t>HBeAg</w:t>
      </w:r>
      <w:r w:rsidRPr="00F54B01">
        <w:rPr>
          <w:rFonts w:cs="Times New Roman"/>
          <w:spacing w:val="-3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θετικά άτομα που τυχαιοποιήθηκαν σε </w:t>
      </w:r>
      <w:r w:rsidR="00203833" w:rsidRPr="00203833">
        <w:rPr>
          <w:rFonts w:cs="Times New Roman"/>
          <w:lang w:val="el-GR"/>
        </w:rPr>
        <w:t>εμτρισιταβίνη</w:t>
      </w:r>
      <w:r w:rsidRPr="00F54B01">
        <w:rPr>
          <w:rFonts w:cs="Times New Roman"/>
          <w:lang w:val="el-GR"/>
        </w:rPr>
        <w:t xml:space="preserve"> συν </w:t>
      </w:r>
      <w:r w:rsidR="001F2C2F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, </w:t>
      </w:r>
      <w:r w:rsidRPr="003D4CFC">
        <w:rPr>
          <w:rFonts w:cs="Times New Roman"/>
          <w:lang w:val="el-GR"/>
        </w:rPr>
        <w:t xml:space="preserve">13 </w:t>
      </w:r>
      <w:r w:rsidRPr="00F54B01">
        <w:rPr>
          <w:rFonts w:cs="Times New Roman"/>
          <w:lang w:val="el-GR"/>
        </w:rPr>
        <w:t>από 68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>άτομα (</w:t>
      </w:r>
      <w:r w:rsidRPr="003D4CFC">
        <w:rPr>
          <w:rFonts w:cs="Times New Roman"/>
          <w:lang w:val="el-GR"/>
        </w:rPr>
        <w:t>19</w:t>
      </w:r>
      <w:r w:rsidRPr="00F54B01">
        <w:rPr>
          <w:rFonts w:cs="Times New Roman"/>
          <w:lang w:val="el-GR"/>
        </w:rPr>
        <w:t xml:space="preserve">%) εμφάνισαν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αρνητικοποίηση, και 7 από 68 άτομα (10%) εμφάνισαν</w:t>
      </w:r>
      <w:r w:rsidRPr="00F54B01">
        <w:rPr>
          <w:rFonts w:cs="Times New Roman"/>
          <w:spacing w:val="-10"/>
          <w:lang w:val="el-GR"/>
        </w:rPr>
        <w:t xml:space="preserve"> </w:t>
      </w:r>
      <w:r w:rsidRPr="00F54B01">
        <w:rPr>
          <w:rFonts w:cs="Times New Roman"/>
          <w:lang w:val="el-GR"/>
        </w:rPr>
        <w:t>αντι-</w:t>
      </w:r>
      <w:r w:rsidRPr="00F54B01">
        <w:rPr>
          <w:rFonts w:cs="Times New Roman"/>
        </w:rPr>
        <w:t>HBe</w:t>
      </w:r>
      <w:r w:rsidRPr="00F54B01">
        <w:rPr>
          <w:rFonts w:cs="Times New Roman"/>
          <w:lang w:val="el-GR"/>
        </w:rPr>
        <w:t xml:space="preserve"> ορομετατροπή μέχρι την </w:t>
      </w:r>
      <w:r w:rsidRPr="003D4CFC">
        <w:rPr>
          <w:rFonts w:cs="Times New Roman"/>
          <w:lang w:val="el-GR"/>
        </w:rPr>
        <w:t>240</w:t>
      </w:r>
      <w:r w:rsidRPr="003D4CFC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 xml:space="preserve">εβδομάδα. </w:t>
      </w:r>
      <w:r w:rsidRPr="003D4CFC">
        <w:rPr>
          <w:rFonts w:cs="Times New Roman"/>
          <w:lang w:val="el-GR"/>
        </w:rPr>
        <w:t>Δύο άτομα</w:t>
      </w:r>
      <w:r w:rsidRPr="00F54B01">
        <w:rPr>
          <w:rFonts w:cs="Times New Roman"/>
          <w:lang w:val="el-GR"/>
        </w:rPr>
        <w:t xml:space="preserve"> που τυχαιοποιήθηκαν σε </w:t>
      </w:r>
      <w:r w:rsidR="00C609C6" w:rsidRPr="00085C2F">
        <w:rPr>
          <w:rFonts w:cs="Times New Roman"/>
          <w:lang w:val="el-GR"/>
        </w:rPr>
        <w:t>τενοφοβίρη δισοπρόξιλη</w:t>
      </w:r>
      <w:r w:rsidR="00C609C6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εμφάνισαν </w:t>
      </w:r>
      <w:r w:rsidRPr="00F54B01">
        <w:rPr>
          <w:rFonts w:cs="Times New Roman"/>
        </w:rPr>
        <w:t>HBsAg</w:t>
      </w:r>
      <w:r w:rsidRPr="00F54B01">
        <w:rPr>
          <w:rFonts w:cs="Times New Roman"/>
          <w:lang w:val="el-GR"/>
        </w:rPr>
        <w:t xml:space="preserve"> αρνητικοποίηση </w:t>
      </w:r>
      <w:r w:rsidRPr="003D4CFC">
        <w:rPr>
          <w:rFonts w:cs="Times New Roman"/>
          <w:lang w:val="el-GR"/>
        </w:rPr>
        <w:t>μέχρι την 240</w:t>
      </w:r>
      <w:r w:rsidRPr="003D4CFC">
        <w:rPr>
          <w:rFonts w:cs="Times New Roman"/>
          <w:position w:val="10"/>
          <w:sz w:val="14"/>
          <w:lang w:val="el-GR"/>
        </w:rPr>
        <w:t xml:space="preserve">η </w:t>
      </w:r>
      <w:r w:rsidRPr="003D4CFC">
        <w:rPr>
          <w:rFonts w:cs="Times New Roman"/>
          <w:lang w:val="el-GR"/>
        </w:rPr>
        <w:t>εβδομάδα, αλλά όχι</w:t>
      </w:r>
      <w:r w:rsidRPr="00F54B01">
        <w:rPr>
          <w:rFonts w:cs="Times New Roman"/>
          <w:lang w:val="el-GR"/>
        </w:rPr>
        <w:t xml:space="preserve"> ορομετατροπή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σε αντι-</w:t>
      </w:r>
      <w:r w:rsidRPr="00F54B01">
        <w:rPr>
          <w:rFonts w:cs="Times New Roman"/>
        </w:rPr>
        <w:t>HBs</w:t>
      </w:r>
      <w:r w:rsidRPr="00F54B01">
        <w:rPr>
          <w:rFonts w:cs="Times New Roman"/>
          <w:lang w:val="el-GR"/>
        </w:rPr>
        <w:t xml:space="preserve">. Πέντε </w:t>
      </w:r>
      <w:r w:rsidRPr="003D4CFC">
        <w:rPr>
          <w:rFonts w:cs="Times New Roman"/>
          <w:lang w:val="el-GR"/>
        </w:rPr>
        <w:t xml:space="preserve">άτομα που τυχαιοποιήθηκαν σε </w:t>
      </w:r>
      <w:r w:rsidR="00203833" w:rsidRPr="00203833">
        <w:rPr>
          <w:rFonts w:cs="Times New Roman"/>
          <w:lang w:val="el-GR"/>
        </w:rPr>
        <w:t>εμτρισιταβίνη</w:t>
      </w:r>
      <w:r w:rsidRPr="003D4CFC">
        <w:rPr>
          <w:rFonts w:cs="Times New Roman"/>
          <w:lang w:val="el-GR"/>
        </w:rPr>
        <w:t xml:space="preserve"> συν </w:t>
      </w:r>
      <w:r w:rsidR="00C609C6" w:rsidRPr="003D4CFC">
        <w:rPr>
          <w:rFonts w:cs="Times New Roman"/>
          <w:lang w:val="el-GR"/>
        </w:rPr>
        <w:t>τενοφοβίρη δισοπρόξιλη</w:t>
      </w:r>
      <w:r w:rsidR="00967063">
        <w:rPr>
          <w:rFonts w:cs="Times New Roman"/>
          <w:lang w:val="el-GR"/>
        </w:rPr>
        <w:t xml:space="preserve"> </w:t>
      </w:r>
      <w:r w:rsidRPr="003D4CFC">
        <w:rPr>
          <w:rFonts w:cs="Times New Roman"/>
          <w:lang w:val="el-GR"/>
        </w:rPr>
        <w:t xml:space="preserve">εμφάνισαν </w:t>
      </w:r>
      <w:r w:rsidRPr="003D4CFC">
        <w:rPr>
          <w:rFonts w:cs="Times New Roman"/>
        </w:rPr>
        <w:t>HBsAg</w:t>
      </w:r>
      <w:r w:rsidRPr="003D4CFC">
        <w:rPr>
          <w:rFonts w:cs="Times New Roman"/>
          <w:lang w:val="el-GR"/>
        </w:rPr>
        <w:t xml:space="preserve"> αρνητικοποίηση, με 2 από αυτά τα 5 άτομα να εμφανίζουν ορομετατροπή</w:t>
      </w:r>
      <w:r w:rsidRPr="003D4CFC">
        <w:rPr>
          <w:rFonts w:cs="Times New Roman"/>
          <w:spacing w:val="-17"/>
          <w:lang w:val="el-GR"/>
        </w:rPr>
        <w:t xml:space="preserve"> </w:t>
      </w:r>
      <w:r w:rsidRPr="003D4CFC">
        <w:rPr>
          <w:rFonts w:cs="Times New Roman"/>
          <w:lang w:val="el-GR"/>
        </w:rPr>
        <w:t>σε</w:t>
      </w:r>
      <w:r w:rsidR="00F54B01" w:rsidRPr="003D4CFC">
        <w:rPr>
          <w:rFonts w:cs="Times New Roman"/>
          <w:lang w:val="el-GR"/>
        </w:rPr>
        <w:t xml:space="preserve"> </w:t>
      </w:r>
      <w:r w:rsidRPr="003D4CFC">
        <w:rPr>
          <w:rFonts w:cs="Times New Roman"/>
          <w:lang w:val="el-GR"/>
        </w:rPr>
        <w:t>αντι-</w:t>
      </w:r>
      <w:r w:rsidRPr="003D4CFC">
        <w:rPr>
          <w:rFonts w:cs="Times New Roman"/>
        </w:rPr>
        <w:t>HBs</w:t>
      </w:r>
      <w:r w:rsidRPr="003D4CFC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rPr>
          <w:rFonts w:ascii="Times New Roman" w:eastAsia="Times New Roman" w:hAnsi="Times New Roman" w:cs="Times New Roman"/>
          <w:lang w:val="el-GR"/>
        </w:rPr>
      </w:pPr>
      <w:r w:rsidRPr="00F54B01">
        <w:rPr>
          <w:rFonts w:ascii="Times New Roman" w:hAnsi="Times New Roman" w:cs="Times New Roman"/>
          <w:i/>
          <w:lang w:val="el-GR"/>
        </w:rPr>
        <w:t>Κλινική</w:t>
      </w:r>
      <w:r w:rsidRPr="00F54B01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αντοχή</w:t>
      </w:r>
    </w:p>
    <w:p w:rsidR="009D104A" w:rsidRPr="00F54B01" w:rsidRDefault="00967063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406 </w:t>
      </w:r>
      <w:r w:rsidR="00302B89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</w:rPr>
        <w:t>HBeAg</w:t>
      </w:r>
      <w:r w:rsidR="00302B89" w:rsidRPr="00F54B01">
        <w:rPr>
          <w:rFonts w:cs="Times New Roman"/>
          <w:lang w:val="el-GR"/>
        </w:rPr>
        <w:t xml:space="preserve"> αρνητικοί (</w:t>
      </w:r>
      <w:r w:rsidR="00302B89" w:rsidRPr="00F54B01">
        <w:rPr>
          <w:rFonts w:cs="Times New Roman"/>
        </w:rPr>
        <w:t>GS</w:t>
      </w:r>
      <w:r w:rsidR="00302B89" w:rsidRPr="00F54B01">
        <w:rPr>
          <w:rFonts w:cs="Times New Roman"/>
          <w:lang w:val="el-GR"/>
        </w:rPr>
        <w:t>-</w:t>
      </w:r>
      <w:r w:rsidR="00302B89" w:rsidRPr="00F54B01">
        <w:rPr>
          <w:rFonts w:cs="Times New Roman"/>
        </w:rPr>
        <w:t>US</w:t>
      </w:r>
      <w:r w:rsidR="00302B89" w:rsidRPr="00F54B01">
        <w:rPr>
          <w:rFonts w:cs="Times New Roman"/>
          <w:lang w:val="el-GR"/>
        </w:rPr>
        <w:t xml:space="preserve">-174-0102, 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250) και </w:t>
      </w:r>
      <w:r w:rsidR="00302B89" w:rsidRPr="00F54B01">
        <w:rPr>
          <w:rFonts w:cs="Times New Roman"/>
        </w:rPr>
        <w:t>HBeAg</w:t>
      </w:r>
      <w:r w:rsidR="00302B89" w:rsidRPr="00F54B01">
        <w:rPr>
          <w:rFonts w:cs="Times New Roman"/>
          <w:spacing w:val="-8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θετικοί</w:t>
      </w:r>
      <w:r w:rsidR="00F54B01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GS</w:t>
      </w:r>
      <w:r w:rsidR="00302B89" w:rsidRPr="00F54B01">
        <w:rPr>
          <w:rFonts w:cs="Times New Roman"/>
          <w:lang w:val="el-GR"/>
        </w:rPr>
        <w:t>-</w:t>
      </w:r>
      <w:r w:rsidR="00302B89" w:rsidRPr="00F54B01">
        <w:rPr>
          <w:rFonts w:cs="Times New Roman"/>
        </w:rPr>
        <w:t>US</w:t>
      </w:r>
      <w:r w:rsidR="00302B89" w:rsidRPr="00F54B01">
        <w:rPr>
          <w:rFonts w:cs="Times New Roman"/>
          <w:lang w:val="el-GR"/>
        </w:rPr>
        <w:t xml:space="preserve">-174-0103, 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176) ασθενείς αρχικά τυχαιοποιημένοι σε διπλή τυφλή θεραπεία με</w:t>
      </w:r>
      <w:r w:rsidR="00302B89" w:rsidRPr="00F54B01">
        <w:rPr>
          <w:rFonts w:cs="Times New Roman"/>
          <w:spacing w:val="-18"/>
          <w:lang w:val="el-GR"/>
        </w:rPr>
        <w:t xml:space="preserve"> </w:t>
      </w:r>
      <w:r w:rsidR="00042160" w:rsidRPr="00085C2F">
        <w:rPr>
          <w:rFonts w:cs="Times New Roman"/>
          <w:lang w:val="el-GR"/>
        </w:rPr>
        <w:t>τενοφοβίρη δισοπρόξιλη</w:t>
      </w:r>
      <w:r w:rsidR="00302B89" w:rsidRPr="00F54B01">
        <w:rPr>
          <w:rFonts w:cs="Times New Roman"/>
          <w:lang w:val="el-GR"/>
        </w:rPr>
        <w:t xml:space="preserve"> και οι οποίοι μετά άλλαξαν σε θεραπεία ανοικτής επισήμανσης με</w:t>
      </w:r>
      <w:r w:rsidR="00302B89" w:rsidRPr="00F54B01">
        <w:rPr>
          <w:rFonts w:cs="Times New Roman"/>
          <w:spacing w:val="-17"/>
          <w:lang w:val="el-GR"/>
        </w:rPr>
        <w:t xml:space="preserve"> </w:t>
      </w:r>
      <w:r w:rsidR="00042160" w:rsidRPr="00085C2F">
        <w:rPr>
          <w:rFonts w:cs="Times New Roman"/>
          <w:lang w:val="el-GR"/>
        </w:rPr>
        <w:t>τενοφοβίρη δισοπρόξιλη</w:t>
      </w:r>
      <w:r w:rsidR="000B5E63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αξιολογήθηκαν για γονοτυπικές μεταβολές στην </w:t>
      </w:r>
      <w:r w:rsidR="00302B89" w:rsidRPr="00F54B01">
        <w:rPr>
          <w:rFonts w:cs="Times New Roman"/>
          <w:spacing w:val="-2"/>
        </w:rPr>
        <w:t>HBV</w:t>
      </w:r>
      <w:r w:rsidR="00302B89" w:rsidRPr="00F54B01">
        <w:rPr>
          <w:rFonts w:cs="Times New Roman"/>
          <w:spacing w:val="-2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πολυμεράση κατά</w:t>
      </w:r>
      <w:r w:rsidR="00302B89" w:rsidRPr="00F54B01">
        <w:rPr>
          <w:rFonts w:cs="Times New Roman"/>
          <w:spacing w:val="-13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την έναρξη. Γονοτυπικές αξιολογήσεις που διενεργήθηκαν σε όλους τους ασθενείς</w:t>
      </w:r>
      <w:r w:rsidR="00302B89" w:rsidRPr="00F54B01">
        <w:rPr>
          <w:rFonts w:cs="Times New Roman"/>
          <w:spacing w:val="-25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με</w:t>
      </w:r>
      <w:r w:rsidR="00F54B01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</w:rPr>
        <w:t>HBV</w:t>
      </w:r>
      <w:r w:rsidR="00302B89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</w:rPr>
        <w:t>DNA</w:t>
      </w:r>
      <w:r>
        <w:rPr>
          <w:rFonts w:cs="Times New Roman"/>
          <w:lang w:val="el-GR"/>
        </w:rPr>
        <w:t xml:space="preserve"> &gt;</w:t>
      </w:r>
      <w:r w:rsidR="00302B89" w:rsidRPr="00F54B01">
        <w:rPr>
          <w:rFonts w:cs="Times New Roman"/>
          <w:lang w:val="el-GR"/>
        </w:rPr>
        <w:t>400 αντίγραφα/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 xml:space="preserve"> κατά την 48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39), την 96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24), την 144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6), την 192</w:t>
      </w:r>
      <w:r w:rsidR="00302B89" w:rsidRPr="00F54B01">
        <w:rPr>
          <w:rFonts w:cs="Times New Roman"/>
          <w:position w:val="10"/>
          <w:sz w:val="14"/>
          <w:lang w:val="el-GR"/>
        </w:rPr>
        <w:t>η</w:t>
      </w:r>
      <w:r w:rsidR="00302B89" w:rsidRPr="00F54B01">
        <w:rPr>
          <w:rFonts w:cs="Times New Roman"/>
          <w:w w:val="99"/>
          <w:position w:val="10"/>
          <w:sz w:val="14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5), την 240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4), την 288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6) και την 384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</w:t>
      </w:r>
      <w:r w:rsidR="00302B89" w:rsidRPr="00F54B01">
        <w:rPr>
          <w:rFonts w:cs="Times New Roman"/>
          <w:lang w:val="el-GR"/>
        </w:rPr>
        <w:t>εβδομάδα 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2) μονοθεραπείας με</w:t>
      </w:r>
      <w:r w:rsidR="00302B89" w:rsidRPr="00F54B01">
        <w:rPr>
          <w:rFonts w:cs="Times New Roman"/>
          <w:spacing w:val="-33"/>
          <w:lang w:val="el-GR"/>
        </w:rPr>
        <w:t xml:space="preserve"> </w:t>
      </w:r>
      <w:r w:rsidR="00042160" w:rsidRPr="00085C2F">
        <w:rPr>
          <w:rFonts w:cs="Times New Roman"/>
          <w:lang w:val="el-GR"/>
        </w:rPr>
        <w:t>τενοφοβίρη δισοπρόξιλη</w:t>
      </w:r>
      <w:r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έδειξαν ότι δεν αναπτύχθηκαν μεταλλάξεις σχετιζόμενες με αντοχή </w:t>
      </w:r>
      <w:r w:rsidR="00042160">
        <w:rPr>
          <w:rFonts w:cs="Times New Roman"/>
          <w:lang w:val="el-GR"/>
        </w:rPr>
        <w:t xml:space="preserve">στην </w:t>
      </w:r>
      <w:r w:rsidR="00042160" w:rsidRPr="00085C2F">
        <w:rPr>
          <w:rFonts w:cs="Times New Roman"/>
          <w:lang w:val="el-GR"/>
        </w:rPr>
        <w:t>τενοφοβίρη δισοπρόξιλη</w:t>
      </w:r>
      <w:r w:rsidR="00302B89"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967063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205</w:t>
      </w:r>
      <w:r w:rsidR="00302B89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</w:rPr>
        <w:t>HBeAg</w:t>
      </w:r>
      <w:r w:rsidR="00302B89" w:rsidRPr="00F54B01">
        <w:rPr>
          <w:rFonts w:cs="Times New Roman"/>
          <w:lang w:val="el-GR"/>
        </w:rPr>
        <w:t xml:space="preserve"> αρνητικοί (</w:t>
      </w:r>
      <w:r w:rsidR="00302B89" w:rsidRPr="00F54B01">
        <w:rPr>
          <w:rFonts w:cs="Times New Roman"/>
        </w:rPr>
        <w:t>GS</w:t>
      </w:r>
      <w:r w:rsidR="00302B89" w:rsidRPr="00F54B01">
        <w:rPr>
          <w:rFonts w:cs="Times New Roman"/>
          <w:lang w:val="el-GR"/>
        </w:rPr>
        <w:t>-</w:t>
      </w:r>
      <w:r w:rsidR="00302B89" w:rsidRPr="00F54B01">
        <w:rPr>
          <w:rFonts w:cs="Times New Roman"/>
        </w:rPr>
        <w:t>US</w:t>
      </w:r>
      <w:r w:rsidR="00302B89" w:rsidRPr="00F54B01">
        <w:rPr>
          <w:rFonts w:cs="Times New Roman"/>
          <w:lang w:val="el-GR"/>
        </w:rPr>
        <w:t xml:space="preserve">-174-0102, 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125) και </w:t>
      </w:r>
      <w:r w:rsidR="00302B89" w:rsidRPr="00F54B01">
        <w:rPr>
          <w:rFonts w:cs="Times New Roman"/>
        </w:rPr>
        <w:t>HBeAg</w:t>
      </w:r>
      <w:r w:rsidR="00302B89" w:rsidRPr="00F54B01">
        <w:rPr>
          <w:rFonts w:cs="Times New Roman"/>
          <w:spacing w:val="-11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θετικοί</w:t>
      </w:r>
      <w:r w:rsidR="00F54B01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GS</w:t>
      </w:r>
      <w:r w:rsidR="00302B89" w:rsidRPr="00F54B01">
        <w:rPr>
          <w:rFonts w:cs="Times New Roman"/>
          <w:lang w:val="el-GR"/>
        </w:rPr>
        <w:t>-</w:t>
      </w:r>
      <w:r w:rsidR="00302B89" w:rsidRPr="00F54B01">
        <w:rPr>
          <w:rFonts w:cs="Times New Roman"/>
        </w:rPr>
        <w:t>US</w:t>
      </w:r>
      <w:r w:rsidR="00302B89" w:rsidRPr="00F54B01">
        <w:rPr>
          <w:rFonts w:cs="Times New Roman"/>
          <w:lang w:val="el-GR"/>
        </w:rPr>
        <w:t xml:space="preserve">-174-0103, 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90) ασθενείς αρχικά τυχαιοποιημένοι σε διπλή τυφλή θεραπεία με</w:t>
      </w:r>
      <w:r w:rsidR="00302B89" w:rsidRPr="00F54B01">
        <w:rPr>
          <w:rFonts w:cs="Times New Roman"/>
          <w:spacing w:val="-20"/>
          <w:lang w:val="el-GR"/>
        </w:rPr>
        <w:t xml:space="preserve"> </w:t>
      </w:r>
      <w:r w:rsidR="00AA45B9" w:rsidRPr="00AA45B9">
        <w:rPr>
          <w:rFonts w:cs="Times New Roman"/>
          <w:lang w:val="el-GR"/>
        </w:rPr>
        <w:t>αδεφοβίρη διπιβοξίλη</w:t>
      </w:r>
      <w:r w:rsidR="00302B89" w:rsidRPr="00F54B01">
        <w:rPr>
          <w:rFonts w:cs="Times New Roman"/>
          <w:lang w:val="el-GR"/>
        </w:rPr>
        <w:t xml:space="preserve"> και οι οποίοι μετά άλλαξαν σε θεραπεία ανοικτής επισήμανσης με </w:t>
      </w:r>
      <w:r w:rsidR="00042160" w:rsidRPr="00085C2F">
        <w:rPr>
          <w:rFonts w:cs="Times New Roman"/>
          <w:lang w:val="el-GR"/>
        </w:rPr>
        <w:t>τενοφοβίρη δισοπρόξιλη</w:t>
      </w:r>
      <w:r w:rsidR="00042160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αξιολογήθηκαν για γονοτυπικές μεταβολές στην </w:t>
      </w:r>
      <w:r w:rsidR="00302B89" w:rsidRPr="00F54B01">
        <w:rPr>
          <w:rFonts w:cs="Times New Roman"/>
        </w:rPr>
        <w:t>HBV</w:t>
      </w:r>
      <w:r w:rsidR="00302B89" w:rsidRPr="00F54B01">
        <w:rPr>
          <w:rFonts w:cs="Times New Roman"/>
          <w:lang w:val="el-GR"/>
        </w:rPr>
        <w:t xml:space="preserve"> πολυμεράση κατά την</w:t>
      </w:r>
      <w:r w:rsidR="00302B89" w:rsidRPr="00F54B01">
        <w:rPr>
          <w:rFonts w:cs="Times New Roman"/>
          <w:spacing w:val="-22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έναρξη.</w:t>
      </w:r>
      <w:r w:rsidR="00F54B01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Γονοτυπικές αξιολογήσεις που διενεργήθηκαν σε όλους τους ασθενείς</w:t>
      </w:r>
      <w:r w:rsidR="00302B89" w:rsidRPr="00F54B01">
        <w:rPr>
          <w:rFonts w:cs="Times New Roman"/>
          <w:spacing w:val="-21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με</w:t>
      </w:r>
      <w:r w:rsidR="00F54B01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</w:rPr>
        <w:t>HBV</w:t>
      </w:r>
      <w:r w:rsidR="00302B89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</w:rPr>
        <w:t>DNA</w:t>
      </w:r>
      <w:r>
        <w:rPr>
          <w:rFonts w:cs="Times New Roman"/>
          <w:lang w:val="el-GR"/>
        </w:rPr>
        <w:t xml:space="preserve"> &gt;</w:t>
      </w:r>
      <w:r w:rsidR="00302B89" w:rsidRPr="00F54B01">
        <w:rPr>
          <w:rFonts w:cs="Times New Roman"/>
          <w:lang w:val="el-GR"/>
        </w:rPr>
        <w:t>400 αντίγραφα/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 xml:space="preserve"> κατά την 48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16), την 96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5), την 144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1), την</w:t>
      </w:r>
      <w:r w:rsidR="00302B89" w:rsidRPr="00F54B01">
        <w:rPr>
          <w:rFonts w:cs="Times New Roman"/>
          <w:spacing w:val="43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192</w:t>
      </w:r>
      <w:r w:rsidR="00302B89" w:rsidRPr="00F54B01">
        <w:rPr>
          <w:rFonts w:cs="Times New Roman"/>
          <w:position w:val="10"/>
          <w:sz w:val="14"/>
          <w:lang w:val="el-GR"/>
        </w:rPr>
        <w:t>η</w:t>
      </w:r>
      <w:r w:rsidR="00F54B01" w:rsidRPr="00F54B01">
        <w:rPr>
          <w:rFonts w:cs="Times New Roman"/>
          <w:position w:val="10"/>
          <w:sz w:val="14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2), την 240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1), την 288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</w:t>
      </w:r>
      <w:r w:rsidR="00302B89" w:rsidRPr="00F54B01">
        <w:rPr>
          <w:rFonts w:cs="Times New Roman"/>
          <w:lang w:val="el-GR"/>
        </w:rPr>
        <w:t>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1) και την 384</w:t>
      </w:r>
      <w:r w:rsidR="00302B89" w:rsidRPr="00F54B01">
        <w:rPr>
          <w:rFonts w:cs="Times New Roman"/>
          <w:position w:val="10"/>
          <w:sz w:val="14"/>
          <w:lang w:val="el-GR"/>
        </w:rPr>
        <w:t xml:space="preserve">η </w:t>
      </w:r>
      <w:r w:rsidR="00302B89" w:rsidRPr="00F54B01">
        <w:rPr>
          <w:rFonts w:cs="Times New Roman"/>
          <w:lang w:val="el-GR"/>
        </w:rPr>
        <w:t>εβδομάδα (</w:t>
      </w:r>
      <w:r w:rsidR="00302B89" w:rsidRPr="00F54B01">
        <w:rPr>
          <w:rFonts w:cs="Times New Roman"/>
        </w:rPr>
        <w:t>n</w:t>
      </w:r>
      <w:r w:rsidR="00302B89" w:rsidRPr="00F54B01">
        <w:rPr>
          <w:rFonts w:cs="Times New Roman"/>
          <w:lang w:val="el-GR"/>
        </w:rPr>
        <w:t xml:space="preserve"> = 2) μονοθεραπείας με</w:t>
      </w:r>
      <w:r w:rsidR="00302B89" w:rsidRPr="00F54B01">
        <w:rPr>
          <w:rFonts w:cs="Times New Roman"/>
          <w:spacing w:val="-35"/>
          <w:lang w:val="el-GR"/>
        </w:rPr>
        <w:t xml:space="preserve"> </w:t>
      </w:r>
      <w:r w:rsidR="00042160" w:rsidRPr="00085C2F">
        <w:rPr>
          <w:rFonts w:cs="Times New Roman"/>
          <w:lang w:val="el-GR"/>
        </w:rPr>
        <w:t>τενοφοβίρη δισοπρόξιλη</w:t>
      </w:r>
      <w:r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έδειξαν ότι δεν αναπτύχθηκαν μεταλλάξεις σχετιζόμενες με αντοχή </w:t>
      </w:r>
      <w:r w:rsidR="00042160">
        <w:rPr>
          <w:rFonts w:cs="Times New Roman"/>
          <w:lang w:val="el-GR"/>
        </w:rPr>
        <w:t xml:space="preserve">στην </w:t>
      </w:r>
      <w:r w:rsidR="00042160" w:rsidRPr="00085C2F">
        <w:rPr>
          <w:rFonts w:cs="Times New Roman"/>
          <w:lang w:val="el-GR"/>
        </w:rPr>
        <w:t>τενοφοβίρη δισοπρόξιλη</w:t>
      </w:r>
      <w:r w:rsidR="00302B89"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Στη 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-174-0108, 45 ασθενείς (συμπεριλαμβανομένων 9 ασθενών με</w:t>
      </w:r>
      <w:r w:rsidRPr="00F54B01">
        <w:rPr>
          <w:rFonts w:cs="Times New Roman"/>
          <w:spacing w:val="-1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μεταλλάξεις αντοχής </w:t>
      </w:r>
      <w:r w:rsidR="00042160" w:rsidRPr="00F54B01">
        <w:rPr>
          <w:rFonts w:cs="Times New Roman"/>
          <w:lang w:val="el-GR"/>
        </w:rPr>
        <w:t>στ</w:t>
      </w:r>
      <w:r w:rsidR="00967063">
        <w:rPr>
          <w:rFonts w:cs="Times New Roman"/>
          <w:lang w:val="el-GR"/>
        </w:rPr>
        <w:t>η</w:t>
      </w:r>
      <w:r w:rsidR="00042160" w:rsidRPr="00F54B01">
        <w:rPr>
          <w:rFonts w:cs="Times New Roman"/>
          <w:lang w:val="el-GR"/>
        </w:rPr>
        <w:t xml:space="preserve"> </w:t>
      </w:r>
      <w:r w:rsidR="00643ECB" w:rsidRPr="00FB72E2">
        <w:rPr>
          <w:rFonts w:cs="Times New Roman"/>
          <w:lang w:val="el-GR"/>
        </w:rPr>
        <w:t>λαμιβουδίνη</w:t>
      </w:r>
      <w:r w:rsidR="00042160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και/ή στ</w:t>
      </w:r>
      <w:r w:rsidR="00967063">
        <w:rPr>
          <w:rFonts w:cs="Times New Roman"/>
          <w:lang w:val="el-GR"/>
        </w:rPr>
        <w:t xml:space="preserve">ην </w:t>
      </w:r>
      <w:r w:rsidR="00AA45B9" w:rsidRPr="00AA45B9">
        <w:rPr>
          <w:rFonts w:cs="Times New Roman"/>
          <w:lang w:val="el-GR"/>
        </w:rPr>
        <w:t>αδεφοβίρη διπιβοξίλη</w:t>
      </w:r>
      <w:r w:rsidRPr="00F54B01">
        <w:rPr>
          <w:rFonts w:cs="Times New Roman"/>
          <w:lang w:val="el-GR"/>
        </w:rPr>
        <w:t xml:space="preserve"> κατά την έναρξη) έλαβαν </w:t>
      </w:r>
      <w:r w:rsidR="00042160" w:rsidRPr="00085C2F">
        <w:rPr>
          <w:rFonts w:cs="Times New Roman"/>
          <w:lang w:val="el-GR"/>
        </w:rPr>
        <w:t>τενοφοβίρη δισοπρόξιλη</w:t>
      </w:r>
      <w:r w:rsidR="00967063">
        <w:rPr>
          <w:rFonts w:cs="Times New Roman"/>
          <w:lang w:val="el-GR"/>
        </w:rPr>
        <w:t xml:space="preserve"> γ</w:t>
      </w:r>
      <w:r w:rsidRPr="00F54B01">
        <w:rPr>
          <w:rFonts w:cs="Times New Roman"/>
          <w:lang w:val="el-GR"/>
        </w:rPr>
        <w:t>ια έως 168 εβδομάδες. Ανά ζεύγη γονοτυπικά δεδομένα από α</w:t>
      </w:r>
      <w:r w:rsidR="00894E60">
        <w:rPr>
          <w:rFonts w:cs="Times New Roman"/>
          <w:lang w:val="el-GR"/>
        </w:rPr>
        <w:t>πομ</w:t>
      </w:r>
      <w:r w:rsidRPr="00F54B01">
        <w:rPr>
          <w:rFonts w:cs="Times New Roman"/>
          <w:lang w:val="el-GR"/>
        </w:rPr>
        <w:t>ονωμένα στελέχη του</w:t>
      </w:r>
      <w:r w:rsidRPr="00F54B01">
        <w:rPr>
          <w:rFonts w:cs="Times New Roman"/>
          <w:spacing w:val="-3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ιού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κατά την έναρξη και υπό θεραπεία ήταν διαθέσιμα για 6 από 8 ασθενείς με </w:t>
      </w:r>
      <w:r w:rsidRPr="00F54B01">
        <w:rPr>
          <w:rFonts w:cs="Times New Roman"/>
        </w:rPr>
        <w:t>HBV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</w:rPr>
        <w:t>DNA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&gt;400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την 48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εβδομάδα. Δεν εντοπίστηκαν στα α</w:t>
      </w:r>
      <w:r w:rsidR="00894E60">
        <w:rPr>
          <w:rFonts w:cs="Times New Roman"/>
          <w:lang w:val="el-GR"/>
        </w:rPr>
        <w:t>πομ</w:t>
      </w:r>
      <w:r w:rsidRPr="00F54B01">
        <w:rPr>
          <w:rFonts w:cs="Times New Roman"/>
          <w:lang w:val="el-GR"/>
        </w:rPr>
        <w:t>ονωμένα αυτά</w:t>
      </w:r>
      <w:r w:rsidRPr="00F54B01">
        <w:rPr>
          <w:rFonts w:cs="Times New Roman"/>
          <w:spacing w:val="-3"/>
          <w:lang w:val="el-GR"/>
        </w:rPr>
        <w:t xml:space="preserve"> </w:t>
      </w:r>
      <w:r w:rsidRPr="00F54B01">
        <w:rPr>
          <w:rFonts w:cs="Times New Roman"/>
          <w:lang w:val="el-GR"/>
        </w:rPr>
        <w:t>στελέχη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υποκαταστάσεις αμινοξέων συνδεόμενες με αντοχή </w:t>
      </w:r>
      <w:r w:rsidR="00042160">
        <w:rPr>
          <w:rFonts w:cs="Times New Roman"/>
          <w:lang w:val="el-GR"/>
        </w:rPr>
        <w:t xml:space="preserve">στην </w:t>
      </w:r>
      <w:r w:rsidR="00042160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.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Γονοτυπική ανάλυση πραγματοποιήθηκε για 5 άτομα στο σκέλος </w:t>
      </w:r>
      <w:r w:rsidR="00042160">
        <w:rPr>
          <w:rFonts w:cs="Times New Roman"/>
          <w:lang w:val="el-GR"/>
        </w:rPr>
        <w:t xml:space="preserve">της </w:t>
      </w:r>
      <w:r w:rsidR="00042160" w:rsidRPr="00085C2F">
        <w:rPr>
          <w:rFonts w:cs="Times New Roman"/>
          <w:lang w:val="el-GR"/>
        </w:rPr>
        <w:t>τενοφοβίρη</w:t>
      </w:r>
      <w:r w:rsidR="00042160">
        <w:rPr>
          <w:rFonts w:cs="Times New Roman"/>
          <w:lang w:val="el-GR"/>
        </w:rPr>
        <w:t>ς</w:t>
      </w:r>
      <w:r w:rsidR="00042160" w:rsidRPr="00085C2F">
        <w:rPr>
          <w:rFonts w:cs="Times New Roman"/>
          <w:lang w:val="el-GR"/>
        </w:rPr>
        <w:t xml:space="preserve"> δισοπρόξιλη</w:t>
      </w:r>
      <w:r w:rsidR="00042160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μετά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την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48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εβδομάδα. Δεν εντοπίστηκαν σε κανένα άτομο υποκαταστάσεις αμινοξέων συνδεόμενες</w:t>
      </w:r>
      <w:r w:rsidRPr="00F54B01">
        <w:rPr>
          <w:rFonts w:cs="Times New Roman"/>
          <w:spacing w:val="-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αντοχή </w:t>
      </w:r>
      <w:r w:rsidR="00042160">
        <w:rPr>
          <w:rFonts w:cs="Times New Roman"/>
          <w:lang w:val="el-GR"/>
        </w:rPr>
        <w:t xml:space="preserve">στην </w:t>
      </w:r>
      <w:r w:rsidR="00042160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Στη 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-174-0121, 141 ασθενείς με υποκαταστάσεις αντοχής </w:t>
      </w:r>
      <w:r w:rsidR="00042160" w:rsidRPr="00F54B01">
        <w:rPr>
          <w:rFonts w:cs="Times New Roman"/>
          <w:lang w:val="el-GR"/>
        </w:rPr>
        <w:t>στ</w:t>
      </w:r>
      <w:r w:rsidR="00967063">
        <w:rPr>
          <w:rFonts w:cs="Times New Roman"/>
          <w:lang w:val="el-GR"/>
        </w:rPr>
        <w:t>η</w:t>
      </w:r>
      <w:r w:rsidR="00042160" w:rsidRPr="00F54B01">
        <w:rPr>
          <w:rFonts w:cs="Times New Roman"/>
          <w:lang w:val="el-GR"/>
        </w:rPr>
        <w:t xml:space="preserve"> </w:t>
      </w:r>
      <w:r w:rsidR="00643ECB" w:rsidRPr="00FB72E2">
        <w:rPr>
          <w:rFonts w:cs="Times New Roman"/>
          <w:lang w:val="el-GR"/>
        </w:rPr>
        <w:t>λαμιβουδίνη</w:t>
      </w:r>
      <w:r w:rsidR="00042160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κατά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την έναρξη έλαβαν </w:t>
      </w:r>
      <w:r w:rsidR="00042160" w:rsidRPr="00085C2F">
        <w:rPr>
          <w:rFonts w:cs="Times New Roman"/>
          <w:lang w:val="el-GR"/>
        </w:rPr>
        <w:t>τενοφοβίρη δισοπρόξιλη</w:t>
      </w:r>
      <w:r w:rsidR="0096706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για έως 240 εβδομάδες. Συσσωρευτικά,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υπήρξαν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4 ασθενείς οι οποίοι εμφάνισαν ιαιμικό επεισόδιο (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="00967063">
        <w:rPr>
          <w:rFonts w:cs="Times New Roman"/>
          <w:lang w:val="el-GR"/>
        </w:rPr>
        <w:t xml:space="preserve"> &gt;</w:t>
      </w:r>
      <w:r w:rsidRPr="00F54B01">
        <w:rPr>
          <w:rFonts w:cs="Times New Roman"/>
          <w:lang w:val="el-GR"/>
        </w:rPr>
        <w:t>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) στο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τελευταίο χρονικό σημείο της αγωγής τους με </w:t>
      </w:r>
      <w:r w:rsidR="00042160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. Μεταξύ αυτών,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δεδομένα ακολουθίας από α</w:t>
      </w:r>
      <w:r w:rsidR="00894E60">
        <w:rPr>
          <w:rFonts w:cs="Times New Roman"/>
          <w:lang w:val="el-GR"/>
        </w:rPr>
        <w:t>πομ</w:t>
      </w:r>
      <w:r w:rsidRPr="00F54B01">
        <w:rPr>
          <w:rFonts w:cs="Times New Roman"/>
          <w:lang w:val="el-GR"/>
        </w:rPr>
        <w:t xml:space="preserve">ονωμένα στελέχη του ιού </w:t>
      </w:r>
      <w:r w:rsidRPr="00F54B01">
        <w:rPr>
          <w:rFonts w:cs="Times New Roman"/>
          <w:spacing w:val="-2"/>
        </w:rPr>
        <w:t>HBV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κατά την έναρξη και υπό θεραπεία</w:t>
      </w:r>
      <w:r w:rsidRPr="00F54B01">
        <w:rPr>
          <w:rFonts w:cs="Times New Roman"/>
          <w:spacing w:val="-10"/>
          <w:lang w:val="el-GR"/>
        </w:rPr>
        <w:t xml:space="preserve"> </w:t>
      </w:r>
      <w:r w:rsidRPr="00F54B01">
        <w:rPr>
          <w:rFonts w:cs="Times New Roman"/>
          <w:lang w:val="el-GR"/>
        </w:rPr>
        <w:t>ήταν διαθέσιμα για 2 από τους 4 ασθενείς. Δεν εντοπίστηκαν στα α</w:t>
      </w:r>
      <w:r w:rsidR="00894E60">
        <w:rPr>
          <w:rFonts w:cs="Times New Roman"/>
          <w:lang w:val="el-GR"/>
        </w:rPr>
        <w:t>πομ</w:t>
      </w:r>
      <w:r w:rsidRPr="00F54B01">
        <w:rPr>
          <w:rFonts w:cs="Times New Roman"/>
          <w:lang w:val="el-GR"/>
        </w:rPr>
        <w:t>ονωμένα αυτά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στελέχη υποκαταστάσεις αμινοξέων συνδεόμενες με αντοχή </w:t>
      </w:r>
      <w:r w:rsidR="00042160">
        <w:rPr>
          <w:rFonts w:cs="Times New Roman"/>
          <w:lang w:val="el-GR"/>
        </w:rPr>
        <w:t xml:space="preserve">στην </w:t>
      </w:r>
      <w:r w:rsidR="00042160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Σε μια παιδιατρική μελέτη (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-174-0115), 52 ασθενείς (συμπεριλαμβανομένων 6 ασθενών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μεταλλάξεις αντοχής </w:t>
      </w:r>
      <w:r w:rsidR="00042160" w:rsidRPr="00F54B01">
        <w:rPr>
          <w:rFonts w:cs="Times New Roman"/>
          <w:lang w:val="el-GR"/>
        </w:rPr>
        <w:t>στ</w:t>
      </w:r>
      <w:r w:rsidR="00967063">
        <w:rPr>
          <w:rFonts w:cs="Times New Roman"/>
          <w:lang w:val="el-GR"/>
        </w:rPr>
        <w:t>η</w:t>
      </w:r>
      <w:r w:rsidR="00042160" w:rsidRPr="00F54B01">
        <w:rPr>
          <w:rFonts w:cs="Times New Roman"/>
          <w:lang w:val="el-GR"/>
        </w:rPr>
        <w:t xml:space="preserve"> </w:t>
      </w:r>
      <w:r w:rsidR="00643ECB" w:rsidRPr="00FB72E2">
        <w:rPr>
          <w:rFonts w:cs="Times New Roman"/>
          <w:lang w:val="el-GR"/>
        </w:rPr>
        <w:t>λαμιβουδίνη</w:t>
      </w:r>
      <w:r w:rsidR="00042160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κατά την έναρξη) έλαβαν </w:t>
      </w:r>
      <w:r w:rsidR="00042160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για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έως 72 εβδομάδες. Γονοτυπικές αξιολογήσεις διενεργήθηκαν σε όλους τους ασθενείς με </w:t>
      </w:r>
      <w:r w:rsidRPr="00F54B01">
        <w:rPr>
          <w:rFonts w:cs="Times New Roman"/>
        </w:rPr>
        <w:t>HBV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</w:rPr>
        <w:t>DNA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&gt;400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κατά την 48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6) και κατά την 72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5).</w:t>
      </w:r>
      <w:r w:rsidRPr="00F54B01">
        <w:rPr>
          <w:rFonts w:cs="Times New Roman"/>
          <w:spacing w:val="23"/>
          <w:lang w:val="el-GR"/>
        </w:rPr>
        <w:t xml:space="preserve"> </w:t>
      </w:r>
      <w:r w:rsidRPr="00F54B01">
        <w:rPr>
          <w:rFonts w:cs="Times New Roman"/>
          <w:lang w:val="el-GR"/>
        </w:rPr>
        <w:t>Δεν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εντοπίστηκαν στα α</w:t>
      </w:r>
      <w:r w:rsidR="00894E60">
        <w:rPr>
          <w:rFonts w:cs="Times New Roman"/>
          <w:lang w:val="el-GR"/>
        </w:rPr>
        <w:t>πομ</w:t>
      </w:r>
      <w:r w:rsidRPr="00F54B01">
        <w:rPr>
          <w:rFonts w:cs="Times New Roman"/>
          <w:lang w:val="el-GR"/>
        </w:rPr>
        <w:t>ονωμένα αυτά στελέχη υποκαταστάσεις αμινοξέων συνδεόμενες με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αντοχή </w:t>
      </w:r>
      <w:r w:rsidR="00042160">
        <w:rPr>
          <w:rFonts w:cs="Times New Roman"/>
          <w:lang w:val="el-GR"/>
        </w:rPr>
        <w:t xml:space="preserve">στην </w:t>
      </w:r>
      <w:r w:rsidR="00042160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Παιδιατρικός</w:t>
      </w:r>
      <w:r w:rsidRPr="00F54B01">
        <w:rPr>
          <w:rFonts w:cs="Times New Roman"/>
          <w:spacing w:val="-3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πληθυσμός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</w:rPr>
        <w:t>HIV</w:t>
      </w:r>
      <w:r w:rsidRPr="00F54B01">
        <w:rPr>
          <w:rFonts w:cs="Times New Roman"/>
          <w:i/>
          <w:lang w:val="el-GR"/>
        </w:rPr>
        <w:t xml:space="preserve">-1: </w:t>
      </w:r>
      <w:r w:rsidRPr="00F54B01">
        <w:rPr>
          <w:rFonts w:cs="Times New Roman"/>
          <w:lang w:val="el-GR"/>
        </w:rPr>
        <w:t xml:space="preserve">Στη 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-104-0321, 87 ασθενείς ηλικίας 12 έως &lt; 18 ετών που είχαν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προσβληθεί από </w:t>
      </w:r>
      <w:r w:rsidRPr="00F54B01">
        <w:rPr>
          <w:rFonts w:cs="Times New Roman"/>
          <w:lang w:val="el-GR"/>
        </w:rPr>
        <w:lastRenderedPageBreak/>
        <w:t xml:space="preserve">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 και είχαν δεχθεί αγωγή στο παρελθόν έλαβαν θεραπεία με </w:t>
      </w:r>
      <w:r w:rsidR="009A0DB4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45) ή εικονικό φάρμακο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42) σε συνδυασμό με μια βελτιστοποιημένη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βασική θεραπεία (</w:t>
      </w:r>
      <w:r w:rsidRPr="00F54B01">
        <w:rPr>
          <w:rFonts w:cs="Times New Roman"/>
        </w:rPr>
        <w:t>OBR</w:t>
      </w:r>
      <w:r w:rsidRPr="00F54B01">
        <w:rPr>
          <w:rFonts w:cs="Times New Roman"/>
          <w:lang w:val="el-GR"/>
        </w:rPr>
        <w:t>) για 48 εβδομάδες. Λόγω των περιορισμών της μελέτης, δεν καταδείχθηκε όφελος</w:t>
      </w:r>
      <w:r w:rsidRPr="00F54B01">
        <w:rPr>
          <w:rFonts w:cs="Times New Roman"/>
          <w:spacing w:val="-29"/>
          <w:lang w:val="el-GR"/>
        </w:rPr>
        <w:t xml:space="preserve"> </w:t>
      </w:r>
      <w:r w:rsidR="009A0DB4">
        <w:rPr>
          <w:rFonts w:cs="Times New Roman"/>
          <w:lang w:val="el-GR"/>
        </w:rPr>
        <w:t xml:space="preserve">της </w:t>
      </w:r>
      <w:r w:rsidR="009A0DB4" w:rsidRPr="00085C2F">
        <w:rPr>
          <w:rFonts w:cs="Times New Roman"/>
          <w:lang w:val="el-GR"/>
        </w:rPr>
        <w:t>τενοφοβίρη</w:t>
      </w:r>
      <w:r w:rsidR="009A0DB4">
        <w:rPr>
          <w:rFonts w:cs="Times New Roman"/>
          <w:lang w:val="el-GR"/>
        </w:rPr>
        <w:t>ς</w:t>
      </w:r>
      <w:r w:rsidR="009A0DB4" w:rsidRPr="00085C2F">
        <w:rPr>
          <w:rFonts w:cs="Times New Roman"/>
          <w:lang w:val="el-GR"/>
        </w:rPr>
        <w:t xml:space="preserve"> δισοπρόξιλη</w:t>
      </w:r>
      <w:r w:rsidR="009A0DB4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έναντι του εικονικού φαρμάκου με βάση τα επίπεδα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 </w:t>
      </w:r>
      <w:r w:rsidRPr="00F54B01">
        <w:rPr>
          <w:rFonts w:cs="Times New Roman"/>
        </w:rPr>
        <w:t>RNA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στο πλάσμα κατά την 24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εβδομάδα. Ωστόσο, αναμένεται όφελος για τον έφηβο πληθυσμό με βάση</w:t>
      </w:r>
      <w:r w:rsidRPr="00F54B01">
        <w:rPr>
          <w:rFonts w:cs="Times New Roman"/>
          <w:spacing w:val="-37"/>
          <w:lang w:val="el-GR"/>
        </w:rPr>
        <w:t xml:space="preserve"> </w:t>
      </w:r>
      <w:r w:rsidRPr="00F54B01">
        <w:rPr>
          <w:rFonts w:cs="Times New Roman"/>
          <w:lang w:val="el-GR"/>
        </w:rPr>
        <w:t>την παρέκταση δεδομένων των ενηλίκων και συγκριτικών φαρμακοκινητικών δεδομένων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(βλ.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παράγραφο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5.2).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Σε ασθενείς που έλαβαν θεραπεία με </w:t>
      </w:r>
      <w:r w:rsidR="009A0DB4" w:rsidRPr="00085C2F">
        <w:rPr>
          <w:rFonts w:cs="Times New Roman"/>
          <w:lang w:val="el-GR"/>
        </w:rPr>
        <w:t>τενοφοβίρη δισοπρόξιλη</w:t>
      </w:r>
      <w:r w:rsidR="0096706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ή εικονικό φάρμακο, η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μέση βαθμολογία </w:t>
      </w:r>
      <w:r w:rsidR="00585960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οσφυϊκής μοίρας της σπονδυλικής στήλης ήταν -1,004 και -0,809, ενώ η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μέση ολοσωματική βαθμολογία </w:t>
      </w:r>
      <w:r w:rsidR="00585960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ήταν -0,866 και -0,584, αντίστοιχα, κατά την έναρξη της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μελέτης. Οι μέσες μεταβολές κατά την 48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 (τέλος της διπλής τυφλής φάσης) ήταν -0,215 και</w:t>
      </w:r>
      <w:r w:rsidRPr="00F54B01">
        <w:rPr>
          <w:rFonts w:cs="Times New Roman"/>
          <w:spacing w:val="-3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-0,165 στη βαθμολογία </w:t>
      </w:r>
      <w:r w:rsidR="00585960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οσφυϊκής μοίρας της σπονδυλικής στήλης και -0,254 και -0,179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στην ολοσωματική βαθμολογία </w:t>
      </w:r>
      <w:r w:rsidR="00585960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για τις ομάδες </w:t>
      </w:r>
      <w:r w:rsidR="009A0DB4" w:rsidRPr="00085C2F">
        <w:rPr>
          <w:rFonts w:cs="Times New Roman"/>
          <w:lang w:val="el-GR"/>
        </w:rPr>
        <w:t>τενοφοβίρη</w:t>
      </w:r>
      <w:r w:rsidR="009A0DB4">
        <w:rPr>
          <w:rFonts w:cs="Times New Roman"/>
          <w:lang w:val="el-GR"/>
        </w:rPr>
        <w:t>ς</w:t>
      </w:r>
      <w:r w:rsidR="009A0DB4" w:rsidRPr="00085C2F">
        <w:rPr>
          <w:rFonts w:cs="Times New Roman"/>
          <w:lang w:val="el-GR"/>
        </w:rPr>
        <w:t xml:space="preserve"> δισοπρόξιλη</w:t>
      </w:r>
      <w:r w:rsidR="009A0DB4">
        <w:rPr>
          <w:rFonts w:cs="Times New Roman"/>
          <w:lang w:val="el-GR"/>
        </w:rPr>
        <w:t>ς</w:t>
      </w:r>
      <w:r w:rsidR="000B5E6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και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εικονικού φαρμάκου, αντίστοιχα. Το μέσο ποσοστό ενίσχυσης της ΟΠ ήταν μικρότερο στην ομάδα </w:t>
      </w:r>
      <w:r w:rsidR="009A0DB4">
        <w:rPr>
          <w:rFonts w:cs="Times New Roman"/>
          <w:lang w:val="el-GR"/>
        </w:rPr>
        <w:t xml:space="preserve">της </w:t>
      </w:r>
      <w:r w:rsidR="009A0DB4" w:rsidRPr="00085C2F">
        <w:rPr>
          <w:rFonts w:cs="Times New Roman"/>
          <w:lang w:val="el-GR"/>
        </w:rPr>
        <w:t>τενοφοβίρη</w:t>
      </w:r>
      <w:r w:rsidR="009A0DB4">
        <w:rPr>
          <w:rFonts w:cs="Times New Roman"/>
          <w:lang w:val="el-GR"/>
        </w:rPr>
        <w:t>ς</w:t>
      </w:r>
      <w:r w:rsidR="009A0DB4" w:rsidRPr="00085C2F">
        <w:rPr>
          <w:rFonts w:cs="Times New Roman"/>
          <w:lang w:val="el-GR"/>
        </w:rPr>
        <w:t xml:space="preserve"> δισοπρόξιλη</w:t>
      </w:r>
      <w:r w:rsidR="009A0DB4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σε σύγκριση με την ομάδα του εικονικού φαρμάκου. Κατά την 48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εβδομάδα,</w:t>
      </w:r>
      <w:r w:rsidRPr="00F54B01">
        <w:rPr>
          <w:rFonts w:cs="Times New Roman"/>
          <w:spacing w:val="-3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έξι έφηβοι στην ομάδα </w:t>
      </w:r>
      <w:r w:rsidR="009A0DB4">
        <w:rPr>
          <w:rFonts w:cs="Times New Roman"/>
          <w:lang w:val="el-GR"/>
        </w:rPr>
        <w:t xml:space="preserve">της </w:t>
      </w:r>
      <w:r w:rsidR="009A0DB4" w:rsidRPr="00085C2F">
        <w:rPr>
          <w:rFonts w:cs="Times New Roman"/>
          <w:lang w:val="el-GR"/>
        </w:rPr>
        <w:t>τενοφοβίρη</w:t>
      </w:r>
      <w:r w:rsidR="009A0DB4">
        <w:rPr>
          <w:rFonts w:cs="Times New Roman"/>
          <w:lang w:val="el-GR"/>
        </w:rPr>
        <w:t>ς</w:t>
      </w:r>
      <w:r w:rsidR="009A0DB4" w:rsidRPr="00085C2F">
        <w:rPr>
          <w:rFonts w:cs="Times New Roman"/>
          <w:lang w:val="el-GR"/>
        </w:rPr>
        <w:t xml:space="preserve"> δισοπρόξιλη</w:t>
      </w:r>
      <w:r w:rsidR="009A0DB4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και ένας έφηβος στην ομάδα του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εικονικού φαρμάκου είχαν σημαντική απώλεια ΟΠ της οσφυϊκής μοίρας της σπονδυλικής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στήλης</w:t>
      </w:r>
      <w:r w:rsidR="00F54B01" w:rsidRPr="00F54B01">
        <w:rPr>
          <w:rFonts w:cs="Times New Roman"/>
          <w:lang w:val="el-GR"/>
        </w:rPr>
        <w:t xml:space="preserve"> </w:t>
      </w:r>
      <w:r w:rsidR="00967063">
        <w:rPr>
          <w:rFonts w:cs="Times New Roman"/>
          <w:lang w:val="el-GR"/>
        </w:rPr>
        <w:t>(καθοριζόμενη ως απώλεια &gt;</w:t>
      </w:r>
      <w:r w:rsidRPr="00F54B01">
        <w:rPr>
          <w:rFonts w:cs="Times New Roman"/>
          <w:lang w:val="el-GR"/>
        </w:rPr>
        <w:t>4%). Μεταξύ 28 ασθενών που έλαβαν 96 εβδομάδες θεραπείας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</w:t>
      </w:r>
      <w:r w:rsidR="009A0DB4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, οι βαθμολογίες </w:t>
      </w:r>
      <w:r w:rsidR="00585960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μειώθηκαν κατά -0,341 για την οσφυϊκή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μοίρα της σπονδυλικής στήλης και -0,458 για ολόκληρο το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>σώμα.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Στη 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>-104-0352, 97 ασθενείς που είχαν ήδη δεχθεί αγωγή στο παρελθόν,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ηλικίας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 έως &lt;12 ετών, με σταθερή ιολογική καταστολή με αγωγές που περιείχαν </w:t>
      </w:r>
      <w:r w:rsidR="00203833" w:rsidRPr="00203833">
        <w:rPr>
          <w:rFonts w:cs="Times New Roman"/>
          <w:lang w:val="el-GR"/>
        </w:rPr>
        <w:t>σταβουδίνη</w:t>
      </w:r>
      <w:r w:rsidR="009A0DB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ή</w:t>
      </w:r>
      <w:r w:rsidRPr="00F54B01">
        <w:rPr>
          <w:rFonts w:cs="Times New Roman"/>
          <w:spacing w:val="-29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ζιδοβουδίνη</w:t>
      </w:r>
      <w:r w:rsidR="009A0DB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τυχαιοποιήθηκαν είτε για αντικατάσταση </w:t>
      </w:r>
      <w:r w:rsidR="009A0DB4">
        <w:rPr>
          <w:rFonts w:cs="Times New Roman"/>
          <w:lang w:val="el-GR"/>
        </w:rPr>
        <w:t>τ</w:t>
      </w:r>
      <w:r w:rsidR="00967063">
        <w:rPr>
          <w:rFonts w:cs="Times New Roman"/>
          <w:lang w:val="el-GR"/>
        </w:rPr>
        <w:t>ης</w:t>
      </w:r>
      <w:r w:rsidR="009A0DB4">
        <w:rPr>
          <w:rFonts w:cs="Times New Roman"/>
          <w:lang w:val="el-GR"/>
        </w:rPr>
        <w:t xml:space="preserve"> </w:t>
      </w:r>
      <w:r w:rsidR="00203833" w:rsidRPr="00203833">
        <w:rPr>
          <w:rFonts w:cs="Times New Roman"/>
          <w:lang w:val="el-GR"/>
        </w:rPr>
        <w:t>σταβουδίνη</w:t>
      </w:r>
      <w:r w:rsidRPr="00F54B01">
        <w:rPr>
          <w:rFonts w:cs="Times New Roman"/>
          <w:lang w:val="el-GR"/>
        </w:rPr>
        <w:t xml:space="preserve"> ή </w:t>
      </w:r>
      <w:r w:rsidR="00203833" w:rsidRPr="00203833">
        <w:rPr>
          <w:rFonts w:cs="Times New Roman"/>
          <w:lang w:val="el-GR"/>
        </w:rPr>
        <w:t>ζιδοβουδίνη</w:t>
      </w:r>
      <w:r w:rsidR="00967063">
        <w:rPr>
          <w:rFonts w:cs="Times New Roman"/>
          <w:lang w:val="el-GR"/>
        </w:rPr>
        <w:t>ς</w:t>
      </w:r>
      <w:r w:rsidR="009A0DB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</w:t>
      </w:r>
      <w:r w:rsidR="009A0DB4" w:rsidRPr="00085C2F">
        <w:rPr>
          <w:rFonts w:cs="Times New Roman"/>
          <w:lang w:val="el-GR"/>
        </w:rPr>
        <w:t>τενοφοβίρη δισοπρόξιλη</w:t>
      </w:r>
      <w:r w:rsidR="009A0DB4" w:rsidRPr="003D4CFC" w:rsidDel="009A0DB4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48) είτε για συνέχιση της αρχικής τους αγωγής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49) για 48 εβδομάδες. Κατά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την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48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 xml:space="preserve">εβδομάδα, </w:t>
      </w:r>
      <w:r w:rsidR="000B5E63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 xml:space="preserve">83% των ασθενών στην θεραπεία με </w:t>
      </w:r>
      <w:r w:rsidR="009A0DB4" w:rsidRPr="00085C2F">
        <w:rPr>
          <w:rFonts w:cs="Times New Roman"/>
          <w:lang w:val="el-GR"/>
        </w:rPr>
        <w:t>τενοφοβίρη δισοπρόξιλη</w:t>
      </w:r>
      <w:r w:rsidR="000B5E6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</w:t>
      </w:r>
      <w:r w:rsidR="000B5E63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92%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των ασθενών στην ομάδα θεραπείας με </w:t>
      </w:r>
      <w:r w:rsidR="00203833" w:rsidRPr="00203833">
        <w:rPr>
          <w:rFonts w:cs="Times New Roman"/>
          <w:lang w:val="el-GR"/>
        </w:rPr>
        <w:t>σταβουδίνη</w:t>
      </w:r>
      <w:r w:rsidR="009A0DB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</w:t>
      </w:r>
      <w:r w:rsidR="00203833" w:rsidRPr="00203833">
        <w:rPr>
          <w:rFonts w:cs="Times New Roman"/>
          <w:lang w:val="el-GR"/>
        </w:rPr>
        <w:t>ζιδοβουδίνη</w:t>
      </w:r>
      <w:r w:rsidR="009A0DB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είχαν συγκεντρώσεις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</w:rPr>
        <w:t>RNA</w:t>
      </w:r>
      <w:r w:rsidR="00F54B01" w:rsidRPr="00F54B01">
        <w:rPr>
          <w:rFonts w:cs="Times New Roman"/>
          <w:lang w:val="el-GR"/>
        </w:rPr>
        <w:t xml:space="preserve"> </w:t>
      </w:r>
      <w:r w:rsidR="00967063">
        <w:rPr>
          <w:rFonts w:cs="Times New Roman"/>
          <w:lang w:val="el-GR"/>
        </w:rPr>
        <w:t>&lt;</w:t>
      </w:r>
      <w:r w:rsidRPr="00F54B01">
        <w:rPr>
          <w:rFonts w:cs="Times New Roman"/>
          <w:lang w:val="el-GR"/>
        </w:rPr>
        <w:t>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. Η διαφορά στην αναλογ</w:t>
      </w:r>
      <w:r w:rsidR="00967063">
        <w:rPr>
          <w:rFonts w:cs="Times New Roman"/>
          <w:lang w:val="el-GR"/>
        </w:rPr>
        <w:t>ία των ασθενών που διατήρησαν &lt;</w:t>
      </w:r>
      <w:r w:rsidRPr="00F54B01">
        <w:rPr>
          <w:rFonts w:cs="Times New Roman"/>
          <w:lang w:val="el-GR"/>
        </w:rPr>
        <w:t>400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κατά την 48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 επηρεάστηκε κυρίως από τον υψηλότερο αριθμό των διακοπών στην ομάδα</w:t>
      </w:r>
      <w:r w:rsidRPr="00F54B01">
        <w:rPr>
          <w:rFonts w:cs="Times New Roman"/>
          <w:spacing w:val="-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</w:t>
      </w:r>
      <w:r w:rsidR="009A0DB4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. Όταν αποκλείσθηκαν τα ελλιπή δεδομένα, </w:t>
      </w:r>
      <w:r w:rsidR="00585960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91% των ασθενών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στην ομάδα θεραπείας με </w:t>
      </w:r>
      <w:r w:rsidR="009A0DB4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και </w:t>
      </w:r>
      <w:r w:rsidR="00585960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94% των ασθενών στην ομάδα θεραπείας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</w:t>
      </w:r>
      <w:r w:rsidR="00203833" w:rsidRPr="00203833">
        <w:rPr>
          <w:rFonts w:cs="Times New Roman"/>
          <w:lang w:val="el-GR"/>
        </w:rPr>
        <w:t>σταβουδίνη</w:t>
      </w:r>
      <w:r w:rsidR="009A0DB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</w:t>
      </w:r>
      <w:r w:rsidR="00203833" w:rsidRPr="00203833">
        <w:rPr>
          <w:rFonts w:cs="Times New Roman"/>
          <w:lang w:val="el-GR"/>
        </w:rPr>
        <w:t>ζιδοβουδίνη</w:t>
      </w:r>
      <w:r w:rsidR="009A0DB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είχαν συγκεντρώσεις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-1 </w:t>
      </w:r>
      <w:r w:rsidRPr="00F54B01">
        <w:rPr>
          <w:rFonts w:cs="Times New Roman"/>
        </w:rPr>
        <w:t>RNA</w:t>
      </w:r>
      <w:r w:rsidR="00967063">
        <w:rPr>
          <w:rFonts w:cs="Times New Roman"/>
          <w:lang w:val="el-GR"/>
        </w:rPr>
        <w:t xml:space="preserve"> &lt;</w:t>
      </w:r>
      <w:r w:rsidRPr="00F54B01">
        <w:rPr>
          <w:rFonts w:cs="Times New Roman"/>
          <w:lang w:val="el-GR"/>
        </w:rPr>
        <w:t>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κατά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την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48</w:t>
      </w:r>
      <w:r w:rsidRPr="00F54B01">
        <w:rPr>
          <w:rFonts w:cs="Times New Roman"/>
          <w:position w:val="10"/>
          <w:sz w:val="14"/>
          <w:lang w:val="el-GR"/>
        </w:rPr>
        <w:t>η</w:t>
      </w:r>
      <w:r w:rsidRPr="00F54B01">
        <w:rPr>
          <w:rFonts w:cs="Times New Roman"/>
          <w:spacing w:val="18"/>
          <w:position w:val="10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Μειώσεις της ΟΠ έχουν αναφερθεί σε παιδιατρικούς ασθενείς. Στους ασθενείς που έλαβαν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θεραπεία με </w:t>
      </w:r>
      <w:r w:rsidR="009A0DB4" w:rsidRPr="00085C2F">
        <w:rPr>
          <w:rFonts w:cs="Times New Roman"/>
          <w:lang w:val="el-GR"/>
        </w:rPr>
        <w:t>τενοφοβίρη δισοπρόξιλη</w:t>
      </w:r>
      <w:r w:rsidR="00894E60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με </w:t>
      </w:r>
      <w:r w:rsidR="00203833" w:rsidRPr="00203833">
        <w:rPr>
          <w:rFonts w:cs="Times New Roman"/>
          <w:lang w:val="el-GR"/>
        </w:rPr>
        <w:t>σταβουδίνη</w:t>
      </w:r>
      <w:r w:rsidR="009A0DB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</w:t>
      </w:r>
      <w:r w:rsidR="00203833" w:rsidRPr="00203833">
        <w:rPr>
          <w:rFonts w:cs="Times New Roman"/>
          <w:lang w:val="el-GR"/>
        </w:rPr>
        <w:t>ζιδοβουδίνη</w:t>
      </w:r>
      <w:r w:rsidRPr="00F54B01">
        <w:rPr>
          <w:rFonts w:cs="Times New Roman"/>
          <w:lang w:val="el-GR"/>
        </w:rPr>
        <w:t xml:space="preserve">, η μέση βαθμολογία </w:t>
      </w:r>
      <w:r w:rsidR="00585960">
        <w:rPr>
          <w:rFonts w:cs="Times New Roman"/>
          <w:lang w:val="el-GR"/>
        </w:rPr>
        <w:t>ΟΠ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</w:rPr>
        <w:t>Z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οσφυϊκής μοίρας της σπονδυλικής στήλης ήταν -1,034 και -0,498, ενώ η μέση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ολοσωματική βαθμολογία </w:t>
      </w:r>
      <w:r w:rsidR="00585960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ήταν -0,471 και -0,386, αντίστοιχα, κατά την έναρξη της μελέτης. Οι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μέσες μεταβολές κατά την 48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 (τέλος της τυχαιοποιημένης φάσης) ήταν 0,032 και 0,087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 βαθμολογία </w:t>
      </w:r>
      <w:r w:rsidR="00585960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οσφυϊκής μοίρας της σπονδυλικής στήλης και -0,184 και -0,027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στην ολοσωματική βαθμολογία </w:t>
      </w:r>
      <w:r w:rsidR="00585960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για τις ομάδες </w:t>
      </w:r>
      <w:r w:rsidR="009A0DB4" w:rsidRPr="00085C2F">
        <w:rPr>
          <w:rFonts w:cs="Times New Roman"/>
          <w:lang w:val="el-GR"/>
        </w:rPr>
        <w:t>τενοφοβίρη</w:t>
      </w:r>
      <w:r w:rsidR="009A0DB4">
        <w:rPr>
          <w:rFonts w:cs="Times New Roman"/>
          <w:lang w:val="el-GR"/>
        </w:rPr>
        <w:t>ς</w:t>
      </w:r>
      <w:r w:rsidR="009A0DB4" w:rsidRPr="00085C2F">
        <w:rPr>
          <w:rFonts w:cs="Times New Roman"/>
          <w:lang w:val="el-GR"/>
        </w:rPr>
        <w:t xml:space="preserve"> δισοπρόξιλη</w:t>
      </w:r>
      <w:r w:rsidR="009A0DB4">
        <w:rPr>
          <w:rFonts w:cs="Times New Roman"/>
          <w:lang w:val="el-GR"/>
        </w:rPr>
        <w:t xml:space="preserve">ς </w:t>
      </w:r>
      <w:r w:rsidRPr="00F54B01">
        <w:rPr>
          <w:rFonts w:cs="Times New Roman"/>
          <w:lang w:val="el-GR"/>
        </w:rPr>
        <w:t xml:space="preserve">και </w:t>
      </w:r>
      <w:r w:rsidR="00203833" w:rsidRPr="00203833">
        <w:rPr>
          <w:rFonts w:cs="Times New Roman"/>
          <w:lang w:val="el-GR"/>
        </w:rPr>
        <w:t>σταβουδίνη</w:t>
      </w:r>
      <w:r w:rsidR="009A0DB4"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</w:t>
      </w:r>
      <w:r w:rsidR="00203833" w:rsidRPr="00203833">
        <w:rPr>
          <w:rFonts w:cs="Times New Roman"/>
          <w:lang w:val="el-GR"/>
        </w:rPr>
        <w:t>ζιδοβουδίνη</w:t>
      </w:r>
      <w:r w:rsidRPr="00F54B01">
        <w:rPr>
          <w:rFonts w:cs="Times New Roman"/>
          <w:lang w:val="el-GR"/>
        </w:rPr>
        <w:t>, αντίστοιχα. Το μέσο ποσοστό ενίσχυσης της οστικής πυκνότητας της οσφυϊκής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μοίρας της σπονδυλικής στήλης κατά την 48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 ήταν παρόμοιο μεταξύ της ομάδας θεραπείας</w:t>
      </w:r>
      <w:r w:rsidRPr="00F54B01">
        <w:rPr>
          <w:rFonts w:cs="Times New Roman"/>
          <w:spacing w:val="-3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</w:t>
      </w:r>
      <w:r w:rsidR="009A0DB4" w:rsidRPr="00085C2F">
        <w:rPr>
          <w:rFonts w:cs="Times New Roman"/>
          <w:lang w:val="el-GR"/>
        </w:rPr>
        <w:t>τενοφοβίρη δισοπρόξιλη</w:t>
      </w:r>
      <w:r w:rsidR="0096706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της ομάδας θεραπείας με </w:t>
      </w:r>
      <w:r w:rsidR="00203833" w:rsidRPr="00203833">
        <w:rPr>
          <w:rFonts w:cs="Times New Roman"/>
          <w:lang w:val="el-GR"/>
        </w:rPr>
        <w:t>σταβουδίνη</w:t>
      </w:r>
      <w:r w:rsidR="009A0DB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</w:t>
      </w:r>
      <w:r w:rsidR="00203833" w:rsidRPr="00203833">
        <w:rPr>
          <w:rFonts w:cs="Times New Roman"/>
          <w:lang w:val="el-GR"/>
        </w:rPr>
        <w:t>ζιδοβουδίνη</w:t>
      </w:r>
      <w:r w:rsidRPr="00F54B01">
        <w:rPr>
          <w:rFonts w:cs="Times New Roman"/>
          <w:lang w:val="el-GR"/>
        </w:rPr>
        <w:t>.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Η ολοσωματική ενίσχυση της οστικής πυκνότητας ήταν μικρότερη στην ομάδα θεραπείας με</w:t>
      </w:r>
      <w:r w:rsidRPr="00F54B01">
        <w:rPr>
          <w:rFonts w:cs="Times New Roman"/>
          <w:spacing w:val="-26"/>
          <w:lang w:val="el-GR"/>
        </w:rPr>
        <w:t xml:space="preserve"> </w:t>
      </w:r>
      <w:r w:rsidR="009A0DB4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σε σύγκριση με την ομάδα θεραπείας με </w:t>
      </w:r>
      <w:r w:rsidR="00203833" w:rsidRPr="00203833">
        <w:rPr>
          <w:rFonts w:cs="Times New Roman"/>
          <w:lang w:val="el-GR"/>
        </w:rPr>
        <w:t>σταβουδίνη</w:t>
      </w:r>
      <w:r w:rsidR="009A0DB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</w:t>
      </w:r>
      <w:r w:rsidR="00203833" w:rsidRPr="00203833">
        <w:rPr>
          <w:rFonts w:cs="Times New Roman"/>
          <w:lang w:val="el-GR"/>
        </w:rPr>
        <w:t>ζιδοβουδίνη</w:t>
      </w:r>
      <w:r w:rsidRPr="00F54B01">
        <w:rPr>
          <w:rFonts w:cs="Times New Roman"/>
          <w:lang w:val="el-GR"/>
        </w:rPr>
        <w:t>. Ένα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άτομο που έλαβε αγωγή με </w:t>
      </w:r>
      <w:r w:rsidR="009A0DB4" w:rsidRPr="00085C2F">
        <w:rPr>
          <w:rFonts w:cs="Times New Roman"/>
          <w:lang w:val="el-GR"/>
        </w:rPr>
        <w:t>τενοφοβίρη δισοπρόξιλη</w:t>
      </w:r>
      <w:r w:rsidR="0096706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παρουσίασε σημαντική (&gt;4%) απώλεια της</w:t>
      </w:r>
      <w:r w:rsidRPr="00F54B01">
        <w:rPr>
          <w:rFonts w:cs="Times New Roman"/>
          <w:spacing w:val="-23"/>
          <w:lang w:val="el-GR"/>
        </w:rPr>
        <w:t xml:space="preserve"> </w:t>
      </w:r>
      <w:r w:rsidR="00381232">
        <w:rPr>
          <w:rFonts w:cs="Times New Roman"/>
          <w:lang w:val="el-GR"/>
        </w:rPr>
        <w:t>ΟΠ</w:t>
      </w:r>
      <w:r w:rsidR="0096706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 της οσφυϊκής μοίρας της σπονδυλικής στήλης και κανένα άτομο που έλαβε αγωγή με </w:t>
      </w:r>
      <w:r w:rsidR="00203833" w:rsidRPr="00203833">
        <w:rPr>
          <w:rFonts w:cs="Times New Roman"/>
          <w:lang w:val="el-GR"/>
        </w:rPr>
        <w:t>σταβουδίνη</w:t>
      </w:r>
      <w:r w:rsidR="009A0DB4"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</w:t>
      </w:r>
      <w:r w:rsidR="00203833" w:rsidRPr="00203833">
        <w:rPr>
          <w:rFonts w:cs="Times New Roman"/>
          <w:lang w:val="el-GR"/>
        </w:rPr>
        <w:t>ζιδοβουδίνη</w:t>
      </w:r>
      <w:r w:rsidR="009A0DB4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δεν παρουσίασε σημαντική απώλεια κατά την 48</w:t>
      </w:r>
      <w:r w:rsidRPr="00F54B01">
        <w:rPr>
          <w:rFonts w:cs="Times New Roman"/>
          <w:position w:val="10"/>
          <w:sz w:val="14"/>
          <w:lang w:val="el-GR"/>
        </w:rPr>
        <w:t xml:space="preserve">η  </w:t>
      </w:r>
      <w:r w:rsidRPr="00F54B01">
        <w:rPr>
          <w:rFonts w:cs="Times New Roman"/>
          <w:lang w:val="el-GR"/>
        </w:rPr>
        <w:t xml:space="preserve">εβδομάδα. Οι βαθμολογίες </w:t>
      </w:r>
      <w:r w:rsidR="00381232">
        <w:rPr>
          <w:rFonts w:cs="Times New Roman"/>
          <w:lang w:val="el-GR"/>
        </w:rPr>
        <w:t>ΟΠ</w:t>
      </w:r>
      <w:r w:rsidR="00967063">
        <w:rPr>
          <w:rFonts w:cs="Times New Roman"/>
          <w:lang w:val="el-GR"/>
        </w:rPr>
        <w:t xml:space="preserve"> </w:t>
      </w:r>
      <w:r w:rsidRPr="00F54B01">
        <w:rPr>
          <w:rFonts w:cs="Times New Roman"/>
          <w:spacing w:val="-34"/>
          <w:lang w:val="el-GR"/>
        </w:rPr>
        <w:t xml:space="preserve"> </w:t>
      </w:r>
      <w:r w:rsidRPr="00F54B01">
        <w:rPr>
          <w:rFonts w:cs="Times New Roman"/>
        </w:rPr>
        <w:t>Z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μειώθηκαν κατά -0,012 για την οσφυϊκή μοίρα της σπονδυλικής στήλης και κατά -0,338 για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ολόκληρο το σώμα στα 64 άτομα που έλαβαν θεραπεία με </w:t>
      </w:r>
      <w:r w:rsidR="009A0DB4" w:rsidRPr="00085C2F">
        <w:rPr>
          <w:rFonts w:cs="Times New Roman"/>
          <w:lang w:val="el-GR"/>
        </w:rPr>
        <w:t>τενοφοβίρη δισοπρόξιλη</w:t>
      </w:r>
      <w:r w:rsidR="0096706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για 96 εβδομάδες.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Οι βαθμολογίες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δεν προσαρμόστηκαν για ύψος και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>βάρος.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Στη 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-104-0352, 4 από τους 89 παιδιατρικούς ασθενείς που εκτέθηκαν </w:t>
      </w:r>
      <w:r w:rsidR="009A0DB4">
        <w:rPr>
          <w:rFonts w:cs="Times New Roman"/>
          <w:lang w:val="el-GR"/>
        </w:rPr>
        <w:t xml:space="preserve">στην </w:t>
      </w:r>
      <w:r w:rsidR="009A0DB4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διέκοψαν λόγω ανεπιθύμητων ενεργειών συμβατών με κεντρική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νεφρική σωληναριοπάθεια (διάμεση έκθεση </w:t>
      </w:r>
      <w:r w:rsidR="009A0DB4">
        <w:rPr>
          <w:rFonts w:cs="Times New Roman"/>
          <w:lang w:val="el-GR"/>
        </w:rPr>
        <w:t xml:space="preserve">στην </w:t>
      </w:r>
      <w:r w:rsidR="009A0DB4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104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εβδομάδες).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  <w:lang w:val="el-GR"/>
        </w:rPr>
        <w:t xml:space="preserve">Χρόνια ηπατίτιδα </w:t>
      </w:r>
      <w:r w:rsidRPr="00F54B01">
        <w:rPr>
          <w:rFonts w:cs="Times New Roman"/>
          <w:i/>
        </w:rPr>
        <w:t>B</w:t>
      </w:r>
      <w:r w:rsidRPr="00F54B01">
        <w:rPr>
          <w:rFonts w:cs="Times New Roman"/>
          <w:i/>
          <w:lang w:val="el-GR"/>
        </w:rPr>
        <w:t xml:space="preserve">: </w:t>
      </w:r>
      <w:r w:rsidRPr="00F54B01">
        <w:rPr>
          <w:rFonts w:cs="Times New Roman"/>
          <w:lang w:val="el-GR"/>
        </w:rPr>
        <w:t xml:space="preserve">Στη μελέτη </w:t>
      </w:r>
      <w:r w:rsidRPr="00F54B01">
        <w:rPr>
          <w:rFonts w:cs="Times New Roman"/>
        </w:rPr>
        <w:t>GS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US</w:t>
      </w:r>
      <w:r w:rsidRPr="00F54B01">
        <w:rPr>
          <w:rFonts w:cs="Times New Roman"/>
          <w:lang w:val="el-GR"/>
        </w:rPr>
        <w:t xml:space="preserve">-174-0115, 106 </w:t>
      </w:r>
      <w:r w:rsidRPr="00F54B01">
        <w:rPr>
          <w:rFonts w:cs="Times New Roman"/>
        </w:rPr>
        <w:t>HBeAg</w:t>
      </w:r>
      <w:r w:rsidRPr="00F54B01">
        <w:rPr>
          <w:rFonts w:cs="Times New Roman"/>
          <w:lang w:val="el-GR"/>
        </w:rPr>
        <w:t xml:space="preserve"> αρνητικοί και </w:t>
      </w:r>
      <w:r w:rsidRPr="00F54B01">
        <w:rPr>
          <w:rFonts w:cs="Times New Roman"/>
        </w:rPr>
        <w:t>HBeAg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θετικοί ασθενείς ηλικίας 12 έως &lt;18 ετών με χρόνια λοίμωξη από τον ιό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[</w:t>
      </w:r>
      <w:r w:rsidRPr="00F54B01">
        <w:rPr>
          <w:rFonts w:cs="Times New Roman"/>
        </w:rPr>
        <w:t>HBV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spacing w:val="-2"/>
        </w:rPr>
        <w:t>DNA</w:t>
      </w:r>
      <w:r w:rsidR="00F54B01"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≥10</w:t>
      </w:r>
      <w:r w:rsidRPr="00F54B01">
        <w:rPr>
          <w:rFonts w:cs="Times New Roman"/>
          <w:position w:val="10"/>
          <w:sz w:val="14"/>
          <w:szCs w:val="14"/>
          <w:lang w:val="el-GR"/>
        </w:rPr>
        <w:t xml:space="preserve">5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, υψηλά </w:t>
      </w:r>
      <w:r w:rsidRPr="00F54B01">
        <w:rPr>
          <w:rFonts w:cs="Times New Roman"/>
          <w:lang w:val="el-GR"/>
        </w:rPr>
        <w:lastRenderedPageBreak/>
        <w:t xml:space="preserve">επίπεδα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στον ορό (≥2 </w:t>
      </w:r>
      <w:r w:rsidRPr="00F54B01">
        <w:rPr>
          <w:rFonts w:cs="Times New Roman"/>
        </w:rPr>
        <w:t>x</w:t>
      </w:r>
      <w:r w:rsidRPr="00F54B01">
        <w:rPr>
          <w:rFonts w:cs="Times New Roman"/>
          <w:lang w:val="el-GR"/>
        </w:rPr>
        <w:t xml:space="preserve"> ΑΦΟ) ή ιστορικό υψηλών επιπέδων</w:t>
      </w:r>
      <w:r w:rsidRPr="00F54B01">
        <w:rPr>
          <w:rFonts w:cs="Times New Roman"/>
          <w:spacing w:val="-4"/>
          <w:lang w:val="el-GR"/>
        </w:rPr>
        <w:t xml:space="preserve">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στον ορό κατά τους τελευταίους 24 μήνες] έλαβαν θεραπεία</w:t>
      </w:r>
      <w:r w:rsidR="00643ECB">
        <w:rPr>
          <w:rFonts w:cs="Times New Roman"/>
          <w:lang w:val="el-GR"/>
        </w:rPr>
        <w:t xml:space="preserve"> </w:t>
      </w:r>
      <w:r w:rsidRPr="00643ECB">
        <w:rPr>
          <w:rFonts w:cs="Times New Roman"/>
          <w:lang w:val="el-GR"/>
        </w:rPr>
        <w:t>μ</w:t>
      </w:r>
      <w:r w:rsidRPr="00F54B01">
        <w:rPr>
          <w:rFonts w:cs="Times New Roman"/>
          <w:lang w:val="el-GR"/>
        </w:rPr>
        <w:t xml:space="preserve">ε </w:t>
      </w:r>
      <w:r w:rsidR="00643ECB" w:rsidRPr="00FB72E2">
        <w:rPr>
          <w:rFonts w:cs="Times New Roman"/>
          <w:lang w:val="el-GR"/>
        </w:rPr>
        <w:t>τενοφοβίρη δισοπρόξιλη</w:t>
      </w:r>
      <w:r w:rsidR="00585960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245 </w:t>
      </w:r>
      <w:r w:rsidRPr="00F54B01">
        <w:rPr>
          <w:rFonts w:cs="Times New Roman"/>
        </w:rPr>
        <w:t>mg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(ως</w:t>
      </w:r>
      <w:r w:rsidR="008E2BBE">
        <w:rPr>
          <w:rFonts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050664" behindDoc="1" locked="0" layoutInCell="1" allowOverlap="1" wp14:anchorId="4D10F651" wp14:editId="1EC664A2">
                <wp:simplePos x="0" y="0"/>
                <wp:positionH relativeFrom="page">
                  <wp:posOffset>4018280</wp:posOffset>
                </wp:positionH>
                <wp:positionV relativeFrom="paragraph">
                  <wp:posOffset>629285</wp:posOffset>
                </wp:positionV>
                <wp:extent cx="35560" cy="1270"/>
                <wp:effectExtent l="8255" t="10160" r="13335" b="7620"/>
                <wp:wrapNone/>
                <wp:docPr id="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6328" y="991"/>
                          <a:chExt cx="56" cy="2"/>
                        </a:xfrm>
                      </wpg:grpSpPr>
                      <wps:wsp>
                        <wps:cNvPr id="3" name="Freeform 168"/>
                        <wps:cNvSpPr>
                          <a:spLocks/>
                        </wps:cNvSpPr>
                        <wps:spPr bwMode="auto">
                          <a:xfrm>
                            <a:off x="6328" y="991"/>
                            <a:ext cx="56" cy="2"/>
                          </a:xfrm>
                          <a:custGeom>
                            <a:avLst/>
                            <a:gdLst>
                              <a:gd name="T0" fmla="+- 0 6328 6328"/>
                              <a:gd name="T1" fmla="*/ T0 w 56"/>
                              <a:gd name="T2" fmla="+- 0 6383 6328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316.4pt;margin-top:49.55pt;width:2.8pt;height:.1pt;z-index:-265816;mso-position-horizontal-relative:page" coordorigin="6328,991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">
                <v:shape id="Freeform 168" o:spid="_x0000_s1027" style="position:absolute;left:6328;top:991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OAMIA&#10;AADaAAAADwAAAGRycy9kb3ducmV2LnhtbESPQWuDQBSE74X+h+UFcqtrLA2pcQ0lYMixTUzPD/dF&#10;RfetcbfG/vtuodDjMDPfMNluNr2YaHStZQWrKAZBXFndcq2gPBdPGxDOI2vsLZOCb3Kwyx8fMky1&#10;vfMHTSdfiwBhl6KCxvshldJVDRl0kR2Ig3e1o0Ef5FhLPeI9wE0vkzheS4Mth4UGB9o3VHWnL6Pg&#10;872YD+2reznIZLqt46ScLkWn1HIxv21BeJr9f/ivfdQKnuH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o4AwgAAANoAAAAPAAAAAAAAAAAAAAAAAJgCAABkcnMvZG93&#10;bnJldi54bWxQSwUGAAAAAAQABAD1AAAAhwMAAAAA&#10;" path="m,l55,e" filled="f" strokeweight=".48pt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 w:rsidR="00F54B01" w:rsidRPr="00F54B01">
        <w:rPr>
          <w:rFonts w:cs="Times New Roman"/>
          <w:lang w:val="el-GR"/>
        </w:rPr>
        <w:t xml:space="preserve"> </w:t>
      </w:r>
      <w:r w:rsidR="00FB72E2">
        <w:rPr>
          <w:rFonts w:cs="Times New Roman"/>
          <w:lang w:val="el-GR"/>
        </w:rPr>
        <w:t>ηλεκτρική</w:t>
      </w:r>
      <w:r w:rsidRPr="00F54B01">
        <w:rPr>
          <w:rFonts w:cs="Times New Roman"/>
          <w:lang w:val="el-GR"/>
        </w:rPr>
        <w:t>)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52) ή εικονικό φάρμακο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54) για 72 εβδομάδες. Οι ασθενείς έπρεπε να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ήταν πρωτοθεραπευόμενοι με </w:t>
      </w:r>
      <w:r w:rsidR="00984DD3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>, αλλά μπορούσαν να έχουν λάβει θεραπείες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βάση </w:t>
      </w:r>
      <w:r w:rsidR="00967063">
        <w:rPr>
          <w:rFonts w:cs="Times New Roman"/>
          <w:lang w:val="el-GR"/>
        </w:rPr>
        <w:t>την ιντερφερόνη</w:t>
      </w:r>
      <w:r w:rsidR="00984DD3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(&gt;6 μήνες πριν από τη διαλογή) ή οποιαδήποτε άλλη από του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στόματος θεραπεία κατά του </w:t>
      </w:r>
      <w:r w:rsidRPr="00F54B01">
        <w:rPr>
          <w:rFonts w:cs="Times New Roman"/>
          <w:spacing w:val="-2"/>
        </w:rPr>
        <w:t>HBV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νουκλεοσίδια/νουκλεοτίδια που δεν περιείχε </w:t>
      </w:r>
      <w:r w:rsidR="00984DD3" w:rsidRPr="00085C2F">
        <w:rPr>
          <w:rFonts w:cs="Times New Roman"/>
          <w:lang w:val="el-GR"/>
        </w:rPr>
        <w:t>τενοφοβίρη δισοπρόξιλη</w:t>
      </w:r>
      <w:r w:rsidR="00984DD3" w:rsidRPr="003D4CFC" w:rsidDel="00984DD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(&gt;16 εβδομάδες πριν από τη διαλογή). Κατά την 72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εβδομάδα, συνολικά 88% (46/52) των</w:t>
      </w:r>
      <w:r w:rsidRPr="00F54B01">
        <w:rPr>
          <w:rFonts w:cs="Times New Roman"/>
          <w:spacing w:val="-3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ασθενών στην ομάδα θεραπείας με </w:t>
      </w:r>
      <w:r w:rsidR="00984DD3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και 0% (0/54) των ασθενών στην ομάδα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του εικονικού φαρμάκου είχαν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 xml:space="preserve"> &lt;400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. </w:t>
      </w:r>
      <w:r w:rsidR="00585960">
        <w:rPr>
          <w:rFonts w:cs="Times New Roman"/>
          <w:lang w:val="el-GR"/>
        </w:rPr>
        <w:t xml:space="preserve">Το </w:t>
      </w:r>
      <w:r w:rsidR="00967063">
        <w:rPr>
          <w:rFonts w:cs="Times New Roman"/>
          <w:lang w:val="el-GR"/>
        </w:rPr>
        <w:t xml:space="preserve">74% 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(26/35) των ασθενών στην ομάδα </w:t>
      </w:r>
      <w:r w:rsidR="00984DD3">
        <w:rPr>
          <w:rFonts w:cs="Times New Roman"/>
          <w:lang w:val="el-GR"/>
        </w:rPr>
        <w:t xml:space="preserve">της </w:t>
      </w:r>
      <w:r w:rsidR="00984DD3" w:rsidRPr="00085C2F">
        <w:rPr>
          <w:rFonts w:cs="Times New Roman"/>
          <w:lang w:val="el-GR"/>
        </w:rPr>
        <w:t>τενοφοβίρη</w:t>
      </w:r>
      <w:r w:rsidR="00984DD3">
        <w:rPr>
          <w:rFonts w:cs="Times New Roman"/>
          <w:lang w:val="el-GR"/>
        </w:rPr>
        <w:t>ς</w:t>
      </w:r>
      <w:r w:rsidR="00984DD3" w:rsidRPr="00085C2F">
        <w:rPr>
          <w:rFonts w:cs="Times New Roman"/>
          <w:lang w:val="el-GR"/>
        </w:rPr>
        <w:t xml:space="preserve"> δισοπρόξιλη</w:t>
      </w:r>
      <w:r w:rsidR="00984DD3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</w:t>
      </w:r>
      <w:r w:rsidR="00585960">
        <w:rPr>
          <w:rFonts w:cs="Times New Roman"/>
          <w:lang w:val="el-GR"/>
        </w:rPr>
        <w:t>είχε</w:t>
      </w:r>
      <w:r w:rsidRPr="00F54B01">
        <w:rPr>
          <w:rFonts w:cs="Times New Roman"/>
          <w:lang w:val="el-GR"/>
        </w:rPr>
        <w:t xml:space="preserve"> ομαλοποιημένη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κατά</w:t>
      </w:r>
      <w:r w:rsidRPr="00F54B01">
        <w:rPr>
          <w:rFonts w:cs="Times New Roman"/>
          <w:spacing w:val="-30"/>
          <w:lang w:val="el-GR"/>
        </w:rPr>
        <w:t xml:space="preserve"> </w:t>
      </w:r>
      <w:r w:rsidRPr="00F54B01">
        <w:rPr>
          <w:rFonts w:cs="Times New Roman"/>
          <w:lang w:val="el-GR"/>
        </w:rPr>
        <w:t>την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72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>εβδομάδα σε σύγκριση με 31% (13/42) στην ομάδα του εικονικού φαρμάκου. Η ανταπόκριση</w:t>
      </w:r>
      <w:r w:rsidRPr="00F54B01">
        <w:rPr>
          <w:rFonts w:cs="Times New Roman"/>
          <w:spacing w:val="-3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 θεραπεία με </w:t>
      </w:r>
      <w:r w:rsidR="00984DD3" w:rsidRPr="00F54B01">
        <w:rPr>
          <w:rFonts w:cs="Times New Roman"/>
          <w:lang w:val="el-GR"/>
        </w:rPr>
        <w:t>τ</w:t>
      </w:r>
      <w:r w:rsidR="00984DD3">
        <w:rPr>
          <w:rFonts w:cs="Times New Roman"/>
          <w:lang w:val="el-GR"/>
        </w:rPr>
        <w:t>ην</w:t>
      </w:r>
      <w:r w:rsidR="00984DD3" w:rsidRPr="00F54B01">
        <w:rPr>
          <w:rFonts w:cs="Times New Roman"/>
          <w:lang w:val="el-GR"/>
        </w:rPr>
        <w:t xml:space="preserve"> </w:t>
      </w:r>
      <w:r w:rsidR="00984DD3" w:rsidRPr="00085C2F">
        <w:rPr>
          <w:rFonts w:cs="Times New Roman"/>
          <w:lang w:val="el-GR"/>
        </w:rPr>
        <w:t>τενοφοβίρη δισοπρόξιλη</w:t>
      </w:r>
      <w:r w:rsidR="00984DD3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ήταν συγκρίσιμη στους πρωτοθεραπευόμενους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με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νουκλεοσ(τ)ίδια ασθενείς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20) και στους ασθενείς σε προηγούμενη θεραπεία με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νουκλεοσ(τ)ίδια 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32), συμπεριλαμβανομένων των ασθενών με αντοχή </w:t>
      </w:r>
      <w:r w:rsidR="00984DD3" w:rsidRPr="00F54B01">
        <w:rPr>
          <w:rFonts w:cs="Times New Roman"/>
          <w:lang w:val="el-GR"/>
        </w:rPr>
        <w:t>στ</w:t>
      </w:r>
      <w:r w:rsidR="00984DD3">
        <w:rPr>
          <w:rFonts w:cs="Times New Roman"/>
          <w:lang w:val="el-GR"/>
        </w:rPr>
        <w:t>ο</w:t>
      </w:r>
      <w:r w:rsidR="00984DD3" w:rsidRPr="00F54B01">
        <w:rPr>
          <w:rFonts w:cs="Times New Roman"/>
          <w:lang w:val="el-GR"/>
        </w:rPr>
        <w:t xml:space="preserve"> </w:t>
      </w:r>
      <w:r w:rsidR="00643ECB" w:rsidRPr="00FB72E2">
        <w:rPr>
          <w:rFonts w:cs="Times New Roman"/>
          <w:lang w:val="el-GR"/>
        </w:rPr>
        <w:t>λαμιβουδίνη</w:t>
      </w:r>
      <w:r w:rsidR="00984DD3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n</w:t>
      </w:r>
      <w:r w:rsidRPr="00F54B01">
        <w:rPr>
          <w:rFonts w:cs="Times New Roman"/>
          <w:lang w:val="el-GR"/>
        </w:rPr>
        <w:t xml:space="preserve"> = 6). </w:t>
      </w:r>
      <w:r w:rsidR="00585960">
        <w:rPr>
          <w:rFonts w:cs="Times New Roman"/>
          <w:lang w:val="el-GR"/>
        </w:rPr>
        <w:t xml:space="preserve">Το </w:t>
      </w:r>
      <w:r w:rsidR="00643ECB">
        <w:rPr>
          <w:rFonts w:cs="Times New Roman"/>
          <w:lang w:val="el-GR"/>
        </w:rPr>
        <w:t>95%</w:t>
      </w:r>
      <w:r w:rsidRPr="00F54B01">
        <w:rPr>
          <w:rFonts w:cs="Times New Roman"/>
          <w:lang w:val="el-GR"/>
        </w:rPr>
        <w:t xml:space="preserve"> των πρωτοθεραπευόμενων με νουκλεοσ(τ)ίδια ασθενών,</w:t>
      </w:r>
      <w:r w:rsidR="00585960">
        <w:rPr>
          <w:rFonts w:cs="Times New Roman"/>
          <w:lang w:val="el-GR"/>
        </w:rPr>
        <w:t xml:space="preserve"> το</w:t>
      </w:r>
      <w:r w:rsidRPr="00F54B01">
        <w:rPr>
          <w:rFonts w:cs="Times New Roman"/>
          <w:lang w:val="el-GR"/>
        </w:rPr>
        <w:t xml:space="preserve"> 84% των ασθενών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σε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προηγούμενη θεραπεία με νουκλεοσ(τ)ίδια και </w:t>
      </w:r>
      <w:r w:rsidR="00585960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 xml:space="preserve">83% των ασθενών με αντοχή </w:t>
      </w:r>
      <w:r w:rsidR="00984DD3" w:rsidRPr="00F54B01">
        <w:rPr>
          <w:rFonts w:cs="Times New Roman"/>
          <w:lang w:val="el-GR"/>
        </w:rPr>
        <w:t>στ</w:t>
      </w:r>
      <w:r w:rsidR="00984DD3">
        <w:rPr>
          <w:rFonts w:cs="Times New Roman"/>
          <w:lang w:val="el-GR"/>
        </w:rPr>
        <w:t>ο</w:t>
      </w:r>
      <w:r w:rsidR="00984DD3" w:rsidRPr="00F54B01">
        <w:rPr>
          <w:rFonts w:cs="Times New Roman"/>
          <w:lang w:val="el-GR"/>
        </w:rPr>
        <w:t xml:space="preserve"> </w:t>
      </w:r>
      <w:r w:rsidR="00643ECB" w:rsidRPr="00FB72E2">
        <w:rPr>
          <w:rFonts w:cs="Times New Roman"/>
          <w:lang w:val="el-GR"/>
        </w:rPr>
        <w:t>λαμιβουδίνη</w:t>
      </w:r>
      <w:r w:rsidR="00984DD3"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πέτυχαν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 xml:space="preserve"> &lt;400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κατά την 72</w:t>
      </w:r>
      <w:r w:rsidRPr="00F54B01">
        <w:rPr>
          <w:rFonts w:cs="Times New Roman"/>
          <w:position w:val="10"/>
          <w:sz w:val="14"/>
          <w:szCs w:val="14"/>
          <w:lang w:val="el-GR"/>
        </w:rPr>
        <w:t xml:space="preserve">η </w:t>
      </w:r>
      <w:r w:rsidRPr="00F54B01">
        <w:rPr>
          <w:rFonts w:cs="Times New Roman"/>
          <w:lang w:val="el-GR"/>
        </w:rPr>
        <w:t xml:space="preserve">εβδομάδα. </w:t>
      </w:r>
      <w:r w:rsidR="00643ECB">
        <w:rPr>
          <w:rFonts w:cs="Times New Roman"/>
          <w:lang w:val="el-GR"/>
        </w:rPr>
        <w:t>31</w:t>
      </w:r>
      <w:r w:rsidRPr="00F54B01">
        <w:rPr>
          <w:rFonts w:cs="Times New Roman"/>
          <w:lang w:val="el-GR"/>
        </w:rPr>
        <w:t xml:space="preserve"> από τους 32 ασθενείς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>σε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προηγούμενη θεραπεία με νουκλεοσ(τ)ίδια είχαν λάβει προηγούμενη θεραπεία με </w:t>
      </w:r>
      <w:r w:rsidR="00643ECB" w:rsidRPr="00FB72E2">
        <w:rPr>
          <w:rFonts w:cs="Times New Roman"/>
          <w:lang w:val="el-GR"/>
        </w:rPr>
        <w:t>λαμιβουδίνη</w:t>
      </w:r>
      <w:r w:rsidRPr="00F54B01">
        <w:rPr>
          <w:rFonts w:cs="Times New Roman"/>
          <w:lang w:val="el-GR"/>
        </w:rPr>
        <w:t>.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Κατά την 72</w:t>
      </w:r>
      <w:r w:rsidRPr="00F54B01">
        <w:rPr>
          <w:rFonts w:cs="Times New Roman"/>
          <w:position w:val="10"/>
          <w:sz w:val="14"/>
          <w:szCs w:val="14"/>
          <w:lang w:val="el-GR"/>
        </w:rPr>
        <w:t xml:space="preserve">η </w:t>
      </w:r>
      <w:r w:rsidRPr="00F54B01">
        <w:rPr>
          <w:rFonts w:cs="Times New Roman"/>
          <w:lang w:val="el-GR"/>
        </w:rPr>
        <w:t xml:space="preserve">εβδομάδα, </w:t>
      </w:r>
      <w:r w:rsidR="00585960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96% (27/28) των ανοσολογικά ενεργών ασθενών (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 xml:space="preserve"> ≥10</w:t>
      </w:r>
      <w:r w:rsidRPr="00F54B01">
        <w:rPr>
          <w:rFonts w:cs="Times New Roman"/>
          <w:position w:val="10"/>
          <w:sz w:val="14"/>
          <w:szCs w:val="14"/>
          <w:lang w:val="el-GR"/>
        </w:rPr>
        <w:t>5</w:t>
      </w:r>
      <w:r w:rsidRPr="00F54B01">
        <w:rPr>
          <w:rFonts w:cs="Times New Roman"/>
          <w:spacing w:val="-13"/>
          <w:position w:val="10"/>
          <w:sz w:val="14"/>
          <w:szCs w:val="14"/>
          <w:lang w:val="el-GR"/>
        </w:rPr>
        <w:t xml:space="preserve"> </w:t>
      </w:r>
      <w:r w:rsidRPr="00F54B01">
        <w:rPr>
          <w:rFonts w:cs="Times New Roman"/>
          <w:lang w:val="el-GR"/>
        </w:rPr>
        <w:t>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,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στον ορό &gt;1,5 </w:t>
      </w:r>
      <w:r w:rsidRPr="00F54B01">
        <w:rPr>
          <w:rFonts w:cs="Times New Roman"/>
        </w:rPr>
        <w:t>x</w:t>
      </w:r>
      <w:r w:rsidRPr="00F54B01">
        <w:rPr>
          <w:rFonts w:cs="Times New Roman"/>
          <w:lang w:val="el-GR"/>
        </w:rPr>
        <w:t xml:space="preserve"> ΑΦΟ) στην ομάδα θεραπείας με </w:t>
      </w:r>
      <w:r w:rsidR="00984DD3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και </w:t>
      </w:r>
      <w:r w:rsidR="00585960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0%</w:t>
      </w:r>
      <w:r w:rsidRPr="00F54B01">
        <w:rPr>
          <w:rFonts w:cs="Times New Roman"/>
          <w:spacing w:val="-20"/>
          <w:lang w:val="el-GR"/>
        </w:rPr>
        <w:t xml:space="preserve"> </w:t>
      </w:r>
      <w:r w:rsidR="00585960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(0/32) των ασθενών στην ομάδα του εικονικού φαρμάκου είχαν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DNA</w:t>
      </w:r>
      <w:r w:rsidRPr="00F54B01">
        <w:rPr>
          <w:rFonts w:cs="Times New Roman"/>
          <w:lang w:val="el-GR"/>
        </w:rPr>
        <w:t xml:space="preserve"> &lt;400 αντίγραφα/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.</w:t>
      </w:r>
      <w:r w:rsidRPr="00F54B01">
        <w:rPr>
          <w:rFonts w:cs="Times New Roman"/>
          <w:spacing w:val="-16"/>
          <w:lang w:val="el-GR"/>
        </w:rPr>
        <w:t xml:space="preserve"> </w:t>
      </w:r>
      <w:r w:rsidR="00585960">
        <w:rPr>
          <w:rFonts w:cs="Times New Roman"/>
          <w:spacing w:val="-16"/>
          <w:lang w:val="el-GR"/>
        </w:rPr>
        <w:t xml:space="preserve">Το </w:t>
      </w:r>
      <w:r w:rsidR="00643ECB">
        <w:rPr>
          <w:rFonts w:cs="Times New Roman"/>
          <w:lang w:val="el-GR"/>
        </w:rPr>
        <w:t xml:space="preserve">75% </w:t>
      </w:r>
      <w:r w:rsidRPr="00F54B01">
        <w:rPr>
          <w:rFonts w:cs="Times New Roman"/>
          <w:lang w:val="el-GR"/>
        </w:rPr>
        <w:t xml:space="preserve"> (21/28) των ανοσολογικά ενεργών ασθενών στην ομάδα </w:t>
      </w:r>
      <w:r w:rsidR="00984DD3">
        <w:rPr>
          <w:rFonts w:cs="Times New Roman"/>
          <w:lang w:val="el-GR"/>
        </w:rPr>
        <w:t xml:space="preserve">της </w:t>
      </w:r>
      <w:r w:rsidR="00984DD3" w:rsidRPr="00085C2F">
        <w:rPr>
          <w:rFonts w:cs="Times New Roman"/>
          <w:lang w:val="el-GR"/>
        </w:rPr>
        <w:t>τενοφοβίρη</w:t>
      </w:r>
      <w:r w:rsidR="00984DD3">
        <w:rPr>
          <w:rFonts w:cs="Times New Roman"/>
          <w:lang w:val="el-GR"/>
        </w:rPr>
        <w:t>ς</w:t>
      </w:r>
      <w:r w:rsidR="00984DD3" w:rsidRPr="00085C2F">
        <w:rPr>
          <w:rFonts w:cs="Times New Roman"/>
          <w:lang w:val="el-GR"/>
        </w:rPr>
        <w:t xml:space="preserve"> δισοπρόξιλη</w:t>
      </w:r>
      <w:r w:rsidR="00984DD3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είχ</w:t>
      </w:r>
      <w:r w:rsidR="00585960">
        <w:rPr>
          <w:rFonts w:cs="Times New Roman"/>
          <w:lang w:val="el-GR"/>
        </w:rPr>
        <w:t>ε</w:t>
      </w:r>
      <w:r w:rsidRPr="00F54B01">
        <w:rPr>
          <w:rFonts w:cs="Times New Roman"/>
          <w:lang w:val="el-GR"/>
        </w:rPr>
        <w:t xml:space="preserve"> φυσιολογική </w:t>
      </w:r>
      <w:r w:rsidRPr="00F54B01">
        <w:rPr>
          <w:rFonts w:cs="Times New Roman"/>
        </w:rPr>
        <w:t>ALT</w:t>
      </w:r>
      <w:r w:rsidRPr="00F54B01">
        <w:rPr>
          <w:rFonts w:cs="Times New Roman"/>
          <w:lang w:val="el-GR"/>
        </w:rPr>
        <w:t xml:space="preserve"> κατά την 72</w:t>
      </w:r>
      <w:r w:rsidRPr="00F54B01">
        <w:rPr>
          <w:rFonts w:cs="Times New Roman"/>
          <w:position w:val="10"/>
          <w:sz w:val="14"/>
          <w:szCs w:val="14"/>
          <w:lang w:val="el-GR"/>
        </w:rPr>
        <w:t xml:space="preserve">η  </w:t>
      </w:r>
      <w:r w:rsidRPr="00F54B01">
        <w:rPr>
          <w:rFonts w:cs="Times New Roman"/>
          <w:lang w:val="el-GR"/>
        </w:rPr>
        <w:t xml:space="preserve">εβδομάδα σε σύγκριση με </w:t>
      </w:r>
      <w:r w:rsidR="00585960">
        <w:rPr>
          <w:rFonts w:cs="Times New Roman"/>
          <w:lang w:val="el-GR"/>
        </w:rPr>
        <w:t xml:space="preserve">το </w:t>
      </w:r>
      <w:r w:rsidRPr="00F54B01">
        <w:rPr>
          <w:rFonts w:cs="Times New Roman"/>
          <w:lang w:val="el-GR"/>
        </w:rPr>
        <w:t>34% (11/32) στην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ομάδα του εικονικού</w:t>
      </w:r>
      <w:r w:rsidRPr="00F54B01">
        <w:rPr>
          <w:rFonts w:cs="Times New Roman"/>
          <w:spacing w:val="-4"/>
          <w:lang w:val="el-GR"/>
        </w:rPr>
        <w:t xml:space="preserve"> </w:t>
      </w:r>
      <w:r w:rsidRPr="00F54B01">
        <w:rPr>
          <w:rFonts w:cs="Times New Roman"/>
          <w:lang w:val="el-GR"/>
        </w:rPr>
        <w:t>φαρμάκου.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Κανείς ασθενής δεν ικανοποίησε το πρωτογενές καταληκτικό σημείο ασφάλειας μιας μείωσης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κατά 6% στην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της οσφυϊκής μοίρας της σπονδυλικής στήλης. Στους ασθενείς που έλαβαν</w:t>
      </w:r>
      <w:r w:rsidRPr="00F54B01">
        <w:rPr>
          <w:rFonts w:cs="Times New Roman"/>
          <w:spacing w:val="-20"/>
          <w:lang w:val="el-GR"/>
        </w:rPr>
        <w:t xml:space="preserve"> </w:t>
      </w:r>
      <w:r w:rsidR="00984DD3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ή εικονικό φάρμακο, η μέση (</w:t>
      </w:r>
      <w:r w:rsidRPr="00F54B01">
        <w:rPr>
          <w:rFonts w:cs="Times New Roman"/>
        </w:rPr>
        <w:t>SD</w:t>
      </w:r>
      <w:r w:rsidRPr="00F54B01">
        <w:rPr>
          <w:rFonts w:cs="Times New Roman"/>
          <w:lang w:val="el-GR"/>
        </w:rPr>
        <w:t xml:space="preserve">) βαθμολογία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οσφυϊκής μοίρας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της σπονδυλικής στήλης ήταν -0,43 (0,764) και -0,28 (0,813) και η μέση ολοσωματική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βαθμολογία</w:t>
      </w:r>
      <w:r w:rsidR="00F54B01" w:rsidRPr="00F54B01">
        <w:rPr>
          <w:rFonts w:cs="Times New Roman"/>
          <w:lang w:val="el-GR"/>
        </w:rPr>
        <w:t xml:space="preserve">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ήταν -0,20 (1,126) και -0,26 (0,878), αντίστοιχα, κατά την έναρξη της μελέτης. Η μέση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>(</w:t>
      </w:r>
      <w:r w:rsidRPr="00F54B01">
        <w:rPr>
          <w:rFonts w:cs="Times New Roman"/>
        </w:rPr>
        <w:t>SD</w:t>
      </w:r>
      <w:r w:rsidRPr="00F54B01">
        <w:rPr>
          <w:rFonts w:cs="Times New Roman"/>
          <w:lang w:val="el-GR"/>
        </w:rPr>
        <w:t xml:space="preserve">) μεταβολή στη βαθμολογία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οσφυϊκής μοίρας της σπονδυλικής στήλης από την τιμή κατά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την έναρξη έως την 72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 xml:space="preserve">εβδομάδα στους ασθενείς που έλαβαν </w:t>
      </w:r>
      <w:r w:rsidR="00984DD3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ήταν</w:t>
      </w:r>
      <w:r w:rsidRPr="00F54B01">
        <w:rPr>
          <w:rFonts w:cs="Times New Roman"/>
          <w:spacing w:val="-36"/>
          <w:lang w:val="el-GR"/>
        </w:rPr>
        <w:t xml:space="preserve"> </w:t>
      </w:r>
      <w:r w:rsidRPr="00F54B01">
        <w:rPr>
          <w:rFonts w:cs="Times New Roman"/>
          <w:lang w:val="el-GR"/>
        </w:rPr>
        <w:t>-0,05 (0,310) και 0,07 (0,377) στους ασθενείς που έλαβαν εικονικό φάρμακο. Η μέση μεταβολή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στην ολοσωματική βαθμολογία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στους ασθενείς που έλαβαν </w:t>
      </w:r>
      <w:r w:rsidR="00984DD3" w:rsidRPr="00085C2F">
        <w:rPr>
          <w:rFonts w:cs="Times New Roman"/>
          <w:lang w:val="el-GR"/>
        </w:rPr>
        <w:t>τενοφοβίρη δισοπρόξιλη</w:t>
      </w:r>
      <w:r w:rsidR="00CF210F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ήταν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0,15 (0,379) και 0,06 (0,361) στους ασθενείς που έλαβαν εικονικό φάρμακο. Οι βαθμολογίες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</w:rPr>
        <w:t>Z</w:t>
      </w:r>
      <w:r w:rsidRPr="00F54B01">
        <w:rPr>
          <w:rFonts w:cs="Times New Roman"/>
          <w:lang w:val="el-GR"/>
        </w:rPr>
        <w:t xml:space="preserve"> δεν προσαρμόστηκαν για ύψος και βάρος. Η μέση εκατοσ</w:t>
      </w:r>
      <w:r w:rsidR="00CF210F">
        <w:rPr>
          <w:rFonts w:cs="Times New Roman"/>
          <w:lang w:val="el-GR"/>
        </w:rPr>
        <w:t xml:space="preserve">τιαία αύξηση στην ολοσωματική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και εκείνη της οσφυϊκής μοίρας της σπονδυλικής στήλης από την τιμή κατά την έναρξη έως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την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72</w:t>
      </w:r>
      <w:r w:rsidRPr="00F54B01">
        <w:rPr>
          <w:rFonts w:cs="Times New Roman"/>
          <w:position w:val="10"/>
          <w:sz w:val="14"/>
          <w:lang w:val="el-GR"/>
        </w:rPr>
        <w:t xml:space="preserve">η </w:t>
      </w:r>
      <w:r w:rsidRPr="00F54B01">
        <w:rPr>
          <w:rFonts w:cs="Times New Roman"/>
          <w:lang w:val="el-GR"/>
        </w:rPr>
        <w:t xml:space="preserve">εβδομάδα ήταν 2,84% και 4,95%, αντίστοιχα, σε ασθενείς που έλαβαν </w:t>
      </w:r>
      <w:r w:rsidR="00F66C70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. Αυτές οι μέσες εκατοστιαίες αυξήσεις στην ολοσωματική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 xml:space="preserve"> και εκείνη της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οσφυϊκής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μοίρας της σπονδυλικής στήλης ήταν κατά 2,53% και 3,19% μικρότερες, αντίστοιχα, σε σύγκριση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τους ασθενείς που έλαβαν εικονικό φάρμακο. Τρεις ασθενείς στην ομάδα </w:t>
      </w:r>
      <w:r w:rsidR="00F66C70">
        <w:rPr>
          <w:rFonts w:cs="Times New Roman"/>
          <w:lang w:val="el-GR"/>
        </w:rPr>
        <w:t xml:space="preserve">της </w:t>
      </w:r>
      <w:r w:rsidR="00F66C70" w:rsidRPr="00085C2F">
        <w:rPr>
          <w:rFonts w:cs="Times New Roman"/>
          <w:lang w:val="el-GR"/>
        </w:rPr>
        <w:t>τενοφοβίρη</w:t>
      </w:r>
      <w:r w:rsidR="00F66C70">
        <w:rPr>
          <w:rFonts w:cs="Times New Roman"/>
          <w:lang w:val="el-GR"/>
        </w:rPr>
        <w:t>ς</w:t>
      </w:r>
      <w:r w:rsidR="00F66C70" w:rsidRPr="00085C2F">
        <w:rPr>
          <w:rFonts w:cs="Times New Roman"/>
          <w:lang w:val="el-GR"/>
        </w:rPr>
        <w:t xml:space="preserve"> δισοπρόξιλη</w:t>
      </w:r>
      <w:r w:rsidR="00F66C70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και 2 ασθενείς στην ομάδα του εικονικού φαρμάκου είχαν μείωση &gt;4% της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>στη σπονδυλική</w:t>
      </w:r>
      <w:r w:rsidRPr="00F54B01">
        <w:rPr>
          <w:rFonts w:cs="Times New Roman"/>
          <w:spacing w:val="-5"/>
          <w:lang w:val="el-GR"/>
        </w:rPr>
        <w:t xml:space="preserve"> </w:t>
      </w:r>
      <w:r w:rsidRPr="00F54B01">
        <w:rPr>
          <w:rFonts w:cs="Times New Roman"/>
          <w:lang w:val="el-GR"/>
        </w:rPr>
        <w:t>στήλη.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Ο Ευρωπαϊκός Οργανισμός Φαρμάκων έχει δώσει αναβολή από την υποχρέωση υποβολής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των αποτελεσμάτων των μελετών με </w:t>
      </w:r>
      <w:r w:rsidR="003D4CFC">
        <w:rPr>
          <w:rFonts w:cs="Times New Roman"/>
          <w:lang w:val="el-GR"/>
        </w:rPr>
        <w:t>την τενοφοβίρη</w:t>
      </w:r>
      <w:r w:rsidRPr="00F54B01">
        <w:rPr>
          <w:rFonts w:cs="Times New Roman"/>
          <w:lang w:val="el-GR"/>
        </w:rPr>
        <w:t xml:space="preserve"> </w:t>
      </w:r>
      <w:r w:rsidR="00E7353A">
        <w:rPr>
          <w:rFonts w:cs="Times New Roman"/>
          <w:lang w:val="el-GR"/>
        </w:rPr>
        <w:t xml:space="preserve">δισοπρόξιλη </w:t>
      </w:r>
      <w:r w:rsidRPr="00F54B01">
        <w:rPr>
          <w:rFonts w:cs="Times New Roman"/>
          <w:lang w:val="el-GR"/>
        </w:rPr>
        <w:t>σε μία ή περισσότερες υποκατηγορίες του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παιδιατρικού πληθυσμού στη λοίμωξη </w:t>
      </w:r>
      <w:r w:rsidRPr="00F54B01">
        <w:rPr>
          <w:rFonts w:cs="Times New Roman"/>
          <w:spacing w:val="-2"/>
          <w:lang w:val="el-GR"/>
        </w:rPr>
        <w:t xml:space="preserve">από </w:t>
      </w:r>
      <w:r w:rsidRPr="00F54B01">
        <w:rPr>
          <w:rFonts w:cs="Times New Roman"/>
          <w:lang w:val="el-GR"/>
        </w:rPr>
        <w:t xml:space="preserve">τον ιό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="00585960">
        <w:rPr>
          <w:rFonts w:cs="Times New Roman"/>
          <w:lang w:val="el-GR"/>
        </w:rPr>
        <w:t xml:space="preserve">και </w:t>
      </w:r>
      <w:r w:rsidRPr="00F54B01">
        <w:rPr>
          <w:rFonts w:cs="Times New Roman"/>
          <w:lang w:val="el-GR"/>
        </w:rPr>
        <w:t xml:space="preserve">τη χρόνια ηπατίτιδα </w:t>
      </w:r>
      <w:r w:rsidRPr="00F54B01">
        <w:rPr>
          <w:rFonts w:cs="Times New Roman"/>
        </w:rPr>
        <w:t>B</w:t>
      </w:r>
      <w:r w:rsidRPr="00F54B01">
        <w:rPr>
          <w:rFonts w:cs="Times New Roman"/>
          <w:lang w:val="el-GR"/>
        </w:rPr>
        <w:t xml:space="preserve"> (βλ. παράγραφο 4.2</w:t>
      </w:r>
      <w:r w:rsidRPr="00F54B01">
        <w:rPr>
          <w:rFonts w:cs="Times New Roman"/>
          <w:spacing w:val="1"/>
          <w:lang w:val="el-GR"/>
        </w:rPr>
        <w:t xml:space="preserve"> </w:t>
      </w:r>
      <w:r w:rsidRPr="00F54B01">
        <w:rPr>
          <w:rFonts w:cs="Times New Roman"/>
          <w:lang w:val="el-GR"/>
        </w:rPr>
        <w:t>για πληροφορίες σχετικά με την παιδιατρική</w:t>
      </w:r>
      <w:r w:rsidRPr="00F54B01">
        <w:rPr>
          <w:rFonts w:cs="Times New Roman"/>
          <w:spacing w:val="-7"/>
          <w:lang w:val="el-GR"/>
        </w:rPr>
        <w:t xml:space="preserve"> </w:t>
      </w:r>
      <w:r w:rsidRPr="00F54B01">
        <w:rPr>
          <w:rFonts w:cs="Times New Roman"/>
          <w:lang w:val="el-GR"/>
        </w:rPr>
        <w:t>χρήση).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</w:rPr>
      </w:pPr>
      <w:r w:rsidRPr="00F54B01">
        <w:rPr>
          <w:rFonts w:ascii="Times New Roman" w:hAnsi="Times New Roman" w:cs="Times New Roman"/>
          <w:b/>
        </w:rPr>
        <w:t>Φαρμακοκινητικές ιδιότητες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3D4CFC" w:rsidRDefault="00F66C70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Η </w:t>
      </w:r>
      <w:r w:rsidRPr="00085C2F">
        <w:rPr>
          <w:rFonts w:cs="Times New Roman"/>
          <w:lang w:val="el-GR"/>
        </w:rPr>
        <w:t>τενοφοβίρη δισοπρόξιλη</w:t>
      </w:r>
      <w:r w:rsidR="00302B89" w:rsidRPr="003D4CFC">
        <w:rPr>
          <w:rFonts w:cs="Times New Roman"/>
          <w:lang w:val="el-GR"/>
        </w:rPr>
        <w:t xml:space="preserve"> είναι ένα υδατοδιαλυτό εστερικό προφάρμακο το οποίο</w:t>
      </w:r>
      <w:r w:rsidR="00302B89" w:rsidRPr="003D4CFC">
        <w:rPr>
          <w:rFonts w:cs="Times New Roman"/>
          <w:spacing w:val="-25"/>
          <w:lang w:val="el-GR"/>
        </w:rPr>
        <w:t xml:space="preserve"> </w:t>
      </w:r>
      <w:r w:rsidR="00302B89" w:rsidRPr="003D4CFC">
        <w:rPr>
          <w:rFonts w:cs="Times New Roman"/>
          <w:lang w:val="el-GR"/>
        </w:rPr>
        <w:t xml:space="preserve">μετατρέπεται ταχέως </w:t>
      </w:r>
      <w:r w:rsidR="00302B89" w:rsidRPr="00F54B01">
        <w:rPr>
          <w:rFonts w:cs="Times New Roman"/>
          <w:i/>
        </w:rPr>
        <w:t>in</w:t>
      </w:r>
      <w:r w:rsidR="00302B89" w:rsidRPr="003D4CFC">
        <w:rPr>
          <w:rFonts w:cs="Times New Roman"/>
          <w:i/>
          <w:lang w:val="el-GR"/>
        </w:rPr>
        <w:t xml:space="preserve"> </w:t>
      </w:r>
      <w:r w:rsidR="00302B89" w:rsidRPr="00F54B01">
        <w:rPr>
          <w:rFonts w:cs="Times New Roman"/>
          <w:i/>
        </w:rPr>
        <w:t>vivo</w:t>
      </w:r>
      <w:r w:rsidR="00302B89" w:rsidRPr="003D4CFC">
        <w:rPr>
          <w:rFonts w:cs="Times New Roman"/>
          <w:i/>
          <w:lang w:val="el-GR"/>
        </w:rPr>
        <w:t xml:space="preserve"> </w:t>
      </w:r>
      <w:r w:rsidR="00302B89" w:rsidRPr="003D4CFC">
        <w:rPr>
          <w:rFonts w:cs="Times New Roman"/>
          <w:lang w:val="el-GR"/>
        </w:rPr>
        <w:t xml:space="preserve">σε </w:t>
      </w:r>
      <w:r>
        <w:rPr>
          <w:rFonts w:cs="Times New Roman"/>
          <w:lang w:val="el-GR"/>
        </w:rPr>
        <w:t>τενοφοβίρη</w:t>
      </w:r>
      <w:r w:rsidRPr="003D4CFC">
        <w:rPr>
          <w:rFonts w:cs="Times New Roman"/>
          <w:lang w:val="el-GR"/>
        </w:rPr>
        <w:t xml:space="preserve"> </w:t>
      </w:r>
      <w:r w:rsidR="00302B89" w:rsidRPr="003D4CFC">
        <w:rPr>
          <w:rFonts w:cs="Times New Roman"/>
          <w:lang w:val="el-GR"/>
        </w:rPr>
        <w:t>και</w:t>
      </w:r>
      <w:r w:rsidR="00302B89" w:rsidRPr="003D4CFC">
        <w:rPr>
          <w:rFonts w:cs="Times New Roman"/>
          <w:spacing w:val="-11"/>
          <w:lang w:val="el-GR"/>
        </w:rPr>
        <w:t xml:space="preserve"> </w:t>
      </w:r>
      <w:r w:rsidR="00AC6FBC" w:rsidRPr="003D4CFC">
        <w:rPr>
          <w:rFonts w:cs="Times New Roman"/>
          <w:lang w:val="el-GR"/>
        </w:rPr>
        <w:t>φορμαλδεΰδη</w:t>
      </w:r>
      <w:r w:rsidR="00302B89" w:rsidRPr="003D4CFC">
        <w:rPr>
          <w:rFonts w:cs="Times New Roman"/>
          <w:lang w:val="el-GR"/>
        </w:rPr>
        <w:t>.</w:t>
      </w:r>
    </w:p>
    <w:p w:rsidR="009D104A" w:rsidRPr="003D4CFC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3D4CFC" w:rsidRDefault="00F66C70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Η τενοφοβίρη</w:t>
      </w:r>
      <w:r w:rsidR="00302B89" w:rsidRPr="003D4CFC">
        <w:rPr>
          <w:rFonts w:cs="Times New Roman"/>
          <w:lang w:val="el-GR"/>
        </w:rPr>
        <w:t xml:space="preserve"> μετατρέπεται ενδοκυτταρικά σε </w:t>
      </w:r>
      <w:r>
        <w:rPr>
          <w:rFonts w:cs="Times New Roman"/>
          <w:lang w:val="el-GR"/>
        </w:rPr>
        <w:t>τενοφοβίρη μονοφωσφ</w:t>
      </w:r>
      <w:r w:rsidR="000E77EB">
        <w:rPr>
          <w:rFonts w:cs="Times New Roman"/>
          <w:lang w:val="el-GR"/>
        </w:rPr>
        <w:t>ορική</w:t>
      </w:r>
      <w:r w:rsidR="00CF210F">
        <w:rPr>
          <w:rFonts w:cs="Times New Roman"/>
          <w:lang w:val="el-GR"/>
        </w:rPr>
        <w:t xml:space="preserve"> και </w:t>
      </w:r>
      <w:r w:rsidR="00302B89" w:rsidRPr="003D4CFC">
        <w:rPr>
          <w:rFonts w:cs="Times New Roman"/>
          <w:lang w:val="el-GR"/>
        </w:rPr>
        <w:t>τη δραστική ουσία</w:t>
      </w:r>
      <w:r w:rsidR="00302B89" w:rsidRPr="003D4CFC">
        <w:rPr>
          <w:rFonts w:cs="Times New Roman"/>
          <w:spacing w:val="-25"/>
          <w:lang w:val="el-GR"/>
        </w:rPr>
        <w:t xml:space="preserve"> </w:t>
      </w:r>
      <w:r w:rsidR="000E77EB">
        <w:rPr>
          <w:rFonts w:cs="Times New Roman"/>
          <w:lang w:val="el-GR"/>
        </w:rPr>
        <w:t>η τενοφοβίρη διφωσφορική</w:t>
      </w:r>
      <w:r w:rsidR="00302B89" w:rsidRPr="003D4CFC">
        <w:rPr>
          <w:rFonts w:cs="Times New Roman"/>
          <w:lang w:val="el-GR"/>
        </w:rPr>
        <w:t>.</w:t>
      </w:r>
    </w:p>
    <w:p w:rsidR="009D104A" w:rsidRPr="003D4CFC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Απορρόφηση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Μετά τη χορήγηση </w:t>
      </w:r>
      <w:r w:rsidR="000E77EB">
        <w:rPr>
          <w:rFonts w:cs="Times New Roman"/>
          <w:lang w:val="el-GR"/>
        </w:rPr>
        <w:t xml:space="preserve">της </w:t>
      </w:r>
      <w:r w:rsidR="000E77EB" w:rsidRPr="00085C2F">
        <w:rPr>
          <w:rFonts w:cs="Times New Roman"/>
          <w:lang w:val="el-GR"/>
        </w:rPr>
        <w:t>τενοφοβίρη</w:t>
      </w:r>
      <w:r w:rsidR="000E77EB">
        <w:rPr>
          <w:rFonts w:cs="Times New Roman"/>
          <w:lang w:val="el-GR"/>
        </w:rPr>
        <w:t>ς</w:t>
      </w:r>
      <w:r w:rsidR="000E77EB" w:rsidRPr="00085C2F">
        <w:rPr>
          <w:rFonts w:cs="Times New Roman"/>
          <w:lang w:val="el-GR"/>
        </w:rPr>
        <w:t xml:space="preserve"> δισοπρόξιλη</w:t>
      </w:r>
      <w:r w:rsidR="000E77EB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από του στόματος σε ασθενείς με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,</w:t>
      </w:r>
      <w:r w:rsidRPr="00F54B01">
        <w:rPr>
          <w:rFonts w:cs="Times New Roman"/>
          <w:spacing w:val="-24"/>
          <w:lang w:val="el-GR"/>
        </w:rPr>
        <w:t xml:space="preserve"> </w:t>
      </w:r>
      <w:r w:rsidR="000E77EB">
        <w:rPr>
          <w:rFonts w:cs="Times New Roman"/>
          <w:lang w:val="el-GR"/>
        </w:rPr>
        <w:t xml:space="preserve">η </w:t>
      </w:r>
      <w:r w:rsidR="000E77EB" w:rsidRPr="00085C2F">
        <w:rPr>
          <w:rFonts w:cs="Times New Roman"/>
          <w:lang w:val="el-GR"/>
        </w:rPr>
        <w:t xml:space="preserve">τενοφοβίρη </w:t>
      </w:r>
      <w:r w:rsidR="000E77EB" w:rsidRPr="00085C2F">
        <w:rPr>
          <w:rFonts w:cs="Times New Roman"/>
          <w:lang w:val="el-GR"/>
        </w:rPr>
        <w:lastRenderedPageBreak/>
        <w:t>δισοπρόξιλη</w:t>
      </w:r>
      <w:r w:rsidRPr="00F54B01">
        <w:rPr>
          <w:rFonts w:cs="Times New Roman"/>
          <w:lang w:val="el-GR"/>
        </w:rPr>
        <w:t xml:space="preserve"> απορροφάται γρήγορα και μετατρέπεται σε </w:t>
      </w:r>
      <w:r w:rsidR="000E77EB">
        <w:rPr>
          <w:rFonts w:cs="Times New Roman"/>
          <w:lang w:val="el-GR"/>
        </w:rPr>
        <w:t>τενοφοβίρη</w:t>
      </w:r>
      <w:r w:rsidRPr="00F54B01">
        <w:rPr>
          <w:rFonts w:cs="Times New Roman"/>
          <w:lang w:val="el-GR"/>
        </w:rPr>
        <w:t>. Η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χορήγηση πολλαπλών δόσεων </w:t>
      </w:r>
      <w:r w:rsidR="000E77EB" w:rsidRPr="00085C2F">
        <w:rPr>
          <w:rFonts w:cs="Times New Roman"/>
          <w:lang w:val="el-GR"/>
        </w:rPr>
        <w:t>τενοφοβίρη</w:t>
      </w:r>
      <w:r w:rsidR="000E77EB">
        <w:rPr>
          <w:rFonts w:cs="Times New Roman"/>
          <w:lang w:val="el-GR"/>
        </w:rPr>
        <w:t>ς</w:t>
      </w:r>
      <w:r w:rsidR="000E77EB" w:rsidRPr="00085C2F">
        <w:rPr>
          <w:rFonts w:cs="Times New Roman"/>
          <w:lang w:val="el-GR"/>
        </w:rPr>
        <w:t xml:space="preserve"> δισοπρόξιλη</w:t>
      </w:r>
      <w:r w:rsidR="000E77EB">
        <w:rPr>
          <w:rFonts w:cs="Times New Roman"/>
          <w:lang w:val="el-GR"/>
        </w:rPr>
        <w:t xml:space="preserve">ς </w:t>
      </w:r>
      <w:r w:rsidRPr="00F54B01">
        <w:rPr>
          <w:rFonts w:cs="Times New Roman"/>
          <w:lang w:val="el-GR"/>
        </w:rPr>
        <w:t xml:space="preserve"> μαζί με γεύμα σε ασθενείς με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 είχε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ως αποτέλεσμα μέσες τιμές (% </w:t>
      </w:r>
      <w:r w:rsidRPr="00F54B01">
        <w:rPr>
          <w:rFonts w:cs="Times New Roman"/>
        </w:rPr>
        <w:t>CV</w:t>
      </w:r>
      <w:r w:rsidRPr="00F54B01">
        <w:rPr>
          <w:rFonts w:cs="Times New Roman"/>
          <w:lang w:val="el-GR"/>
        </w:rPr>
        <w:t xml:space="preserve">) </w:t>
      </w:r>
      <w:r w:rsidR="000E77EB">
        <w:rPr>
          <w:rFonts w:cs="Times New Roman"/>
          <w:lang w:val="el-GR"/>
        </w:rPr>
        <w:t>τενοφοβίρης</w:t>
      </w:r>
      <w:r w:rsidR="000E77EB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C</w:t>
      </w:r>
      <w:r w:rsidRPr="00F54B01">
        <w:rPr>
          <w:rFonts w:cs="Times New Roman"/>
          <w:position w:val="-2"/>
          <w:sz w:val="14"/>
        </w:rPr>
        <w:t>max</w:t>
      </w:r>
      <w:r w:rsidRPr="00F54B01">
        <w:rPr>
          <w:rFonts w:cs="Times New Roman"/>
          <w:lang w:val="el-GR"/>
        </w:rPr>
        <w:t xml:space="preserve">, </w:t>
      </w:r>
      <w:r w:rsidRPr="00F54B01">
        <w:rPr>
          <w:rFonts w:cs="Times New Roman"/>
        </w:rPr>
        <w:t>AUC</w:t>
      </w:r>
      <w:r w:rsidRPr="00F54B01">
        <w:rPr>
          <w:rFonts w:cs="Times New Roman"/>
          <w:lang w:val="el-GR"/>
        </w:rPr>
        <w:t xml:space="preserve"> και </w:t>
      </w:r>
      <w:r w:rsidRPr="00F54B01">
        <w:rPr>
          <w:rFonts w:cs="Times New Roman"/>
        </w:rPr>
        <w:t>C</w:t>
      </w:r>
      <w:r w:rsidRPr="00F54B01">
        <w:rPr>
          <w:rFonts w:cs="Times New Roman"/>
          <w:position w:val="-2"/>
          <w:sz w:val="14"/>
        </w:rPr>
        <w:t>min</w:t>
      </w:r>
      <w:r w:rsidRPr="00F54B01">
        <w:rPr>
          <w:rFonts w:cs="Times New Roman"/>
          <w:position w:val="-2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326 (36,6%)</w:t>
      </w:r>
      <w:r w:rsidRPr="00F54B01">
        <w:rPr>
          <w:rFonts w:cs="Times New Roman"/>
          <w:spacing w:val="-3"/>
          <w:lang w:val="el-GR"/>
        </w:rPr>
        <w:t xml:space="preserve">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,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3.324 (41,2%)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και 64,4 (39,4%)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αντίστοιχα. Οι μέγιστες συγκεντρώσεις </w:t>
      </w:r>
      <w:r w:rsidR="000E77EB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παρατηρούνται στον ορό μέσα σε μια ώρα από τη λήψη του φαρμάκου από ασθενείς σε νηστεία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και μέσα σε δυο ώρες όταν λαμβάνεται με την τροφή. Η από του στόματος βιοδιαθεσιμότητα</w:t>
      </w:r>
      <w:r w:rsidRPr="00F54B01">
        <w:rPr>
          <w:rFonts w:cs="Times New Roman"/>
          <w:spacing w:val="-16"/>
          <w:lang w:val="el-GR"/>
        </w:rPr>
        <w:t xml:space="preserve"> </w:t>
      </w:r>
      <w:r w:rsidR="000E77EB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από </w:t>
      </w:r>
      <w:r w:rsidR="000E77EB">
        <w:rPr>
          <w:rFonts w:cs="Times New Roman"/>
          <w:lang w:val="el-GR"/>
        </w:rPr>
        <w:t xml:space="preserve">την </w:t>
      </w:r>
      <w:r w:rsidR="000E77EB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σε ασθενείς σε νηστεία ήταν περίπου 25%.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Η χορήγηση </w:t>
      </w:r>
      <w:r w:rsidR="000E77EB">
        <w:rPr>
          <w:rFonts w:cs="Times New Roman"/>
          <w:lang w:val="el-GR"/>
        </w:rPr>
        <w:t xml:space="preserve">της </w:t>
      </w:r>
      <w:r w:rsidR="000E77EB" w:rsidRPr="00085C2F">
        <w:rPr>
          <w:rFonts w:cs="Times New Roman"/>
          <w:lang w:val="el-GR"/>
        </w:rPr>
        <w:t>τενοφοβίρη</w:t>
      </w:r>
      <w:r w:rsidR="000E77EB">
        <w:rPr>
          <w:rFonts w:cs="Times New Roman"/>
          <w:lang w:val="el-GR"/>
        </w:rPr>
        <w:t>ς</w:t>
      </w:r>
      <w:r w:rsidR="000E77EB" w:rsidRPr="00085C2F">
        <w:rPr>
          <w:rFonts w:cs="Times New Roman"/>
          <w:lang w:val="el-GR"/>
        </w:rPr>
        <w:t xml:space="preserve"> δισοπρόξιλη</w:t>
      </w:r>
      <w:r w:rsidR="000E77EB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μαζί με γεύμα υψηλής περιεκτικότητας σε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λιπαρά επαύξησε την από του στόματος βιοδιαθεσιμότητα, αυξάνοντας την </w:t>
      </w:r>
      <w:r w:rsidRPr="00F54B01">
        <w:rPr>
          <w:rFonts w:cs="Times New Roman"/>
        </w:rPr>
        <w:t>AUC</w:t>
      </w:r>
      <w:r w:rsidRPr="00F54B01">
        <w:rPr>
          <w:rFonts w:cs="Times New Roman"/>
          <w:lang w:val="el-GR"/>
        </w:rPr>
        <w:t xml:space="preserve"> </w:t>
      </w:r>
      <w:r w:rsidR="000E77EB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κατά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40% περίπου και τη </w:t>
      </w:r>
      <w:r w:rsidRPr="00F54B01">
        <w:rPr>
          <w:rFonts w:cs="Times New Roman"/>
        </w:rPr>
        <w:t>C</w:t>
      </w:r>
      <w:r w:rsidRPr="00F54B01">
        <w:rPr>
          <w:rFonts w:cs="Times New Roman"/>
          <w:position w:val="-2"/>
          <w:sz w:val="14"/>
          <w:szCs w:val="14"/>
        </w:rPr>
        <w:t>max</w:t>
      </w:r>
      <w:r w:rsidRPr="00F54B01">
        <w:rPr>
          <w:rFonts w:cs="Times New Roman"/>
          <w:position w:val="-2"/>
          <w:sz w:val="14"/>
          <w:szCs w:val="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κατά 14% περίπου. Μετά την πρώτη δόση </w:t>
      </w:r>
      <w:r w:rsidR="000E77EB" w:rsidRPr="00085C2F">
        <w:rPr>
          <w:rFonts w:cs="Times New Roman"/>
          <w:lang w:val="el-GR"/>
        </w:rPr>
        <w:t>τενοφοβίρη</w:t>
      </w:r>
      <w:r w:rsidR="000E77EB">
        <w:rPr>
          <w:rFonts w:cs="Times New Roman"/>
          <w:lang w:val="el-GR"/>
        </w:rPr>
        <w:t>ς</w:t>
      </w:r>
      <w:r w:rsidR="000E77EB" w:rsidRPr="00085C2F">
        <w:rPr>
          <w:rFonts w:cs="Times New Roman"/>
          <w:lang w:val="el-GR"/>
        </w:rPr>
        <w:t xml:space="preserve"> δισοπρόξιλη</w:t>
      </w:r>
      <w:r w:rsidR="000E77EB">
        <w:rPr>
          <w:rFonts w:cs="Times New Roman"/>
          <w:lang w:val="el-GR"/>
        </w:rPr>
        <w:t>ς</w:t>
      </w:r>
      <w:r w:rsidR="00AC6FBC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σε ασθενείς μετά από γεύμα, η μέση </w:t>
      </w:r>
      <w:r w:rsidRPr="00F54B01">
        <w:rPr>
          <w:rFonts w:cs="Times New Roman"/>
        </w:rPr>
        <w:t>C</w:t>
      </w:r>
      <w:r w:rsidRPr="00F54B01">
        <w:rPr>
          <w:rFonts w:cs="Times New Roman"/>
          <w:position w:val="-2"/>
          <w:sz w:val="14"/>
          <w:szCs w:val="14"/>
        </w:rPr>
        <w:t>max</w:t>
      </w:r>
      <w:r w:rsidRPr="00F54B01">
        <w:rPr>
          <w:rFonts w:cs="Times New Roman"/>
          <w:position w:val="-2"/>
          <w:sz w:val="14"/>
          <w:szCs w:val="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στον ορό κυμαινόταν από 213 έως 375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. Εν τούτοις,</w:t>
      </w:r>
      <w:r w:rsidRPr="00F54B01">
        <w:rPr>
          <w:rFonts w:cs="Times New Roman"/>
          <w:spacing w:val="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η χορήγηση </w:t>
      </w:r>
      <w:r w:rsidR="000E77EB">
        <w:rPr>
          <w:rFonts w:cs="Times New Roman"/>
          <w:lang w:val="el-GR"/>
        </w:rPr>
        <w:t xml:space="preserve">της </w:t>
      </w:r>
      <w:r w:rsidR="000E77EB" w:rsidRPr="00085C2F">
        <w:rPr>
          <w:rFonts w:cs="Times New Roman"/>
          <w:lang w:val="el-GR"/>
        </w:rPr>
        <w:t>τενοφοβίρη</w:t>
      </w:r>
      <w:r w:rsidR="000E77EB">
        <w:rPr>
          <w:rFonts w:cs="Times New Roman"/>
          <w:lang w:val="el-GR"/>
        </w:rPr>
        <w:t>ς</w:t>
      </w:r>
      <w:r w:rsidR="000E77EB" w:rsidRPr="00085C2F">
        <w:rPr>
          <w:rFonts w:cs="Times New Roman"/>
          <w:lang w:val="el-GR"/>
        </w:rPr>
        <w:t xml:space="preserve"> δισοπρόξιλη</w:t>
      </w:r>
      <w:r w:rsidR="000E77EB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με ελαφρύ γεύμα δεν επέδρασε σημαντικά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στη φαρμακοκινητική </w:t>
      </w:r>
      <w:r w:rsidR="000E77EB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Κατανομή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Κατόπιν ενδοφλέβιας χορήγησης ο όγκος κατανομής </w:t>
      </w:r>
      <w:r w:rsidR="000E77EB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σε σταθερή</w:t>
      </w:r>
      <w:r w:rsidRPr="00F54B01">
        <w:rPr>
          <w:rFonts w:cs="Times New Roman"/>
          <w:spacing w:val="-1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κατάσταση υπολογίσθηκε περίπου στα 800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kg</w:t>
      </w:r>
      <w:r w:rsidRPr="00F54B01">
        <w:rPr>
          <w:rFonts w:cs="Times New Roman"/>
          <w:lang w:val="el-GR"/>
        </w:rPr>
        <w:t xml:space="preserve">. Μετά τη χορήγηση </w:t>
      </w:r>
      <w:r w:rsidR="000E77EB" w:rsidRPr="00085C2F">
        <w:rPr>
          <w:rFonts w:cs="Times New Roman"/>
          <w:lang w:val="el-GR"/>
        </w:rPr>
        <w:t>τενοφοβίρη</w:t>
      </w:r>
      <w:r w:rsidR="000E77EB">
        <w:rPr>
          <w:rFonts w:cs="Times New Roman"/>
          <w:lang w:val="el-GR"/>
        </w:rPr>
        <w:t>ς</w:t>
      </w:r>
      <w:r w:rsidR="000E77EB" w:rsidRPr="00085C2F">
        <w:rPr>
          <w:rFonts w:cs="Times New Roman"/>
          <w:lang w:val="el-GR"/>
        </w:rPr>
        <w:t xml:space="preserve"> δισοπρόξιλη</w:t>
      </w:r>
      <w:r w:rsidR="000E77EB">
        <w:rPr>
          <w:rFonts w:cs="Times New Roman"/>
          <w:lang w:val="el-GR"/>
        </w:rPr>
        <w:t xml:space="preserve">ς </w:t>
      </w:r>
      <w:r w:rsidRPr="00F54B01">
        <w:rPr>
          <w:rFonts w:cs="Times New Roman"/>
          <w:lang w:val="el-GR"/>
        </w:rPr>
        <w:t>από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του στόματος </w:t>
      </w:r>
      <w:r w:rsidR="000E77EB">
        <w:rPr>
          <w:rFonts w:cs="Times New Roman"/>
          <w:lang w:val="el-GR"/>
        </w:rPr>
        <w:t>η τενοφοβίρη</w:t>
      </w:r>
      <w:r w:rsidRPr="00F54B01">
        <w:rPr>
          <w:rFonts w:cs="Times New Roman"/>
          <w:lang w:val="el-GR"/>
        </w:rPr>
        <w:t xml:space="preserve"> κατανέμεται στους περισσότερους ιστούς, με υψηλότερες συγκεντρώσεις</w:t>
      </w:r>
      <w:r w:rsidRPr="00F54B01">
        <w:rPr>
          <w:rFonts w:cs="Times New Roman"/>
          <w:spacing w:val="-3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στους νεφρούς, το ήπαρ και το περιεχόμενο των εντέρων (προκλινικές μελέτες). Η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vitro</w:t>
      </w:r>
      <w:r w:rsidRPr="00F54B01">
        <w:rPr>
          <w:rFonts w:cs="Times New Roman"/>
          <w:i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πρωτεϊνική δέσμευση </w:t>
      </w:r>
      <w:r w:rsidR="000E77EB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σε πρωτεΐνες του πλάσματος ή του ορού ήταν μικρότερη από 0,7 και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7,2% αντίστοιχα, στο εύρος συγκεντρώσεων </w:t>
      </w:r>
      <w:r w:rsidR="000E77EB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από 0,01 έως 25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μ</w:t>
      </w:r>
      <w:r w:rsidRPr="00F54B01">
        <w:rPr>
          <w:rFonts w:cs="Times New Roman"/>
        </w:rPr>
        <w:t>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Βιομετασχηματισμός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Σε μελέτες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vitro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διαπιστώθηκε ότι ούτε </w:t>
      </w:r>
      <w:r w:rsidR="00EE0857">
        <w:rPr>
          <w:rFonts w:cs="Times New Roman"/>
          <w:lang w:val="el-GR"/>
        </w:rPr>
        <w:t xml:space="preserve">η </w:t>
      </w:r>
      <w:r w:rsidR="00EE0857" w:rsidRPr="00085C2F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ούτε </w:t>
      </w:r>
      <w:r w:rsidR="00EE0857">
        <w:rPr>
          <w:rFonts w:cs="Times New Roman"/>
          <w:lang w:val="el-GR"/>
        </w:rPr>
        <w:t>η τενοφοβίρη</w:t>
      </w:r>
      <w:r w:rsidRPr="00F54B01">
        <w:rPr>
          <w:rFonts w:cs="Times New Roman"/>
          <w:lang w:val="el-GR"/>
        </w:rPr>
        <w:t xml:space="preserve"> αποτελούν υπόστρωμα των ενζύμων 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>450. Ακόμα, σε σημαντικά μεγαλύτερες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συγκεντρώσεις (περίπου 300 φορές) από αυτές που έχουν παρατηρηθεί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vivo</w:t>
      </w:r>
      <w:r w:rsidRPr="00F54B01">
        <w:rPr>
          <w:rFonts w:cs="Times New Roman"/>
          <w:lang w:val="el-GR"/>
        </w:rPr>
        <w:t xml:space="preserve">, </w:t>
      </w:r>
      <w:r w:rsidR="00EE0857">
        <w:rPr>
          <w:rFonts w:cs="Times New Roman"/>
          <w:lang w:val="el-GR"/>
        </w:rPr>
        <w:t>η τενοφοβίρη</w:t>
      </w:r>
      <w:r w:rsidRPr="00F54B01">
        <w:rPr>
          <w:rFonts w:cs="Times New Roman"/>
          <w:lang w:val="el-GR"/>
        </w:rPr>
        <w:t xml:space="preserve"> δεν ανέστειλε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vitro</w:t>
      </w:r>
      <w:r w:rsidRPr="00F54B01">
        <w:rPr>
          <w:rFonts w:cs="Times New Roman"/>
          <w:i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 μεταβολισμό φαρμάκων που επιτελεί οποιαδήποτε από τις κυριότερες </w:t>
      </w:r>
      <w:r w:rsidR="00AC6FBC" w:rsidRPr="00F54B01">
        <w:rPr>
          <w:rFonts w:cs="Times New Roman"/>
          <w:lang w:val="el-GR"/>
        </w:rPr>
        <w:t>ισομορφές</w:t>
      </w:r>
      <w:r w:rsidRPr="00F54B01">
        <w:rPr>
          <w:rFonts w:cs="Times New Roman"/>
          <w:lang w:val="el-GR"/>
        </w:rPr>
        <w:t xml:space="preserve"> του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ανθρώπινου 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>450 οι οποίες συμμετέχουν στο βιομετασχηματισμό των φαρμάκων (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>3</w:t>
      </w:r>
      <w:r w:rsidRPr="00F54B01">
        <w:rPr>
          <w:rFonts w:cs="Times New Roman"/>
        </w:rPr>
        <w:t>A</w:t>
      </w:r>
      <w:r w:rsidRPr="00F54B01">
        <w:rPr>
          <w:rFonts w:cs="Times New Roman"/>
          <w:lang w:val="el-GR"/>
        </w:rPr>
        <w:t>4,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>2</w:t>
      </w:r>
      <w:r w:rsidRPr="00F54B01">
        <w:rPr>
          <w:rFonts w:cs="Times New Roman"/>
        </w:rPr>
        <w:t>D</w:t>
      </w:r>
      <w:r w:rsidRPr="00F54B01">
        <w:rPr>
          <w:rFonts w:cs="Times New Roman"/>
          <w:lang w:val="el-GR"/>
        </w:rPr>
        <w:t xml:space="preserve">6, 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>2</w:t>
      </w:r>
      <w:r w:rsidRPr="00F54B01">
        <w:rPr>
          <w:rFonts w:cs="Times New Roman"/>
        </w:rPr>
        <w:t>C</w:t>
      </w:r>
      <w:r w:rsidRPr="00F54B01">
        <w:rPr>
          <w:rFonts w:cs="Times New Roman"/>
          <w:lang w:val="el-GR"/>
        </w:rPr>
        <w:t xml:space="preserve">9, 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>2</w:t>
      </w:r>
      <w:r w:rsidRPr="00F54B01">
        <w:rPr>
          <w:rFonts w:cs="Times New Roman"/>
        </w:rPr>
        <w:t>E</w:t>
      </w:r>
      <w:r w:rsidRPr="00F54B01">
        <w:rPr>
          <w:rFonts w:cs="Times New Roman"/>
          <w:lang w:val="el-GR"/>
        </w:rPr>
        <w:t xml:space="preserve">1 ή 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>1</w:t>
      </w:r>
      <w:r w:rsidRPr="00F54B01">
        <w:rPr>
          <w:rFonts w:cs="Times New Roman"/>
        </w:rPr>
        <w:t>A</w:t>
      </w:r>
      <w:r w:rsidRPr="00F54B01">
        <w:rPr>
          <w:rFonts w:cs="Times New Roman"/>
          <w:lang w:val="el-GR"/>
        </w:rPr>
        <w:t xml:space="preserve">1/2). </w:t>
      </w:r>
      <w:r w:rsidR="0095743C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>, σε συγκέντρωση 100 μ</w:t>
      </w:r>
      <w:r w:rsidRPr="00F54B01">
        <w:rPr>
          <w:rFonts w:cs="Times New Roman"/>
        </w:rPr>
        <w:t>mol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l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δεν είχε καμία επίδραση σε οποιαδήποτε από τις ισομορφές του 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 xml:space="preserve">450, εκτός από το 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>1</w:t>
      </w:r>
      <w:r w:rsidRPr="00F54B01">
        <w:rPr>
          <w:rFonts w:cs="Times New Roman"/>
        </w:rPr>
        <w:t>A</w:t>
      </w:r>
      <w:r w:rsidRPr="00F54B01">
        <w:rPr>
          <w:rFonts w:cs="Times New Roman"/>
          <w:lang w:val="el-GR"/>
        </w:rPr>
        <w:t>1/2,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όπου παρατηρήθηκε μια μικρή (6%) αλλά στατιστικά σημαντική μείωση στο μεταβολισμό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του υποστρώματος του 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>1</w:t>
      </w:r>
      <w:r w:rsidRPr="00F54B01">
        <w:rPr>
          <w:rFonts w:cs="Times New Roman"/>
        </w:rPr>
        <w:t>A</w:t>
      </w:r>
      <w:r w:rsidRPr="00F54B01">
        <w:rPr>
          <w:rFonts w:cs="Times New Roman"/>
          <w:lang w:val="el-GR"/>
        </w:rPr>
        <w:t>1/2. Βάσει αυτών των δεδομένων, η πιθανότητα εκδήλωσης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κλινικά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σημαντικών αλληλε</w:t>
      </w:r>
      <w:r w:rsidR="00CF210F">
        <w:rPr>
          <w:rFonts w:cs="Times New Roman"/>
          <w:lang w:val="el-GR"/>
        </w:rPr>
        <w:t>πιδράσεων που να περιλαμβάνουν την</w:t>
      </w:r>
      <w:r w:rsidRPr="00F54B01">
        <w:rPr>
          <w:rFonts w:cs="Times New Roman"/>
          <w:lang w:val="el-GR"/>
        </w:rPr>
        <w:t xml:space="preserve"> </w:t>
      </w:r>
      <w:r w:rsidR="00CF210F">
        <w:rPr>
          <w:rFonts w:cs="Times New Roman"/>
          <w:lang w:val="el-GR"/>
        </w:rPr>
        <w:t xml:space="preserve">τενοφοβίρη δισοπρόξιλη (ως ηλεκτρική) </w:t>
      </w:r>
      <w:r w:rsidRPr="00F54B01">
        <w:rPr>
          <w:rFonts w:cs="Times New Roman"/>
          <w:lang w:val="el-GR"/>
        </w:rPr>
        <w:t>και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άλλα φαρμακευτικά προϊόντα που μεταβολίζονται από το </w:t>
      </w:r>
      <w:r w:rsidRPr="00F54B01">
        <w:rPr>
          <w:rFonts w:cs="Times New Roman"/>
        </w:rPr>
        <w:t>CYP</w:t>
      </w:r>
      <w:r w:rsidRPr="00F54B01">
        <w:rPr>
          <w:rFonts w:cs="Times New Roman"/>
          <w:lang w:val="el-GR"/>
        </w:rPr>
        <w:t>450 είναι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μικρή.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Αποβολή</w:t>
      </w:r>
    </w:p>
    <w:p w:rsidR="009D104A" w:rsidRPr="00F54B01" w:rsidRDefault="0095743C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Η τενοφοβίρη</w:t>
      </w:r>
      <w:r w:rsidR="00302B89" w:rsidRPr="00F54B01">
        <w:rPr>
          <w:rFonts w:cs="Times New Roman"/>
          <w:lang w:val="el-GR"/>
        </w:rPr>
        <w:t xml:space="preserve"> απεκκρίνεται κυρίως μέσω των νεφρών μέσω διήθησης και ενός ενεργού</w:t>
      </w:r>
      <w:r w:rsidR="00302B89" w:rsidRPr="00F54B01">
        <w:rPr>
          <w:rFonts w:cs="Times New Roman"/>
          <w:spacing w:val="-28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συστήματος σωληναριακής μεταφοράς με περίπου 70-80% της δόσης να απεκκρίνεται αμετάβλητη στα</w:t>
      </w:r>
      <w:r w:rsidR="00302B89" w:rsidRPr="00F54B01">
        <w:rPr>
          <w:rFonts w:cs="Times New Roman"/>
          <w:spacing w:val="-17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ούρα κατόπιν ενδοφλέβιας χορήγησης. Η συνολική κάθαρση υπολογίζεται να είναι περίπου 230</w:t>
      </w:r>
      <w:r w:rsidR="00302B89" w:rsidRPr="00F54B01">
        <w:rPr>
          <w:rFonts w:cs="Times New Roman"/>
          <w:spacing w:val="-23"/>
          <w:lang w:val="el-GR"/>
        </w:rPr>
        <w:t xml:space="preserve"> 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>/</w:t>
      </w:r>
      <w:r w:rsidR="00302B89" w:rsidRPr="00F54B01">
        <w:rPr>
          <w:rFonts w:cs="Times New Roman"/>
        </w:rPr>
        <w:t>h</w:t>
      </w:r>
      <w:r w:rsidR="00302B89" w:rsidRPr="00F54B01">
        <w:rPr>
          <w:rFonts w:cs="Times New Roman"/>
          <w:lang w:val="el-GR"/>
        </w:rPr>
        <w:t>/</w:t>
      </w:r>
      <w:r w:rsidR="00302B89" w:rsidRPr="00F54B01">
        <w:rPr>
          <w:rFonts w:cs="Times New Roman"/>
        </w:rPr>
        <w:t>kg</w:t>
      </w:r>
      <w:r w:rsidR="00302B89" w:rsidRPr="00F54B01">
        <w:rPr>
          <w:rFonts w:cs="Times New Roman"/>
          <w:lang w:val="el-GR"/>
        </w:rPr>
        <w:t xml:space="preserve"> (περίπου 300 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>/</w:t>
      </w:r>
      <w:r w:rsidR="00302B89" w:rsidRPr="00F54B01">
        <w:rPr>
          <w:rFonts w:cs="Times New Roman"/>
        </w:rPr>
        <w:t>min</w:t>
      </w:r>
      <w:r w:rsidR="00302B89" w:rsidRPr="00F54B01">
        <w:rPr>
          <w:rFonts w:cs="Times New Roman"/>
          <w:lang w:val="el-GR"/>
        </w:rPr>
        <w:t xml:space="preserve">). Η νεφρική κάθαρση έχει υπολογισθεί περίπου στα 160 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>/</w:t>
      </w:r>
      <w:r w:rsidR="00302B89" w:rsidRPr="00F54B01">
        <w:rPr>
          <w:rFonts w:cs="Times New Roman"/>
        </w:rPr>
        <w:t>h</w:t>
      </w:r>
      <w:r w:rsidR="00302B89" w:rsidRPr="00F54B01">
        <w:rPr>
          <w:rFonts w:cs="Times New Roman"/>
          <w:lang w:val="el-GR"/>
        </w:rPr>
        <w:t>/</w:t>
      </w:r>
      <w:r w:rsidR="00302B89" w:rsidRPr="00F54B01">
        <w:rPr>
          <w:rFonts w:cs="Times New Roman"/>
        </w:rPr>
        <w:t>kg</w:t>
      </w:r>
      <w:r w:rsidR="00302B89" w:rsidRPr="00F54B01">
        <w:rPr>
          <w:rFonts w:cs="Times New Roman"/>
          <w:spacing w:val="-30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(περίπου</w:t>
      </w:r>
      <w:r w:rsidR="00F54B01" w:rsidRPr="00F54B01">
        <w:rPr>
          <w:rFonts w:cs="Times New Roman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210 </w:t>
      </w:r>
      <w:r w:rsidR="00302B89" w:rsidRPr="00F54B01">
        <w:rPr>
          <w:rFonts w:cs="Times New Roman"/>
        </w:rPr>
        <w:t>ml</w:t>
      </w:r>
      <w:r w:rsidR="00302B89" w:rsidRPr="00F54B01">
        <w:rPr>
          <w:rFonts w:cs="Times New Roman"/>
          <w:lang w:val="el-GR"/>
        </w:rPr>
        <w:t>/</w:t>
      </w:r>
      <w:r w:rsidR="00302B89" w:rsidRPr="00F54B01">
        <w:rPr>
          <w:rFonts w:cs="Times New Roman"/>
        </w:rPr>
        <w:t>min</w:t>
      </w:r>
      <w:r w:rsidR="00302B89" w:rsidRPr="00F54B01">
        <w:rPr>
          <w:rFonts w:cs="Times New Roman"/>
          <w:lang w:val="el-GR"/>
        </w:rPr>
        <w:t>), που είναι πέραν του ρυθμού σπειραματικής διήθησης. Αυτό υποδεικνύει ότι η</w:t>
      </w:r>
      <w:r w:rsidR="00302B89" w:rsidRPr="00F54B01">
        <w:rPr>
          <w:rFonts w:cs="Times New Roman"/>
          <w:spacing w:val="-23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ενεργός σωληναριακή απέκκριση αποτελεί σημαντικό μέρος της απέκκρισης </w:t>
      </w:r>
      <w:r>
        <w:rPr>
          <w:rFonts w:cs="Times New Roman"/>
          <w:lang w:val="el-GR"/>
        </w:rPr>
        <w:t>της τενοφοβίρης</w:t>
      </w:r>
      <w:r w:rsidR="00302B89" w:rsidRPr="00F54B01">
        <w:rPr>
          <w:rFonts w:cs="Times New Roman"/>
          <w:lang w:val="el-GR"/>
        </w:rPr>
        <w:t>.</w:t>
      </w:r>
      <w:r w:rsidR="00302B89" w:rsidRPr="00F54B01">
        <w:rPr>
          <w:rFonts w:cs="Times New Roman"/>
          <w:spacing w:val="-14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Κατόπιν χορήγησης από το στόμα η τελική ημίσεια ζωή </w:t>
      </w:r>
      <w:r>
        <w:rPr>
          <w:rFonts w:cs="Times New Roman"/>
          <w:lang w:val="el-GR"/>
        </w:rPr>
        <w:t>της τενοφοβίρης</w:t>
      </w:r>
      <w:r w:rsidR="00302B89" w:rsidRPr="00F54B01">
        <w:rPr>
          <w:rFonts w:cs="Times New Roman"/>
          <w:lang w:val="el-GR"/>
        </w:rPr>
        <w:t xml:space="preserve"> είναι κάπου 12 έως 18</w:t>
      </w:r>
      <w:r w:rsidR="00302B89" w:rsidRPr="00F54B01">
        <w:rPr>
          <w:rFonts w:cs="Times New Roman"/>
          <w:spacing w:val="-22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>ώρες.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Οι μελέτες κατέδειξαν ότι η οδός της ενεργού σωληναριακής απέκκρισης </w:t>
      </w:r>
      <w:r w:rsidR="0095743C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</w:t>
      </w:r>
      <w:r w:rsidR="00AC6FBC" w:rsidRPr="00F54B01">
        <w:rPr>
          <w:rFonts w:cs="Times New Roman"/>
          <w:lang w:val="el-GR"/>
        </w:rPr>
        <w:t>εισρέει</w:t>
      </w:r>
      <w:r w:rsidRPr="00F54B01">
        <w:rPr>
          <w:rFonts w:cs="Times New Roman"/>
          <w:spacing w:val="-3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στο εγγύς σωληναριακό κύτταρο μέσω των μεταφορέων </w:t>
      </w:r>
      <w:r w:rsidR="00CF210F" w:rsidRPr="00CF210F">
        <w:rPr>
          <w:rFonts w:cs="Times New Roman"/>
          <w:lang w:val="el-GR"/>
        </w:rPr>
        <w:t>ανθρώπινο</w:t>
      </w:r>
      <w:r w:rsidR="00CF210F">
        <w:rPr>
          <w:rFonts w:cs="Times New Roman"/>
          <w:lang w:val="el-GR"/>
        </w:rPr>
        <w:t>ι</w:t>
      </w:r>
      <w:r w:rsidR="00CF210F" w:rsidRPr="00CF210F">
        <w:rPr>
          <w:rFonts w:cs="Times New Roman"/>
          <w:lang w:val="el-GR"/>
        </w:rPr>
        <w:t xml:space="preserve"> μεταφορείς οργανικών ανιόντων</w:t>
      </w:r>
      <w:r w:rsidR="00CF210F">
        <w:rPr>
          <w:rFonts w:cs="Times New Roman"/>
          <w:lang w:val="el-GR"/>
        </w:rPr>
        <w:t xml:space="preserve"> (</w:t>
      </w:r>
      <w:r w:rsidRPr="00CF210F">
        <w:rPr>
          <w:rFonts w:cs="Times New Roman"/>
          <w:i/>
        </w:rPr>
        <w:t>human</w:t>
      </w:r>
      <w:r w:rsidRPr="00CF210F">
        <w:rPr>
          <w:rFonts w:cs="Times New Roman"/>
          <w:i/>
          <w:lang w:val="el-GR"/>
        </w:rPr>
        <w:t xml:space="preserve"> </w:t>
      </w:r>
      <w:r w:rsidRPr="00CF210F">
        <w:rPr>
          <w:rFonts w:cs="Times New Roman"/>
          <w:i/>
        </w:rPr>
        <w:t>organic</w:t>
      </w:r>
      <w:r w:rsidRPr="00CF210F">
        <w:rPr>
          <w:rFonts w:cs="Times New Roman"/>
          <w:i/>
          <w:lang w:val="el-GR"/>
        </w:rPr>
        <w:t xml:space="preserve"> </w:t>
      </w:r>
      <w:r w:rsidRPr="00CF210F">
        <w:rPr>
          <w:rFonts w:cs="Times New Roman"/>
          <w:i/>
        </w:rPr>
        <w:t>anion</w:t>
      </w:r>
      <w:r w:rsidRPr="00CF210F">
        <w:rPr>
          <w:rFonts w:cs="Times New Roman"/>
          <w:i/>
          <w:lang w:val="el-GR"/>
        </w:rPr>
        <w:t xml:space="preserve"> </w:t>
      </w:r>
      <w:r w:rsidRPr="00CF210F">
        <w:rPr>
          <w:rFonts w:cs="Times New Roman"/>
          <w:i/>
        </w:rPr>
        <w:t>transporters</w:t>
      </w:r>
      <w:r w:rsidR="00CF210F" w:rsidRPr="00CF210F">
        <w:rPr>
          <w:rFonts w:cs="Times New Roman"/>
          <w:i/>
          <w:lang w:val="el-GR"/>
        </w:rPr>
        <w:t xml:space="preserve"> -</w:t>
      </w:r>
      <w:r w:rsidRPr="00CF210F">
        <w:rPr>
          <w:rFonts w:cs="Times New Roman"/>
          <w:i/>
        </w:rPr>
        <w:t>hOAT</w:t>
      </w:r>
      <w:r w:rsidRPr="00F54B01">
        <w:rPr>
          <w:rFonts w:cs="Times New Roman"/>
          <w:lang w:val="el-GR"/>
        </w:rPr>
        <w:t>)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1 και 3 και </w:t>
      </w:r>
      <w:r w:rsidR="00AC6FBC" w:rsidRPr="00F54B01">
        <w:rPr>
          <w:rFonts w:cs="Times New Roman"/>
          <w:lang w:val="el-GR"/>
        </w:rPr>
        <w:t>εκρέει</w:t>
      </w:r>
      <w:r w:rsidRPr="00F54B01">
        <w:rPr>
          <w:rFonts w:cs="Times New Roman"/>
          <w:lang w:val="el-GR"/>
        </w:rPr>
        <w:t xml:space="preserve"> στα ούρα μέσω της πολυανθεκτικής σε φάρμακα πρωτεΐνης </w:t>
      </w:r>
      <w:r w:rsidRPr="00F54B01">
        <w:rPr>
          <w:rFonts w:cs="Times New Roman"/>
        </w:rPr>
        <w:t>MRP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4.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Γραμμικότητα/μη</w:t>
      </w:r>
      <w:r w:rsidRPr="00F54B01">
        <w:rPr>
          <w:rFonts w:cs="Times New Roman"/>
          <w:spacing w:val="-3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γραμμικότητα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φαρμακοκινητική </w:t>
      </w:r>
      <w:r w:rsidR="0095743C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ήταν ανεξάρτητη της δόσης </w:t>
      </w:r>
      <w:r w:rsidR="0095743C">
        <w:rPr>
          <w:rFonts w:cs="Times New Roman"/>
          <w:lang w:val="el-GR"/>
        </w:rPr>
        <w:t>της τενοφοβίρης δισοπρόξιλης</w:t>
      </w:r>
      <w:r w:rsidRPr="00F54B01">
        <w:rPr>
          <w:rFonts w:cs="Times New Roman"/>
          <w:lang w:val="el-GR"/>
        </w:rPr>
        <w:t>,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στο δοσολογικό εύρος από 75 έως 600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και δεν επηρεάστηκε από την επανάληψη των δόσεων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σε οποιοδήποτε δοσολογικό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>επίπεδο.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Ηλικία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Δεν έχουν πραγματοποιηθεί φαρμακοκινητικές μελέτες σε ηλικιωμένους (ηλικίας πάνω από 65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ετών).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Φύλο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lastRenderedPageBreak/>
        <w:t xml:space="preserve">Περιορισμένα στοιχεία σχετικά με τις φαρμακοκινητικές ιδιότητες </w:t>
      </w:r>
      <w:r w:rsidR="0095743C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στις γυναίκες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δεν υποδεικνύουν σημαντικές επιδράσεις ως προς το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φύλο.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Εθνικότητα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Δεν έχουν μελετηθεί οι φαρμακοκινητικές ιδιότητες συγκεκριμένα σε διαφορετικές εθνοτικές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ομάδες.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Παιδιατρικός</w:t>
      </w:r>
      <w:r w:rsidRPr="00F54B01">
        <w:rPr>
          <w:rFonts w:cs="Times New Roman"/>
          <w:spacing w:val="-3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πληθυσμός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</w:rPr>
        <w:t>HIV</w:t>
      </w:r>
      <w:r w:rsidRPr="00F54B01">
        <w:rPr>
          <w:rFonts w:cs="Times New Roman"/>
          <w:i/>
          <w:lang w:val="el-GR"/>
        </w:rPr>
        <w:t xml:space="preserve">-1: </w:t>
      </w:r>
      <w:r w:rsidRPr="00F54B01">
        <w:rPr>
          <w:rFonts w:cs="Times New Roman"/>
          <w:lang w:val="el-GR"/>
        </w:rPr>
        <w:t xml:space="preserve">Οι φαρμακοκινητικές ιδιότητες σταθερής κατάστασης </w:t>
      </w:r>
      <w:r w:rsidR="0095743C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αξιολογήθηκαν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σε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8 εφήβους ασθενείς (ηλικίας 12 έως &lt;18 ετών) που είχαν προσβληθεί από τον ιό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>-1 με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σωματικό βάρος ≥35 </w:t>
      </w:r>
      <w:r w:rsidRPr="00F54B01">
        <w:rPr>
          <w:rFonts w:cs="Times New Roman"/>
        </w:rPr>
        <w:t>kg</w:t>
      </w:r>
      <w:r w:rsidRPr="00F54B01">
        <w:rPr>
          <w:rFonts w:cs="Times New Roman"/>
          <w:lang w:val="el-GR"/>
        </w:rPr>
        <w:t xml:space="preserve">. Η μέση (± </w:t>
      </w:r>
      <w:r w:rsidRPr="00F54B01">
        <w:rPr>
          <w:rFonts w:cs="Times New Roman"/>
        </w:rPr>
        <w:t>SD</w:t>
      </w:r>
      <w:r w:rsidRPr="00F54B01">
        <w:rPr>
          <w:rFonts w:cs="Times New Roman"/>
          <w:lang w:val="el-GR"/>
        </w:rPr>
        <w:t xml:space="preserve">) </w:t>
      </w:r>
      <w:r w:rsidRPr="00F54B01">
        <w:rPr>
          <w:rFonts w:cs="Times New Roman"/>
        </w:rPr>
        <w:t>C</w:t>
      </w:r>
      <w:r w:rsidRPr="00F54B01">
        <w:rPr>
          <w:rFonts w:cs="Times New Roman"/>
          <w:position w:val="-2"/>
          <w:sz w:val="14"/>
          <w:szCs w:val="14"/>
        </w:rPr>
        <w:t>max</w:t>
      </w:r>
      <w:r w:rsidRPr="00F54B01">
        <w:rPr>
          <w:rFonts w:cs="Times New Roman"/>
          <w:position w:val="-2"/>
          <w:sz w:val="14"/>
          <w:szCs w:val="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</w:t>
      </w:r>
      <w:r w:rsidRPr="00F54B01">
        <w:rPr>
          <w:rFonts w:cs="Times New Roman"/>
        </w:rPr>
        <w:t>AUC</w:t>
      </w:r>
      <w:r w:rsidRPr="00F54B01">
        <w:rPr>
          <w:rFonts w:cs="Times New Roman"/>
          <w:position w:val="-2"/>
          <w:sz w:val="14"/>
          <w:szCs w:val="14"/>
        </w:rPr>
        <w:t>tau</w:t>
      </w:r>
      <w:r w:rsidRPr="00F54B01">
        <w:rPr>
          <w:rFonts w:cs="Times New Roman"/>
          <w:position w:val="-2"/>
          <w:sz w:val="14"/>
          <w:szCs w:val="14"/>
          <w:lang w:val="el-GR"/>
        </w:rPr>
        <w:t xml:space="preserve"> </w:t>
      </w:r>
      <w:r w:rsidRPr="00F54B01">
        <w:rPr>
          <w:rFonts w:cs="Times New Roman"/>
          <w:lang w:val="el-GR"/>
        </w:rPr>
        <w:t>είναι 0,38 ± 0,13 μ</w:t>
      </w:r>
      <w:r w:rsidRPr="00F54B01">
        <w:rPr>
          <w:rFonts w:cs="Times New Roman"/>
        </w:rPr>
        <w:t>g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και 3,39 ± 1,22</w:t>
      </w:r>
      <w:r w:rsidRPr="00F54B01">
        <w:rPr>
          <w:rFonts w:cs="Times New Roman"/>
          <w:spacing w:val="27"/>
          <w:lang w:val="el-GR"/>
        </w:rPr>
        <w:t xml:space="preserve"> </w:t>
      </w:r>
      <w:r w:rsidRPr="00F54B01">
        <w:rPr>
          <w:rFonts w:cs="Times New Roman"/>
          <w:lang w:val="el-GR"/>
        </w:rPr>
        <w:t>μ</w:t>
      </w:r>
      <w:r w:rsidRPr="00F54B01">
        <w:rPr>
          <w:rFonts w:cs="Times New Roman"/>
        </w:rPr>
        <w:t>g</w:t>
      </w:r>
      <w:r w:rsidRPr="00F54B01">
        <w:rPr>
          <w:rFonts w:cs="Times New Roman"/>
          <w:lang w:val="el-GR"/>
        </w:rPr>
        <w:t>·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, αντίστοιχα. Η έκθεση </w:t>
      </w:r>
      <w:r w:rsidR="0095743C">
        <w:rPr>
          <w:rFonts w:cs="Times New Roman"/>
          <w:lang w:val="el-GR"/>
        </w:rPr>
        <w:t>στην τενοφοβίρη</w:t>
      </w:r>
      <w:r w:rsidRPr="00F54B01">
        <w:rPr>
          <w:rFonts w:cs="Times New Roman"/>
          <w:lang w:val="el-GR"/>
        </w:rPr>
        <w:t xml:space="preserve"> που επετεύχθη στους εφήβους ασθενείς που λάμβαναν από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του στόματος ημερήσιες δόσεις </w:t>
      </w:r>
      <w:r w:rsidR="0095743C">
        <w:rPr>
          <w:rFonts w:cs="Times New Roman"/>
          <w:lang w:val="el-GR"/>
        </w:rPr>
        <w:t>τενοφοβίρης δισοπρόξιλης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ήταν παρόμοια με την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έκθεση που επετεύχθη στους ενήλικες που λάμβαναν εφάπαξ ημερήσιες δόσεις </w:t>
      </w:r>
      <w:r w:rsidR="007824EC">
        <w:rPr>
          <w:rFonts w:cs="Times New Roman"/>
          <w:lang w:val="el-GR"/>
        </w:rPr>
        <w:t>τενοφοβίρης δισοπρόξιλης</w:t>
      </w:r>
      <w:r w:rsidRPr="00F54B01">
        <w:rPr>
          <w:rFonts w:cs="Times New Roman"/>
          <w:lang w:val="el-GR"/>
        </w:rPr>
        <w:t xml:space="preserve"> 245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i/>
          <w:lang w:val="el-GR"/>
        </w:rPr>
        <w:t xml:space="preserve">Χρόνια ηπατίτιδα </w:t>
      </w:r>
      <w:r w:rsidRPr="00F54B01">
        <w:rPr>
          <w:rFonts w:cs="Times New Roman"/>
          <w:i/>
        </w:rPr>
        <w:t>B</w:t>
      </w:r>
      <w:r w:rsidRPr="00F54B01">
        <w:rPr>
          <w:rFonts w:cs="Times New Roman"/>
          <w:i/>
          <w:lang w:val="el-GR"/>
        </w:rPr>
        <w:t xml:space="preserve">: </w:t>
      </w:r>
      <w:r w:rsidRPr="00F54B01">
        <w:rPr>
          <w:rFonts w:cs="Times New Roman"/>
          <w:lang w:val="el-GR"/>
        </w:rPr>
        <w:t xml:space="preserve">Η σταθερής κατάστασης έκθεση </w:t>
      </w:r>
      <w:r w:rsidR="007824EC">
        <w:rPr>
          <w:rFonts w:cs="Times New Roman"/>
          <w:lang w:val="el-GR"/>
        </w:rPr>
        <w:t>στην τενοφοβίρη</w:t>
      </w:r>
      <w:r w:rsidRPr="00F54B01">
        <w:rPr>
          <w:rFonts w:cs="Times New Roman"/>
          <w:lang w:val="el-GR"/>
        </w:rPr>
        <w:t xml:space="preserve"> στους εφήβους ασθενείς που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είχαν μολυνθεί με </w:t>
      </w:r>
      <w:r w:rsidRPr="00F54B01">
        <w:rPr>
          <w:rFonts w:cs="Times New Roman"/>
          <w:spacing w:val="-2"/>
        </w:rPr>
        <w:t>HBV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>(ηλικίας 12 έως &lt;18 ετών) που ελάμβαναν από του στόματος μια ημερήσια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δόση </w:t>
      </w:r>
      <w:r w:rsidR="007824EC">
        <w:rPr>
          <w:rFonts w:cs="Times New Roman"/>
          <w:lang w:val="el-GR"/>
        </w:rPr>
        <w:t>τενοφοβίρη</w:t>
      </w:r>
      <w:r w:rsidR="00CF210F">
        <w:rPr>
          <w:rFonts w:cs="Times New Roman"/>
          <w:lang w:val="el-GR"/>
        </w:rPr>
        <w:t>ς</w:t>
      </w:r>
      <w:r w:rsidR="007824EC">
        <w:rPr>
          <w:rFonts w:cs="Times New Roman"/>
          <w:lang w:val="el-GR"/>
        </w:rPr>
        <w:t xml:space="preserve"> δισοπρόξιλη</w:t>
      </w:r>
      <w:r w:rsidR="00CF210F">
        <w:rPr>
          <w:rFonts w:cs="Times New Roman"/>
          <w:lang w:val="el-GR"/>
        </w:rPr>
        <w:t>ς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ήταν παρόμοια με την έκθεση που επετεύχθη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στους ενήλικες που ελάμβαναν εφάπαξ ημερήσιες δόσεις </w:t>
      </w:r>
      <w:r w:rsidR="007824EC">
        <w:rPr>
          <w:rFonts w:cs="Times New Roman"/>
          <w:lang w:val="el-GR"/>
        </w:rPr>
        <w:t>τενοφοβίρης δισοπρόξιλης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Δεν έχουν πραγματοποιηθεί φαρμακοκινητικές μελέτες με </w:t>
      </w:r>
      <w:r w:rsidR="007824EC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245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δισκία σε παιδιά ηλικίας κάτω των 12 ετών ή με νεφρική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>δυσλειτουργία.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Νεφρική</w:t>
      </w:r>
      <w:r w:rsidRPr="00F54B01">
        <w:rPr>
          <w:rFonts w:cs="Times New Roman"/>
          <w:spacing w:val="-6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δυσλειτουργία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Οι φαρμακοκινητικές παράμετροι </w:t>
      </w:r>
      <w:r w:rsidR="007824EC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καθορίσθηκαν μετά την χορήγηση μίας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δόσης </w:t>
      </w:r>
      <w:r w:rsidR="007824EC">
        <w:rPr>
          <w:rFonts w:cs="Times New Roman"/>
          <w:lang w:val="el-GR"/>
        </w:rPr>
        <w:t>τενοφοβίρης δισοπρόξιλης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σε 40 ενήλικες ασθενείς που δεν είχαν μολυνθεί με </w:t>
      </w:r>
      <w:r w:rsidRPr="00F54B01">
        <w:rPr>
          <w:rFonts w:cs="Times New Roman"/>
        </w:rPr>
        <w:t>HIV</w:t>
      </w:r>
      <w:r w:rsidRPr="00F54B01">
        <w:rPr>
          <w:rFonts w:cs="Times New Roman"/>
          <w:lang w:val="el-GR"/>
        </w:rPr>
        <w:t xml:space="preserve"> ή </w:t>
      </w:r>
      <w:r w:rsidRPr="00F54B01">
        <w:rPr>
          <w:rFonts w:cs="Times New Roman"/>
        </w:rPr>
        <w:t>HBV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και εμφανίζουν ποικίλου βαθμού νεφρική δυσλειτουργία που καθορίσθηκε σύμφωνα με την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κάθαρση κρεατινίνης κατά την έναρξη (</w:t>
      </w:r>
      <w:r w:rsidRPr="00F54B01">
        <w:rPr>
          <w:rFonts w:cs="Times New Roman"/>
        </w:rPr>
        <w:t>CrCl</w:t>
      </w:r>
      <w:r w:rsidRPr="00F54B01">
        <w:rPr>
          <w:rFonts w:cs="Times New Roman"/>
          <w:lang w:val="el-GR"/>
        </w:rPr>
        <w:t xml:space="preserve">) (φυσιολογική νεφρική λειτουργία όταν </w:t>
      </w:r>
      <w:r w:rsidRPr="00F54B01">
        <w:rPr>
          <w:rFonts w:cs="Times New Roman"/>
        </w:rPr>
        <w:t>CrCl</w:t>
      </w:r>
      <w:r w:rsidRPr="00F54B01">
        <w:rPr>
          <w:rFonts w:cs="Times New Roman"/>
          <w:lang w:val="el-GR"/>
        </w:rPr>
        <w:t xml:space="preserve"> &gt;80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>,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ήπια με </w:t>
      </w:r>
      <w:r w:rsidRPr="00F54B01">
        <w:rPr>
          <w:rFonts w:cs="Times New Roman"/>
        </w:rPr>
        <w:t>CrCl</w:t>
      </w:r>
      <w:r w:rsidRPr="00F54B01">
        <w:rPr>
          <w:rFonts w:cs="Times New Roman"/>
          <w:lang w:val="el-GR"/>
        </w:rPr>
        <w:t xml:space="preserve">=50-79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, μέτρια με </w:t>
      </w:r>
      <w:r w:rsidRPr="00F54B01">
        <w:rPr>
          <w:rFonts w:cs="Times New Roman"/>
        </w:rPr>
        <w:t>CrCl</w:t>
      </w:r>
      <w:r w:rsidRPr="00F54B01">
        <w:rPr>
          <w:rFonts w:cs="Times New Roman"/>
          <w:lang w:val="el-GR"/>
        </w:rPr>
        <w:t xml:space="preserve">=30-49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 και σοβαρή με </w:t>
      </w:r>
      <w:r w:rsidRPr="00F54B01">
        <w:rPr>
          <w:rFonts w:cs="Times New Roman"/>
        </w:rPr>
        <w:t>CrCl</w:t>
      </w:r>
      <w:r w:rsidRPr="00F54B01">
        <w:rPr>
          <w:rFonts w:cs="Times New Roman"/>
          <w:lang w:val="el-GR"/>
        </w:rPr>
        <w:t xml:space="preserve">=10-29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>).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Σε σύγκριση με ασθενείς με φυσιολογική νεφρική λειτουργία ή μέση έκθεση σε </w:t>
      </w:r>
      <w:r w:rsidR="007824EC">
        <w:rPr>
          <w:rFonts w:cs="Times New Roman"/>
          <w:lang w:val="el-GR"/>
        </w:rPr>
        <w:t>τενοφοβίρη</w:t>
      </w:r>
      <w:r w:rsidR="007824EC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±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σταθερά </w:t>
      </w:r>
      <w:r w:rsidR="00AC6FBC" w:rsidRPr="00F54B01">
        <w:rPr>
          <w:rFonts w:cs="Times New Roman"/>
          <w:lang w:val="el-GR"/>
        </w:rPr>
        <w:t>απόκλιση</w:t>
      </w:r>
      <w:r w:rsidRPr="00F54B01">
        <w:rPr>
          <w:rFonts w:cs="Times New Roman"/>
          <w:lang w:val="el-GR"/>
        </w:rPr>
        <w:t xml:space="preserve">, αυξήθηκε από 2.185 (12%)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σε άτομα με </w:t>
      </w:r>
      <w:r w:rsidRPr="00F54B01">
        <w:rPr>
          <w:rFonts w:cs="Times New Roman"/>
        </w:rPr>
        <w:t>CrCl</w:t>
      </w:r>
      <w:r w:rsidRPr="00F54B01">
        <w:rPr>
          <w:rFonts w:cs="Times New Roman"/>
          <w:lang w:val="el-GR"/>
        </w:rPr>
        <w:t xml:space="preserve"> &gt;80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 σε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αντίστοιχα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3.064 (30%)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, 6.009 (42%)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και 15.985 (45%)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σε ασθενείς με ήπια, μέτρια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>και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σοβαρή νεφρική δυσλειτουργία. Οι δοσολογικές οδηγίες σε ασθενείς με νεφρική δυσλειτουργία,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με αύξηση του δοσολογικού μεσοδιαστήματος, αναμένεται να έχουν αποτέλεσμα υψηλότερες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μέγιστες συγκεντρώσεις πλάσματος και χαμηλότερα </w:t>
      </w:r>
      <w:r w:rsidRPr="00F54B01">
        <w:rPr>
          <w:rFonts w:cs="Times New Roman"/>
        </w:rPr>
        <w:t>C</w:t>
      </w:r>
      <w:r w:rsidRPr="00F54B01">
        <w:rPr>
          <w:rFonts w:cs="Times New Roman"/>
          <w:position w:val="-2"/>
          <w:sz w:val="14"/>
        </w:rPr>
        <w:t>min</w:t>
      </w:r>
      <w:r w:rsidRPr="00F54B01">
        <w:rPr>
          <w:rFonts w:cs="Times New Roman"/>
          <w:position w:val="-2"/>
          <w:sz w:val="14"/>
          <w:lang w:val="el-GR"/>
        </w:rPr>
        <w:t xml:space="preserve"> </w:t>
      </w:r>
      <w:r w:rsidRPr="00F54B01">
        <w:rPr>
          <w:rFonts w:cs="Times New Roman"/>
          <w:lang w:val="el-GR"/>
        </w:rPr>
        <w:t>επίπεδα σε ασθενείς με νεφρική δυσλειτουργία</w:t>
      </w:r>
      <w:r w:rsidRPr="00F54B01">
        <w:rPr>
          <w:rFonts w:cs="Times New Roman"/>
          <w:spacing w:val="-37"/>
          <w:lang w:val="el-GR"/>
        </w:rPr>
        <w:t xml:space="preserve"> </w:t>
      </w:r>
      <w:r w:rsidRPr="00F54B01">
        <w:rPr>
          <w:rFonts w:cs="Times New Roman"/>
          <w:lang w:val="el-GR"/>
        </w:rPr>
        <w:t>σε σύγκριση με ασθενείς με φυσιολογική νεφρική λειτουργία. Η κλινική σημασία των ανωτέρω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είναι άγνωστη.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Σε ασθενείς με νεφρική νόσο τελικού σταδίου (ΝΝΤΣ) (</w:t>
      </w:r>
      <w:r w:rsidRPr="00F54B01">
        <w:rPr>
          <w:rFonts w:cs="Times New Roman"/>
        </w:rPr>
        <w:t>CrCl</w:t>
      </w:r>
      <w:r w:rsidRPr="00F54B01">
        <w:rPr>
          <w:rFonts w:cs="Times New Roman"/>
          <w:lang w:val="el-GR"/>
        </w:rPr>
        <w:t xml:space="preserve"> &lt;10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>) που έχουν</w:t>
      </w:r>
      <w:r w:rsidRPr="00F54B01">
        <w:rPr>
          <w:rFonts w:cs="Times New Roman"/>
          <w:spacing w:val="-1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ανάγκη αιμοκάθαρσης, μεταξύ των συνεδριών οι συγκεντρώσεις </w:t>
      </w:r>
      <w:r w:rsidR="007824EC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αυξήθηκαν σημαντικά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>εντός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48 ωρών, επιτυγχάνοντας μία μέση </w:t>
      </w:r>
      <w:r w:rsidRPr="00F54B01">
        <w:rPr>
          <w:rFonts w:cs="Times New Roman"/>
        </w:rPr>
        <w:t>C</w:t>
      </w:r>
      <w:r w:rsidRPr="00F54B01">
        <w:rPr>
          <w:rFonts w:cs="Times New Roman"/>
          <w:position w:val="-2"/>
          <w:sz w:val="14"/>
          <w:szCs w:val="14"/>
        </w:rPr>
        <w:t>max</w:t>
      </w:r>
      <w:r w:rsidRPr="00F54B01">
        <w:rPr>
          <w:rFonts w:cs="Times New Roman"/>
          <w:position w:val="-2"/>
          <w:sz w:val="14"/>
          <w:szCs w:val="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της τάξης του 1.032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και μέση </w:t>
      </w:r>
      <w:r w:rsidRPr="00F54B01">
        <w:rPr>
          <w:rFonts w:cs="Times New Roman"/>
        </w:rPr>
        <w:t>AUC</w:t>
      </w:r>
      <w:r w:rsidRPr="00F54B01">
        <w:rPr>
          <w:rFonts w:cs="Times New Roman"/>
          <w:position w:val="-2"/>
          <w:sz w:val="14"/>
          <w:szCs w:val="14"/>
          <w:lang w:val="el-GR"/>
        </w:rPr>
        <w:t>0-48</w:t>
      </w:r>
      <w:r w:rsidRPr="00F54B01">
        <w:rPr>
          <w:rFonts w:cs="Times New Roman"/>
          <w:position w:val="-2"/>
          <w:sz w:val="14"/>
          <w:szCs w:val="14"/>
        </w:rPr>
        <w:t>h</w:t>
      </w:r>
      <w:r w:rsidRPr="00F54B01">
        <w:rPr>
          <w:rFonts w:cs="Times New Roman"/>
          <w:position w:val="-2"/>
          <w:sz w:val="14"/>
          <w:szCs w:val="14"/>
          <w:lang w:val="el-GR"/>
        </w:rPr>
        <w:t xml:space="preserve"> </w:t>
      </w:r>
      <w:r w:rsidRPr="00F54B01">
        <w:rPr>
          <w:rFonts w:cs="Times New Roman"/>
          <w:lang w:val="el-GR"/>
        </w:rPr>
        <w:t>της τάξης</w:t>
      </w:r>
      <w:r w:rsidRPr="00F54B01">
        <w:rPr>
          <w:rFonts w:cs="Times New Roman"/>
          <w:spacing w:val="17"/>
          <w:lang w:val="el-GR"/>
        </w:rPr>
        <w:t xml:space="preserve"> </w:t>
      </w:r>
      <w:r w:rsidRPr="00F54B01">
        <w:rPr>
          <w:rFonts w:cs="Times New Roman"/>
          <w:lang w:val="el-GR"/>
        </w:rPr>
        <w:t>του 42.857</w:t>
      </w:r>
      <w:r w:rsidRPr="00F54B01">
        <w:rPr>
          <w:rFonts w:cs="Times New Roman"/>
          <w:spacing w:val="-3"/>
          <w:lang w:val="el-GR"/>
        </w:rPr>
        <w:t xml:space="preserve">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Συνιστάται το δοσολογικό μεσοδιάστημα για </w:t>
      </w:r>
      <w:r w:rsidR="007824EC">
        <w:rPr>
          <w:rFonts w:cs="Times New Roman"/>
          <w:lang w:val="el-GR"/>
        </w:rPr>
        <w:t>την τενοφοβίρη δισοπρόξιλη</w:t>
      </w:r>
      <w:r w:rsidRPr="00F54B01">
        <w:rPr>
          <w:rFonts w:cs="Times New Roman"/>
          <w:lang w:val="el-GR"/>
        </w:rPr>
        <w:t xml:space="preserve">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να διαφοροποιείται σε ενήλικες ασθενείς με κάθαρση κρεατινίνης &lt;50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 ή σε ασθενείς που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t>ήδη έχουν ΝΝΤΣ και έχουν ανάγκη αιμοκάθαρσης (βλ. παράγραφο</w:t>
      </w:r>
      <w:r w:rsidRPr="00F54B01">
        <w:rPr>
          <w:rFonts w:cs="Times New Roman"/>
          <w:spacing w:val="-11"/>
          <w:lang w:val="el-GR"/>
        </w:rPr>
        <w:t xml:space="preserve"> </w:t>
      </w:r>
      <w:r w:rsidRPr="00F54B01">
        <w:rPr>
          <w:rFonts w:cs="Times New Roman"/>
          <w:lang w:val="el-GR"/>
        </w:rPr>
        <w:t>4.2).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φαρμακοκινητική </w:t>
      </w:r>
      <w:r w:rsidR="007824EC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σε ασθενείς με κάθαρση κρεατινίνης &lt;10 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min</w:t>
      </w:r>
      <w:r w:rsidRPr="00F54B01">
        <w:rPr>
          <w:rFonts w:cs="Times New Roman"/>
          <w:lang w:val="el-GR"/>
        </w:rPr>
        <w:t xml:space="preserve"> και σε</w:t>
      </w:r>
      <w:r w:rsidRPr="00F54B01">
        <w:rPr>
          <w:rFonts w:cs="Times New Roman"/>
          <w:spacing w:val="-24"/>
          <w:lang w:val="el-GR"/>
        </w:rPr>
        <w:t xml:space="preserve"> </w:t>
      </w:r>
      <w:r w:rsidRPr="00F54B01">
        <w:rPr>
          <w:rFonts w:cs="Times New Roman"/>
          <w:lang w:val="el-GR"/>
        </w:rPr>
        <w:t>ασθενείς με ΝΝΤΣ που αντιμετωπίζεται με περιτοναϊκή ή άλλες μορφές διάλυσης δεν έχει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μελετηθεί.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φαρμακοκινητική </w:t>
      </w:r>
      <w:r w:rsidR="007824EC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σε παιδιατρικούς ασθενείς με νεφρική δυσλειτουργία δεν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έχει μελετηθεί. Δεν υπάρχουν διαθέσιμα δεδομένα για να γίνουν δοσολογικές συστάσεις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(βλ. παραγράφους 4.2 και</w:t>
      </w:r>
      <w:r w:rsidRPr="00F54B01">
        <w:rPr>
          <w:rFonts w:cs="Times New Roman"/>
          <w:spacing w:val="-4"/>
          <w:lang w:val="el-GR"/>
        </w:rPr>
        <w:t xml:space="preserve"> </w:t>
      </w:r>
      <w:r w:rsidRPr="00F54B01">
        <w:rPr>
          <w:rFonts w:cs="Times New Roman"/>
          <w:lang w:val="el-GR"/>
        </w:rPr>
        <w:t>4.4).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Ηπατική</w:t>
      </w:r>
      <w:r w:rsidRPr="00F54B01">
        <w:rPr>
          <w:rFonts w:cs="Times New Roman"/>
          <w:spacing w:val="-7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δυσλειτουργία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Σε ενήλικες ασθενείς με ποικίλου βαθμού ηπατική δυσλειτουργία, οι οποίοι δεν είχαν προσβληθεί</w:t>
      </w:r>
      <w:r w:rsidRPr="00F54B01">
        <w:rPr>
          <w:rFonts w:cs="Times New Roman"/>
          <w:spacing w:val="-2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από τον ιό </w:t>
      </w:r>
      <w:r w:rsidRPr="00F54B01">
        <w:rPr>
          <w:rFonts w:cs="Times New Roman"/>
          <w:spacing w:val="-2"/>
        </w:rPr>
        <w:t>HIV</w:t>
      </w:r>
      <w:r w:rsidRPr="00F54B01">
        <w:rPr>
          <w:rFonts w:cs="Times New Roman"/>
          <w:spacing w:val="-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ή </w:t>
      </w:r>
      <w:r w:rsidRPr="00F54B01">
        <w:rPr>
          <w:rFonts w:cs="Times New Roman"/>
        </w:rPr>
        <w:t>HBV</w:t>
      </w:r>
      <w:r w:rsidRPr="00F54B01">
        <w:rPr>
          <w:rFonts w:cs="Times New Roman"/>
          <w:lang w:val="el-GR"/>
        </w:rPr>
        <w:t xml:space="preserve"> χορηγήθηκε μονήρης δόση 245 </w:t>
      </w:r>
      <w:r w:rsidRPr="00F54B01">
        <w:rPr>
          <w:rFonts w:cs="Times New Roman"/>
        </w:rPr>
        <w:t>mg</w:t>
      </w:r>
      <w:r w:rsidRPr="00F54B01">
        <w:rPr>
          <w:rFonts w:cs="Times New Roman"/>
          <w:lang w:val="el-GR"/>
        </w:rPr>
        <w:t xml:space="preserve"> </w:t>
      </w:r>
      <w:r w:rsidR="007824EC">
        <w:rPr>
          <w:rFonts w:cs="Times New Roman"/>
          <w:lang w:val="el-GR"/>
        </w:rPr>
        <w:t>τενοφοβίρης δισοπρόξιλης</w:t>
      </w:r>
      <w:r w:rsidRPr="00F54B01">
        <w:rPr>
          <w:rFonts w:cs="Times New Roman"/>
          <w:lang w:val="el-GR"/>
        </w:rPr>
        <w:t xml:space="preserve"> σύμφωνα με την</w:t>
      </w:r>
      <w:r w:rsidRPr="00F54B01">
        <w:rPr>
          <w:rFonts w:cs="Times New Roman"/>
          <w:spacing w:val="-16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κατάταξη </w:t>
      </w:r>
      <w:r w:rsidRPr="00F54B01">
        <w:rPr>
          <w:rFonts w:cs="Times New Roman"/>
        </w:rPr>
        <w:t>Child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Pugh</w:t>
      </w:r>
      <w:r w:rsidRPr="00F54B01">
        <w:rPr>
          <w:rFonts w:cs="Times New Roman"/>
          <w:lang w:val="el-GR"/>
        </w:rPr>
        <w:t>-</w:t>
      </w:r>
      <w:r w:rsidRPr="00F54B01">
        <w:rPr>
          <w:rFonts w:cs="Times New Roman"/>
        </w:rPr>
        <w:t>Turcotte</w:t>
      </w:r>
      <w:r w:rsidRPr="00F54B01">
        <w:rPr>
          <w:rFonts w:cs="Times New Roman"/>
          <w:lang w:val="el-GR"/>
        </w:rPr>
        <w:t xml:space="preserve"> (</w:t>
      </w:r>
      <w:r w:rsidRPr="00F54B01">
        <w:rPr>
          <w:rFonts w:cs="Times New Roman"/>
        </w:rPr>
        <w:t>CPT</w:t>
      </w:r>
      <w:r w:rsidRPr="00F54B01">
        <w:rPr>
          <w:rFonts w:cs="Times New Roman"/>
          <w:lang w:val="el-GR"/>
        </w:rPr>
        <w:t xml:space="preserve">). Η φαρμακοκινητική </w:t>
      </w:r>
      <w:r w:rsidR="00AC0700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δεν μεταβλήθηκε σημαντικά σε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άτομα με ηπατική δυσλειτουργία, υποδεικνύοντας ότι,</w:t>
      </w:r>
      <w:r w:rsidR="00AC6FBC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στα άτομα αυτά δεν απαιτείται αναπροσαρμογή</w:t>
      </w:r>
      <w:r w:rsidRPr="00F54B01">
        <w:rPr>
          <w:rFonts w:cs="Times New Roman"/>
          <w:spacing w:val="-19"/>
          <w:lang w:val="el-GR"/>
        </w:rPr>
        <w:t xml:space="preserve"> </w:t>
      </w:r>
      <w:r w:rsidRPr="00F54B01">
        <w:rPr>
          <w:rFonts w:cs="Times New Roman"/>
          <w:lang w:val="el-GR"/>
        </w:rPr>
        <w:lastRenderedPageBreak/>
        <w:t>της δόσης. Οι μέσες τιμές (%</w:t>
      </w:r>
      <w:r w:rsidRPr="00F54B01">
        <w:rPr>
          <w:rFonts w:cs="Times New Roman"/>
        </w:rPr>
        <w:t>CV</w:t>
      </w:r>
      <w:r w:rsidRPr="00F54B01">
        <w:rPr>
          <w:rFonts w:cs="Times New Roman"/>
          <w:lang w:val="el-GR"/>
        </w:rPr>
        <w:t xml:space="preserve">) </w:t>
      </w:r>
      <w:r w:rsidRPr="00F54B01">
        <w:rPr>
          <w:rFonts w:cs="Times New Roman"/>
        </w:rPr>
        <w:t>C</w:t>
      </w:r>
      <w:r w:rsidRPr="00F54B01">
        <w:rPr>
          <w:rFonts w:cs="Times New Roman"/>
          <w:position w:val="-2"/>
          <w:sz w:val="14"/>
          <w:szCs w:val="14"/>
        </w:rPr>
        <w:t>max</w:t>
      </w:r>
      <w:r w:rsidRPr="00F54B01">
        <w:rPr>
          <w:rFonts w:cs="Times New Roman"/>
          <w:position w:val="-2"/>
          <w:sz w:val="14"/>
          <w:szCs w:val="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</w:t>
      </w:r>
      <w:r w:rsidRPr="00F54B01">
        <w:rPr>
          <w:rFonts w:cs="Times New Roman"/>
        </w:rPr>
        <w:t>AUC</w:t>
      </w:r>
      <w:r w:rsidRPr="00F54B01">
        <w:rPr>
          <w:rFonts w:cs="Times New Roman"/>
          <w:position w:val="-2"/>
          <w:sz w:val="14"/>
          <w:szCs w:val="14"/>
          <w:lang w:val="el-GR"/>
        </w:rPr>
        <w:t xml:space="preserve">0-∞  </w:t>
      </w:r>
      <w:r w:rsidR="00AC0700">
        <w:rPr>
          <w:rFonts w:cs="Times New Roman"/>
          <w:lang w:val="el-GR"/>
        </w:rPr>
        <w:t>της τενοφοβίρης</w:t>
      </w:r>
      <w:r w:rsidRPr="00F54B01">
        <w:rPr>
          <w:rFonts w:cs="Times New Roman"/>
          <w:lang w:val="el-GR"/>
        </w:rPr>
        <w:t xml:space="preserve"> ήταν 223 (34,8%)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>και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2.050 (50,8%)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αντίστοιχα, σε φυσιολογικά άτομα σε σύγκριση με τις</w:t>
      </w:r>
      <w:r w:rsidRPr="00F54B01">
        <w:rPr>
          <w:rFonts w:cs="Times New Roman"/>
          <w:spacing w:val="-15"/>
          <w:lang w:val="el-GR"/>
        </w:rPr>
        <w:t xml:space="preserve"> </w:t>
      </w:r>
      <w:r w:rsidRPr="00F54B01">
        <w:rPr>
          <w:rFonts w:cs="Times New Roman"/>
          <w:lang w:val="el-GR"/>
        </w:rPr>
        <w:t>τιμές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289 (46,0%)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και 2.310 (43,5%)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σε άτομα με μέτρια ηπατική δυσλειτουργία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305 (24,8%)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και 2.740 (44,0%) </w:t>
      </w:r>
      <w:r w:rsidRPr="00F54B01">
        <w:rPr>
          <w:rFonts w:cs="Times New Roman"/>
        </w:rPr>
        <w:t>ng</w:t>
      </w:r>
      <w:r w:rsidRPr="00F54B01">
        <w:rPr>
          <w:rFonts w:cs="Times New Roman"/>
          <w:lang w:val="el-GR"/>
        </w:rPr>
        <w:t>∙</w:t>
      </w:r>
      <w:r w:rsidRPr="00F54B01">
        <w:rPr>
          <w:rFonts w:cs="Times New Roman"/>
        </w:rPr>
        <w:t>h</w:t>
      </w:r>
      <w:r w:rsidRPr="00F54B01">
        <w:rPr>
          <w:rFonts w:cs="Times New Roman"/>
          <w:lang w:val="el-GR"/>
        </w:rPr>
        <w:t>/</w:t>
      </w:r>
      <w:r w:rsidRPr="00F54B01">
        <w:rPr>
          <w:rFonts w:cs="Times New Roman"/>
        </w:rPr>
        <w:t>ml</w:t>
      </w:r>
      <w:r w:rsidRPr="00F54B01">
        <w:rPr>
          <w:rFonts w:cs="Times New Roman"/>
          <w:lang w:val="el-GR"/>
        </w:rPr>
        <w:t xml:space="preserve"> σε άτομα με σοβαρή ηπατική</w:t>
      </w:r>
      <w:r w:rsidRPr="00F54B01">
        <w:rPr>
          <w:rFonts w:cs="Times New Roman"/>
          <w:spacing w:val="-22"/>
          <w:lang w:val="el-GR"/>
        </w:rPr>
        <w:t xml:space="preserve"> </w:t>
      </w:r>
      <w:r w:rsidRPr="00F54B01">
        <w:rPr>
          <w:rFonts w:cs="Times New Roman"/>
          <w:lang w:val="el-GR"/>
        </w:rPr>
        <w:t>δυσλειτουργία.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u w:val="single" w:color="000000"/>
          <w:lang w:val="el-GR"/>
        </w:rPr>
        <w:t>Ενδο-κυτταρικές φαρμακοκινητικές</w:t>
      </w:r>
      <w:r w:rsidRPr="00F54B01">
        <w:rPr>
          <w:rFonts w:cs="Times New Roman"/>
          <w:spacing w:val="-5"/>
          <w:u w:val="single" w:color="000000"/>
          <w:lang w:val="el-GR"/>
        </w:rPr>
        <w:t xml:space="preserve"> </w:t>
      </w:r>
      <w:r w:rsidRPr="00F54B01">
        <w:rPr>
          <w:rFonts w:cs="Times New Roman"/>
          <w:u w:val="single" w:color="000000"/>
          <w:lang w:val="el-GR"/>
        </w:rPr>
        <w:t>ιδιότητες</w:t>
      </w: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Σε μη πολλαπλασιαζόμενα μονοπύρηνα κύτταρα του περιφερικού αίματος (</w:t>
      </w:r>
      <w:r w:rsidRPr="00F54B01">
        <w:rPr>
          <w:rFonts w:cs="Times New Roman"/>
        </w:rPr>
        <w:t>PBMCs</w:t>
      </w:r>
      <w:r w:rsidRPr="00F54B01">
        <w:rPr>
          <w:rFonts w:cs="Times New Roman"/>
          <w:lang w:val="el-GR"/>
        </w:rPr>
        <w:t>) η ημίσεια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ζωή </w:t>
      </w:r>
      <w:r w:rsidR="00AC0700">
        <w:rPr>
          <w:rFonts w:cs="Times New Roman"/>
          <w:lang w:val="el-GR"/>
        </w:rPr>
        <w:t>της τενοφοβίρης διφωσφορικής</w:t>
      </w:r>
      <w:r w:rsidRPr="00F54B01">
        <w:rPr>
          <w:rFonts w:cs="Times New Roman"/>
          <w:lang w:val="el-GR"/>
        </w:rPr>
        <w:t xml:space="preserve"> ανευρέθηκε περίπου στις 50 ώρες, ενώ η ημίσεια ζωή σε </w:t>
      </w:r>
      <w:r w:rsidRPr="00F54B01">
        <w:rPr>
          <w:rFonts w:cs="Times New Roman"/>
        </w:rPr>
        <w:t>PBMCs</w:t>
      </w:r>
      <w:r w:rsidRPr="00F54B01">
        <w:rPr>
          <w:rFonts w:cs="Times New Roman"/>
          <w:lang w:val="el-GR"/>
        </w:rPr>
        <w:t xml:space="preserve"> τα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οποία είχαν υποστεί διέγερση με φυτοαιμοσυγκολλητίνη ανευρέθηκε περίπου στις 10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ώρες.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tabs>
          <w:tab w:val="left" w:pos="685"/>
        </w:tabs>
        <w:ind w:left="0" w:firstLine="0"/>
        <w:rPr>
          <w:rFonts w:cs="Times New Roman"/>
          <w:b w:val="0"/>
          <w:bCs w:val="0"/>
          <w:lang w:val="el-GR"/>
        </w:rPr>
      </w:pPr>
      <w:r w:rsidRPr="00F54B01">
        <w:rPr>
          <w:rFonts w:cs="Times New Roman"/>
          <w:lang w:val="el-GR"/>
        </w:rPr>
        <w:t>5.3</w:t>
      </w:r>
      <w:r w:rsidRPr="00F54B01">
        <w:rPr>
          <w:rFonts w:cs="Times New Roman"/>
          <w:lang w:val="el-GR"/>
        </w:rPr>
        <w:tab/>
      </w:r>
      <w:r w:rsidRPr="003D4CFC">
        <w:rPr>
          <w:rFonts w:eastAsiaTheme="minorHAnsi" w:cs="Times New Roman"/>
          <w:bCs w:val="0"/>
          <w:lang w:val="el-GR"/>
        </w:rPr>
        <w:t>Προκλινικά δεδομένα για την ασφάλεια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Οι μη κλινικές μελέτες φαρμακολογικής ασφάλειας δεν αποκαλύπτουν ιδιαίτερο κίνδυνο για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τον άνθρωπο. Τα ευρήματα που παρατηρήθηκαν στις μελέτες τοξικότητας επαναλαμβανόμενων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δόσεων σε αρουραίους, σε σκύλους και σε πιθήκους σε επίπεδα έκθεσης μεγαλύτερα από ή ίσα με τα</w:t>
      </w:r>
      <w:r w:rsidRPr="00F54B01">
        <w:rPr>
          <w:rFonts w:cs="Times New Roman"/>
          <w:spacing w:val="-30"/>
          <w:lang w:val="el-GR"/>
        </w:rPr>
        <w:t xml:space="preserve"> </w:t>
      </w:r>
      <w:r w:rsidRPr="00F54B01">
        <w:rPr>
          <w:rFonts w:cs="Times New Roman"/>
          <w:lang w:val="el-GR"/>
        </w:rPr>
        <w:t>κλινικά επίπεδα έκθεσης και με ενδεχόμενη σχέση με την κλινική χρήση, συμπεριλαμβάνουν νεφρική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και οστική τοξικότητα και μια ελάττωση στη συγκέντρωση φωσφόρου ορού. Η οστική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τοξικότητα διαγνώσθηκε ως οστεομαλακία (πίθηκοι) και ελάττωση της </w:t>
      </w:r>
      <w:r w:rsidR="00894E60" w:rsidRPr="00F54B01">
        <w:rPr>
          <w:rFonts w:cs="Times New Roman"/>
          <w:lang w:val="el-GR"/>
        </w:rPr>
        <w:t>οστικής</w:t>
      </w:r>
      <w:r w:rsidR="00894E60">
        <w:rPr>
          <w:rFonts w:cs="Times New Roman"/>
          <w:lang w:val="el-GR"/>
        </w:rPr>
        <w:t xml:space="preserve"> </w:t>
      </w:r>
      <w:r w:rsidR="00CF210F">
        <w:rPr>
          <w:rFonts w:cs="Times New Roman"/>
          <w:lang w:val="el-GR"/>
        </w:rPr>
        <w:t xml:space="preserve">πυκνότητας </w:t>
      </w:r>
      <w:r w:rsidRPr="00F54B01">
        <w:rPr>
          <w:rFonts w:cs="Times New Roman"/>
          <w:lang w:val="el-GR"/>
        </w:rPr>
        <w:t>(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>) (αρουραίοι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και σκύλοι). Η οστική τοξικότητα σε νεαρούς ενήλικες αρουραίους και σκύλους παρουσιάστηκε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σε εκθέσεις ≥5 φορές την έκθεση σε παιδιατρικούς ή ενήλικες ασθενείς. Οστική</w:t>
      </w:r>
      <w:r w:rsidRPr="00F54B01">
        <w:rPr>
          <w:rFonts w:cs="Times New Roman"/>
          <w:spacing w:val="-13"/>
          <w:lang w:val="el-GR"/>
        </w:rPr>
        <w:t xml:space="preserve"> </w:t>
      </w:r>
      <w:r w:rsidRPr="00F54B01">
        <w:rPr>
          <w:rFonts w:cs="Times New Roman"/>
          <w:lang w:val="el-GR"/>
        </w:rPr>
        <w:t>τοξικότητα παρουσιάστηκε σε νεαρούς μολυσμένους πίθηκους σε πολύ υψηλές εκθέσεις μετά από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υποδόρια χορήγηση (≥40 φορές την έκθεση σε ασθενείς). Τα ευρήματα των μελετών στους αρουραίους</w:t>
      </w:r>
      <w:r w:rsidRPr="00F54B01">
        <w:rPr>
          <w:rFonts w:cs="Times New Roman"/>
          <w:spacing w:val="-23"/>
          <w:lang w:val="el-GR"/>
        </w:rPr>
        <w:t xml:space="preserve"> </w:t>
      </w:r>
      <w:r w:rsidRPr="00F54B01">
        <w:rPr>
          <w:rFonts w:cs="Times New Roman"/>
          <w:lang w:val="el-GR"/>
        </w:rPr>
        <w:t>και</w:t>
      </w:r>
      <w:r w:rsidR="00F54B01" w:rsidRPr="00F54B01">
        <w:rPr>
          <w:rFonts w:cs="Times New Roman"/>
          <w:lang w:val="el-GR"/>
        </w:rPr>
        <w:t xml:space="preserve"> </w:t>
      </w:r>
      <w:r w:rsidRPr="00F54B01">
        <w:rPr>
          <w:rFonts w:cs="Times New Roman"/>
          <w:lang w:val="el-GR"/>
        </w:rPr>
        <w:t>τους πιθήκους έδειξαν φαρμακοεξαρτώμενη ελάττωση της εντερικής απορρόφησης του φωσφόρου,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με πιθανή δευτερογενή μείωση της</w:t>
      </w:r>
      <w:r w:rsidRPr="00F54B01">
        <w:rPr>
          <w:rFonts w:cs="Times New Roman"/>
          <w:spacing w:val="-12"/>
          <w:lang w:val="el-GR"/>
        </w:rPr>
        <w:t xml:space="preserve"> </w:t>
      </w:r>
      <w:r w:rsidR="00381232">
        <w:rPr>
          <w:rFonts w:cs="Times New Roman"/>
          <w:lang w:val="el-GR"/>
        </w:rPr>
        <w:t>ΟΠ</w:t>
      </w:r>
      <w:r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F54B01" w:rsidRPr="00F54B01" w:rsidRDefault="00302B89" w:rsidP="00F54B01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Μελέτες γονοτοξικότητας κατέδειξαν θετικά αποτελέσματα στην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vitro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lang w:val="el-GR"/>
        </w:rPr>
        <w:t>δοκιμασία</w:t>
      </w:r>
      <w:r w:rsidRPr="00F54B01">
        <w:rPr>
          <w:rFonts w:cs="Times New Roman"/>
          <w:spacing w:val="-14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λεμφώματος ποντικού, αμφίβολα αποτελέσματα σε ένα από τα στελέχη που χρησιμοποιήθηκαν στο τεστ </w:t>
      </w:r>
      <w:r w:rsidRPr="00F54B01">
        <w:rPr>
          <w:rFonts w:cs="Times New Roman"/>
        </w:rPr>
        <w:t>Ames</w:t>
      </w:r>
      <w:r w:rsidRPr="00F54B01">
        <w:rPr>
          <w:rFonts w:cs="Times New Roman"/>
          <w:spacing w:val="-35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και ήπια θετικά αποτελέσματα στη δοκιμασία </w:t>
      </w:r>
      <w:r w:rsidRPr="00F54B01">
        <w:rPr>
          <w:rFonts w:cs="Times New Roman"/>
        </w:rPr>
        <w:t>UDS</w:t>
      </w:r>
      <w:r w:rsidRPr="00F54B01">
        <w:rPr>
          <w:rFonts w:cs="Times New Roman"/>
          <w:lang w:val="el-GR"/>
        </w:rPr>
        <w:t xml:space="preserve"> σε πρωτογενή ηπατοκύτταρα αρουραίου. Ωστόσο,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τα αποτελέσματα ήταν αρνητικά σε μια </w:t>
      </w:r>
      <w:r w:rsidRPr="00F54B01">
        <w:rPr>
          <w:rFonts w:cs="Times New Roman"/>
          <w:i/>
        </w:rPr>
        <w:t>in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i/>
        </w:rPr>
        <w:t>vivo</w:t>
      </w:r>
      <w:r w:rsidRPr="00F54B01">
        <w:rPr>
          <w:rFonts w:cs="Times New Roman"/>
          <w:i/>
          <w:lang w:val="el-GR"/>
        </w:rPr>
        <w:t xml:space="preserve"> </w:t>
      </w:r>
      <w:r w:rsidRPr="00F54B01">
        <w:rPr>
          <w:rFonts w:cs="Times New Roman"/>
          <w:lang w:val="el-GR"/>
        </w:rPr>
        <w:t>δοκιμασία μικροπυρήνων μυελού οστών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ποντικού.</w:t>
      </w:r>
    </w:p>
    <w:p w:rsidR="00AC0700" w:rsidRDefault="00AC0700" w:rsidP="00F54B01">
      <w:pPr>
        <w:pStyle w:val="a3"/>
        <w:ind w:left="0"/>
        <w:rPr>
          <w:rFonts w:cs="Times New Roman"/>
          <w:lang w:val="el-GR"/>
        </w:rPr>
      </w:pPr>
    </w:p>
    <w:p w:rsidR="009D104A" w:rsidRPr="00F54B01" w:rsidRDefault="00302B89" w:rsidP="00F54B01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Μελέτες καρκινογένεσης με από του στόματος χορήγηση σε αρουραίους και ποντικούς έδειξαν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>μόνο χαμηλή συχνότητα εμφάνισης όγκων του δωδεκαδακτύλου σε υπερβολικά υψηλή δόση σε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ποντικούς. Αυτοί οι όγκοι δεν φαίνεται να σχετίζονται με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ανθρώπους.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Μελέτες τοξικότητας στην αναπαραγωγική ικανότητα σε αρουραίους και κουνέλια δεν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κατέδειξαν καμία επίδραση στις παραμέτρους του ζευγαρώματος, της γονιμότητας, της κύησης ή στις</w:t>
      </w:r>
      <w:r w:rsidRPr="00F54B01">
        <w:rPr>
          <w:rFonts w:cs="Times New Roman"/>
          <w:spacing w:val="-20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εμβρυϊκές παραμέτρους. Ωστόσο, </w:t>
      </w:r>
      <w:r w:rsidR="00AC0700">
        <w:rPr>
          <w:rFonts w:cs="Times New Roman"/>
          <w:lang w:val="el-GR"/>
        </w:rPr>
        <w:t>η τενοφοβίρη δισοπρόξιλη</w:t>
      </w:r>
      <w:r w:rsidRPr="00F54B01">
        <w:rPr>
          <w:rFonts w:cs="Times New Roman"/>
          <w:lang w:val="el-GR"/>
        </w:rPr>
        <w:t xml:space="preserve"> μείωσε το δείκτη βιωσιμότητας και το</w:t>
      </w:r>
      <w:r w:rsidRPr="00F54B01">
        <w:rPr>
          <w:rFonts w:cs="Times New Roman"/>
          <w:spacing w:val="-18"/>
          <w:lang w:val="el-GR"/>
        </w:rPr>
        <w:t xml:space="preserve"> </w:t>
      </w:r>
      <w:r w:rsidRPr="00F54B01">
        <w:rPr>
          <w:rFonts w:cs="Times New Roman"/>
          <w:lang w:val="el-GR"/>
        </w:rPr>
        <w:t>βάρος των κουταβιών σε περι- και μεταγεννητικές μελέτες τοξικότητας σε δόσεις τοξικές για τη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μητέρα.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 xml:space="preserve">Η δραστική ουσία </w:t>
      </w:r>
      <w:r w:rsidR="00AC0700">
        <w:rPr>
          <w:rFonts w:cs="Times New Roman"/>
          <w:lang w:val="el-GR"/>
        </w:rPr>
        <w:t>τενοφοβίρη δισοπρόξιλη</w:t>
      </w:r>
      <w:r w:rsidRPr="00F54B01">
        <w:rPr>
          <w:rFonts w:cs="Times New Roman"/>
          <w:lang w:val="el-GR"/>
        </w:rPr>
        <w:t xml:space="preserve"> και τα κύρια προϊόντα μετασχηματισμού της</w:t>
      </w:r>
      <w:r w:rsidRPr="00F54B01">
        <w:rPr>
          <w:rFonts w:cs="Times New Roman"/>
          <w:spacing w:val="-21"/>
          <w:lang w:val="el-GR"/>
        </w:rPr>
        <w:t xml:space="preserve"> </w:t>
      </w:r>
      <w:r w:rsidRPr="00F54B01">
        <w:rPr>
          <w:rFonts w:cs="Times New Roman"/>
          <w:lang w:val="el-GR"/>
        </w:rPr>
        <w:t>είναι ανθεκτικά στο</w:t>
      </w:r>
      <w:r w:rsidRPr="00F54B01">
        <w:rPr>
          <w:rFonts w:cs="Times New Roman"/>
          <w:spacing w:val="-5"/>
          <w:lang w:val="el-GR"/>
        </w:rPr>
        <w:t xml:space="preserve"> </w:t>
      </w:r>
      <w:r w:rsidRPr="00F54B01">
        <w:rPr>
          <w:rFonts w:cs="Times New Roman"/>
          <w:lang w:val="el-GR"/>
        </w:rPr>
        <w:t>περιβάλλον.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numPr>
          <w:ilvl w:val="0"/>
          <w:numId w:val="22"/>
        </w:numPr>
        <w:tabs>
          <w:tab w:val="left" w:pos="567"/>
        </w:tabs>
        <w:ind w:left="567"/>
        <w:rPr>
          <w:rFonts w:cs="Times New Roman"/>
          <w:b w:val="0"/>
          <w:bCs w:val="0"/>
        </w:rPr>
      </w:pPr>
      <w:r w:rsidRPr="00F54B01">
        <w:rPr>
          <w:rFonts w:cs="Times New Roman"/>
        </w:rPr>
        <w:t>ΦΑΡΜΑΚΕΥΤΙΚΕΣ</w:t>
      </w:r>
      <w:r w:rsidRPr="00F54B01">
        <w:rPr>
          <w:rFonts w:cs="Times New Roman"/>
          <w:spacing w:val="-4"/>
        </w:rPr>
        <w:t xml:space="preserve"> </w:t>
      </w:r>
      <w:r w:rsidRPr="00F54B01">
        <w:rPr>
          <w:rFonts w:cs="Times New Roman"/>
        </w:rPr>
        <w:t>ΠΛΗΡΟΦΟΡΙΕΣ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</w:rPr>
      </w:pPr>
      <w:r w:rsidRPr="00F54B01">
        <w:rPr>
          <w:rFonts w:ascii="Times New Roman" w:hAnsi="Times New Roman" w:cs="Times New Roman"/>
          <w:b/>
        </w:rPr>
        <w:t>Κατάλογος εκδόχων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C0700" w:rsidRDefault="00302B89" w:rsidP="009A7039">
      <w:pPr>
        <w:pStyle w:val="a3"/>
        <w:ind w:left="0"/>
        <w:rPr>
          <w:rFonts w:cs="Times New Roman"/>
          <w:i/>
          <w:lang w:val="el-GR"/>
        </w:rPr>
      </w:pPr>
      <w:r w:rsidRPr="00F54B01">
        <w:rPr>
          <w:rFonts w:cs="Times New Roman"/>
          <w:i/>
        </w:rPr>
        <w:t>Πυρήνας</w:t>
      </w:r>
      <w:r w:rsidRPr="00F54B01">
        <w:rPr>
          <w:rFonts w:cs="Times New Roman"/>
          <w:i/>
          <w:spacing w:val="-2"/>
        </w:rPr>
        <w:t xml:space="preserve"> </w:t>
      </w:r>
      <w:r w:rsidRPr="00F54B01">
        <w:rPr>
          <w:rFonts w:cs="Times New Roman"/>
          <w:i/>
        </w:rPr>
        <w:t xml:space="preserve">δισκίου </w:t>
      </w:r>
    </w:p>
    <w:p w:rsidR="00C36AA1" w:rsidRDefault="00C36AA1" w:rsidP="009A7039">
      <w:pPr>
        <w:pStyle w:val="a3"/>
        <w:ind w:left="0"/>
        <w:rPr>
          <w:rFonts w:cs="Times New Roman"/>
        </w:rPr>
      </w:pPr>
      <w:r w:rsidRPr="00C36AA1">
        <w:rPr>
          <w:rFonts w:cs="Times New Roman"/>
          <w:lang w:val="el-GR"/>
        </w:rPr>
        <w:t>Ά</w:t>
      </w:r>
      <w:r w:rsidRPr="00FB72E2">
        <w:rPr>
          <w:rFonts w:cs="Times New Roman"/>
          <w:lang w:val="el-GR"/>
        </w:rPr>
        <w:t>νυδρη</w:t>
      </w:r>
      <w:r>
        <w:rPr>
          <w:rFonts w:cs="Times New Roman"/>
        </w:rPr>
        <w:t xml:space="preserve"> </w:t>
      </w:r>
      <w:r w:rsidRPr="00FB72E2">
        <w:rPr>
          <w:rFonts w:cs="Times New Roman"/>
          <w:lang w:val="el-GR"/>
        </w:rPr>
        <w:t xml:space="preserve">λακτόζη </w:t>
      </w:r>
    </w:p>
    <w:p w:rsidR="00C36AA1" w:rsidRDefault="00C36AA1" w:rsidP="009A7039">
      <w:pPr>
        <w:pStyle w:val="a3"/>
        <w:ind w:left="0"/>
        <w:rPr>
          <w:rFonts w:cs="Times New Roman"/>
        </w:rPr>
      </w:pPr>
      <w:r>
        <w:rPr>
          <w:rFonts w:cs="Times New Roman"/>
          <w:lang w:val="el-GR"/>
        </w:rPr>
        <w:t>Μ</w:t>
      </w:r>
      <w:r w:rsidRPr="00FB72E2">
        <w:rPr>
          <w:rFonts w:cs="Times New Roman"/>
          <w:lang w:val="el-GR"/>
        </w:rPr>
        <w:t>ικροκρυσταλλική κυτταρίνη 112 (</w:t>
      </w:r>
      <w:r w:rsidRPr="00C36AA1">
        <w:rPr>
          <w:rFonts w:cs="Times New Roman"/>
        </w:rPr>
        <w:t>E</w:t>
      </w:r>
      <w:r w:rsidRPr="00FB72E2">
        <w:rPr>
          <w:rFonts w:cs="Times New Roman"/>
          <w:lang w:val="el-GR"/>
        </w:rPr>
        <w:t>460)</w:t>
      </w:r>
    </w:p>
    <w:p w:rsidR="00C36AA1" w:rsidRDefault="00C36AA1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Π</w:t>
      </w:r>
      <w:r w:rsidRPr="00FB72E2">
        <w:rPr>
          <w:rFonts w:cs="Times New Roman"/>
          <w:lang w:val="el-GR"/>
        </w:rPr>
        <w:t>ροζελατινοποιημένο άμυλο</w:t>
      </w:r>
    </w:p>
    <w:p w:rsidR="00C36AA1" w:rsidRDefault="00C36AA1" w:rsidP="009A7039">
      <w:pPr>
        <w:pStyle w:val="a3"/>
        <w:ind w:left="0"/>
        <w:rPr>
          <w:rFonts w:cs="Times New Roman"/>
          <w:lang w:val="el-GR"/>
        </w:rPr>
      </w:pPr>
      <w:r w:rsidRPr="00C36AA1">
        <w:rPr>
          <w:rFonts w:cs="Times New Roman"/>
          <w:lang w:val="el-GR"/>
        </w:rPr>
        <w:t>Δ</w:t>
      </w:r>
      <w:r w:rsidRPr="00FB72E2">
        <w:rPr>
          <w:rFonts w:cs="Times New Roman"/>
          <w:lang w:val="el-GR"/>
        </w:rPr>
        <w:t>ιασταυρούμενη</w:t>
      </w:r>
      <w:r>
        <w:rPr>
          <w:rFonts w:cs="Times New Roman"/>
          <w:lang w:val="el-GR"/>
        </w:rPr>
        <w:t xml:space="preserve"> </w:t>
      </w:r>
      <w:r w:rsidRPr="00FB72E2">
        <w:rPr>
          <w:rFonts w:cs="Times New Roman"/>
          <w:lang w:val="el-GR"/>
        </w:rPr>
        <w:t xml:space="preserve">νατριούχος καρμελλόζη </w:t>
      </w:r>
    </w:p>
    <w:p w:rsidR="00C36AA1" w:rsidRPr="00FB72E2" w:rsidRDefault="00C36AA1" w:rsidP="009A7039">
      <w:pPr>
        <w:pStyle w:val="a3"/>
        <w:ind w:left="0"/>
        <w:rPr>
          <w:rFonts w:cs="Times New Roman"/>
          <w:lang w:val="el-GR"/>
        </w:rPr>
      </w:pPr>
      <w:r w:rsidRPr="00C36AA1">
        <w:rPr>
          <w:rFonts w:cs="Times New Roman"/>
          <w:lang w:val="el-GR"/>
        </w:rPr>
        <w:t>Σ</w:t>
      </w:r>
      <w:r w:rsidRPr="00FB72E2">
        <w:rPr>
          <w:rFonts w:cs="Times New Roman"/>
          <w:lang w:val="el-GR"/>
        </w:rPr>
        <w:t>τεατικό</w:t>
      </w:r>
      <w:r>
        <w:rPr>
          <w:rFonts w:cs="Times New Roman"/>
          <w:lang w:val="el-GR"/>
        </w:rPr>
        <w:t xml:space="preserve"> </w:t>
      </w:r>
      <w:r w:rsidRPr="00FB72E2">
        <w:rPr>
          <w:rFonts w:cs="Times New Roman"/>
          <w:lang w:val="el-GR"/>
        </w:rPr>
        <w:t>μαγνήσιο (</w:t>
      </w:r>
      <w:r w:rsidRPr="00B50FD0">
        <w:t>E</w:t>
      </w:r>
      <w:r w:rsidRPr="00FB72E2">
        <w:rPr>
          <w:lang w:val="el-GR"/>
        </w:rPr>
        <w:t>470</w:t>
      </w:r>
      <w:r w:rsidRPr="00B50FD0">
        <w:t>b</w:t>
      </w:r>
      <w:r w:rsidRPr="00FB72E2">
        <w:rPr>
          <w:rFonts w:cs="Times New Roman"/>
          <w:lang w:val="el-GR"/>
        </w:rPr>
        <w:t xml:space="preserve">) </w:t>
      </w:r>
    </w:p>
    <w:p w:rsidR="00AC0700" w:rsidRDefault="00302B89" w:rsidP="009A7039">
      <w:pPr>
        <w:rPr>
          <w:rFonts w:ascii="Times New Roman" w:hAnsi="Times New Roman" w:cs="Times New Roman"/>
          <w:i/>
        </w:rPr>
      </w:pPr>
      <w:r w:rsidRPr="00F54B01">
        <w:rPr>
          <w:rFonts w:ascii="Times New Roman" w:hAnsi="Times New Roman" w:cs="Times New Roman"/>
          <w:i/>
          <w:lang w:val="el-GR"/>
        </w:rPr>
        <w:t>Επικάλυψη</w:t>
      </w:r>
      <w:r w:rsidRPr="00FB72E2">
        <w:rPr>
          <w:rFonts w:ascii="Times New Roman" w:hAnsi="Times New Roman" w:cs="Times New Roman"/>
          <w:i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με</w:t>
      </w:r>
      <w:r w:rsidRPr="00FB72E2">
        <w:rPr>
          <w:rFonts w:ascii="Times New Roman" w:hAnsi="Times New Roman" w:cs="Times New Roman"/>
          <w:i/>
          <w:spacing w:val="-1"/>
        </w:rPr>
        <w:t xml:space="preserve"> </w:t>
      </w:r>
      <w:r w:rsidRPr="00F54B01">
        <w:rPr>
          <w:rFonts w:ascii="Times New Roman" w:hAnsi="Times New Roman" w:cs="Times New Roman"/>
          <w:i/>
          <w:lang w:val="el-GR"/>
        </w:rPr>
        <w:t>υμένιο</w:t>
      </w:r>
      <w:r w:rsidRPr="00FB72E2">
        <w:rPr>
          <w:rFonts w:ascii="Times New Roman" w:hAnsi="Times New Roman" w:cs="Times New Roman"/>
          <w:i/>
        </w:rPr>
        <w:t xml:space="preserve"> </w:t>
      </w:r>
    </w:p>
    <w:p w:rsidR="00C36AA1" w:rsidRDefault="00C36AA1" w:rsidP="009A7039">
      <w:pPr>
        <w:pStyle w:val="a3"/>
        <w:ind w:left="0"/>
        <w:rPr>
          <w:rFonts w:cs="Times New Roman"/>
          <w:lang w:val="el-GR"/>
        </w:rPr>
      </w:pPr>
      <w:r w:rsidRPr="0055274F">
        <w:rPr>
          <w:rFonts w:cs="Times New Roman"/>
          <w:lang w:val="el-GR"/>
        </w:rPr>
        <w:t>Λάκα</w:t>
      </w:r>
      <w:r>
        <w:rPr>
          <w:rFonts w:cs="Times New Roman"/>
          <w:lang w:val="el-GR"/>
        </w:rPr>
        <w:t xml:space="preserve"> </w:t>
      </w:r>
      <w:r w:rsidRPr="0055274F">
        <w:rPr>
          <w:rFonts w:cs="Times New Roman"/>
          <w:lang w:val="el-GR"/>
        </w:rPr>
        <w:t>αλουμινίου ινδικοκαρμίνιου</w:t>
      </w:r>
      <w:r w:rsidRPr="00C36AA1">
        <w:rPr>
          <w:rFonts w:cs="Times New Roman"/>
          <w:lang w:val="el-GR"/>
        </w:rPr>
        <w:t xml:space="preserve"> (</w:t>
      </w:r>
      <w:r w:rsidRPr="00C36AA1">
        <w:rPr>
          <w:rFonts w:cs="Times New Roman"/>
        </w:rPr>
        <w:t>E</w:t>
      </w:r>
      <w:r w:rsidRPr="00C36AA1">
        <w:rPr>
          <w:rFonts w:cs="Times New Roman"/>
          <w:lang w:val="el-GR"/>
        </w:rPr>
        <w:t>132)</w:t>
      </w:r>
    </w:p>
    <w:p w:rsidR="00C36AA1" w:rsidRDefault="00C36AA1" w:rsidP="009A7039">
      <w:pPr>
        <w:pStyle w:val="a3"/>
        <w:ind w:left="0"/>
        <w:rPr>
          <w:rFonts w:cs="Times New Roman"/>
          <w:lang w:val="el-GR"/>
        </w:rPr>
      </w:pPr>
      <w:r w:rsidRPr="0055274F">
        <w:rPr>
          <w:rFonts w:cs="Times New Roman"/>
          <w:lang w:val="el-GR"/>
        </w:rPr>
        <w:t>Διοξείδιο</w:t>
      </w:r>
      <w:r>
        <w:rPr>
          <w:rFonts w:cs="Times New Roman"/>
          <w:lang w:val="el-GR"/>
        </w:rPr>
        <w:t xml:space="preserve"> </w:t>
      </w:r>
      <w:r w:rsidRPr="0055274F">
        <w:rPr>
          <w:rFonts w:cs="Times New Roman"/>
          <w:lang w:val="el-GR"/>
        </w:rPr>
        <w:t>του</w:t>
      </w:r>
      <w:r w:rsidRPr="00C36AA1">
        <w:rPr>
          <w:rFonts w:cs="Times New Roman"/>
          <w:lang w:val="el-GR"/>
        </w:rPr>
        <w:t xml:space="preserve"> </w:t>
      </w:r>
      <w:r w:rsidRPr="0055274F">
        <w:rPr>
          <w:rFonts w:cs="Times New Roman"/>
          <w:lang w:val="el-GR"/>
        </w:rPr>
        <w:t>τιτανίου</w:t>
      </w:r>
      <w:r w:rsidRPr="00C36AA1">
        <w:rPr>
          <w:rFonts w:cs="Times New Roman"/>
          <w:lang w:val="el-GR"/>
        </w:rPr>
        <w:t xml:space="preserve"> (</w:t>
      </w:r>
      <w:r w:rsidRPr="00C36AA1">
        <w:rPr>
          <w:rFonts w:cs="Times New Roman"/>
        </w:rPr>
        <w:t>E</w:t>
      </w:r>
      <w:r w:rsidRPr="00C36AA1">
        <w:rPr>
          <w:rFonts w:cs="Times New Roman"/>
          <w:lang w:val="el-GR"/>
        </w:rPr>
        <w:t>171)</w:t>
      </w:r>
    </w:p>
    <w:p w:rsidR="00C36AA1" w:rsidRDefault="00C36AA1" w:rsidP="009A7039">
      <w:pPr>
        <w:pStyle w:val="a3"/>
        <w:ind w:left="0"/>
        <w:rPr>
          <w:rFonts w:cs="Times New Roman"/>
          <w:lang w:val="el-GR"/>
        </w:rPr>
      </w:pPr>
      <w:r w:rsidRPr="0055274F">
        <w:rPr>
          <w:rFonts w:cs="Times New Roman"/>
          <w:lang w:val="el-GR"/>
        </w:rPr>
        <w:t>Πολυβινυλαλκοόλη</w:t>
      </w:r>
      <w:r>
        <w:rPr>
          <w:rFonts w:cs="Times New Roman"/>
          <w:lang w:val="el-GR"/>
        </w:rPr>
        <w:t xml:space="preserve"> </w:t>
      </w:r>
      <w:r w:rsidRPr="00C36AA1">
        <w:rPr>
          <w:rFonts w:cs="Times New Roman"/>
          <w:lang w:val="el-GR"/>
        </w:rPr>
        <w:t xml:space="preserve"> </w:t>
      </w:r>
      <w:r w:rsidRPr="00C36AA1">
        <w:rPr>
          <w:rFonts w:cs="Times New Roman"/>
        </w:rPr>
        <w:t>E</w:t>
      </w:r>
      <w:r w:rsidRPr="00C36AA1">
        <w:rPr>
          <w:rFonts w:cs="Times New Roman"/>
          <w:lang w:val="el-GR"/>
        </w:rPr>
        <w:t>1203)</w:t>
      </w:r>
    </w:p>
    <w:p w:rsidR="00C36AA1" w:rsidRDefault="00C36AA1" w:rsidP="009A7039">
      <w:pPr>
        <w:pStyle w:val="a3"/>
        <w:ind w:left="0"/>
        <w:rPr>
          <w:rFonts w:cs="Times New Roman"/>
          <w:lang w:val="el-GR"/>
        </w:rPr>
      </w:pPr>
      <w:r w:rsidRPr="0055274F">
        <w:rPr>
          <w:rFonts w:cs="Times New Roman"/>
          <w:lang w:val="el-GR"/>
        </w:rPr>
        <w:t>Πολυαιθυλενογλυκόλη</w:t>
      </w:r>
      <w:r>
        <w:rPr>
          <w:rFonts w:cs="Times New Roman"/>
          <w:lang w:val="el-GR"/>
        </w:rPr>
        <w:t xml:space="preserve"> </w:t>
      </w:r>
      <w:r w:rsidRPr="00C36AA1">
        <w:rPr>
          <w:rFonts w:cs="Times New Roman"/>
          <w:lang w:val="el-GR"/>
        </w:rPr>
        <w:t>4000 (</w:t>
      </w:r>
      <w:r w:rsidRPr="00C36AA1">
        <w:rPr>
          <w:rFonts w:cs="Times New Roman"/>
        </w:rPr>
        <w:t>E</w:t>
      </w:r>
      <w:r w:rsidRPr="00C36AA1">
        <w:rPr>
          <w:rFonts w:cs="Times New Roman"/>
          <w:lang w:val="el-GR"/>
        </w:rPr>
        <w:t xml:space="preserve">1521) </w:t>
      </w:r>
    </w:p>
    <w:p w:rsidR="009D104A" w:rsidRPr="00F54B01" w:rsidRDefault="00C36AA1" w:rsidP="00C36AA1">
      <w:pPr>
        <w:pStyle w:val="a3"/>
        <w:ind w:left="0"/>
        <w:rPr>
          <w:rFonts w:cs="Times New Roman"/>
        </w:rPr>
      </w:pPr>
      <w:r w:rsidRPr="0055274F">
        <w:rPr>
          <w:rFonts w:cs="Times New Roman"/>
          <w:lang w:val="el-GR"/>
        </w:rPr>
        <w:t>Τάλκης</w:t>
      </w:r>
      <w:r>
        <w:rPr>
          <w:rFonts w:cs="Times New Roman"/>
          <w:lang w:val="el-GR"/>
        </w:rPr>
        <w:t xml:space="preserve"> </w:t>
      </w:r>
      <w:r w:rsidRPr="00FB72E2">
        <w:rPr>
          <w:rFonts w:cs="Times New Roman"/>
          <w:lang w:val="el-GR"/>
        </w:rPr>
        <w:t xml:space="preserve"> 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</w:rPr>
      </w:pPr>
      <w:r w:rsidRPr="00F54B01">
        <w:rPr>
          <w:rFonts w:ascii="Times New Roman" w:hAnsi="Times New Roman" w:cs="Times New Roman"/>
          <w:b/>
        </w:rPr>
        <w:t>Ασυμβατότητες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</w:rPr>
      </w:pPr>
      <w:proofErr w:type="gramStart"/>
      <w:r w:rsidRPr="00F54B01">
        <w:rPr>
          <w:rFonts w:cs="Times New Roman"/>
        </w:rPr>
        <w:t>Δεν</w:t>
      </w:r>
      <w:r w:rsidRPr="00F54B01">
        <w:rPr>
          <w:rFonts w:cs="Times New Roman"/>
          <w:spacing w:val="-1"/>
        </w:rPr>
        <w:t xml:space="preserve"> </w:t>
      </w:r>
      <w:r w:rsidRPr="00F54B01">
        <w:rPr>
          <w:rFonts w:cs="Times New Roman"/>
        </w:rPr>
        <w:t>εφαρμόζεται.</w:t>
      </w:r>
      <w:proofErr w:type="gramEnd"/>
    </w:p>
    <w:p w:rsidR="009D104A" w:rsidRPr="00F54B01" w:rsidRDefault="009D104A" w:rsidP="009A7039">
      <w:pPr>
        <w:rPr>
          <w:rFonts w:ascii="Times New Roman" w:eastAsia="Times New Roman" w:hAnsi="Times New Roman" w:cs="Times New Roman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</w:rPr>
      </w:pPr>
      <w:r w:rsidRPr="00F54B01">
        <w:rPr>
          <w:rFonts w:ascii="Times New Roman" w:hAnsi="Times New Roman" w:cs="Times New Roman"/>
          <w:b/>
        </w:rPr>
        <w:t>Διάρκεια ζωής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Default="0004095E" w:rsidP="009A7039">
      <w:pPr>
        <w:pStyle w:val="a3"/>
        <w:ind w:left="0"/>
        <w:rPr>
          <w:rFonts w:cs="Times New Roman"/>
        </w:rPr>
      </w:pPr>
      <w:proofErr w:type="gramStart"/>
      <w:r>
        <w:rPr>
          <w:rFonts w:cs="Times New Roman"/>
        </w:rPr>
        <w:t>3</w:t>
      </w:r>
      <w:r w:rsidRPr="00F54B01">
        <w:rPr>
          <w:rFonts w:cs="Times New Roman"/>
        </w:rPr>
        <w:t xml:space="preserve"> </w:t>
      </w:r>
      <w:r w:rsidR="00302B89" w:rsidRPr="00F54B01">
        <w:rPr>
          <w:rFonts w:cs="Times New Roman"/>
        </w:rPr>
        <w:t>χρόνια.</w:t>
      </w:r>
      <w:proofErr w:type="gramEnd"/>
    </w:p>
    <w:p w:rsidR="0004095E" w:rsidRPr="003D4CFC" w:rsidRDefault="0004095E" w:rsidP="009A7039">
      <w:pPr>
        <w:pStyle w:val="a3"/>
        <w:ind w:left="0"/>
        <w:rPr>
          <w:rFonts w:cs="Times New Roman"/>
          <w:lang w:val="el-GR"/>
        </w:rPr>
      </w:pPr>
      <w:r w:rsidRPr="003D4CFC">
        <w:rPr>
          <w:rFonts w:cs="Times New Roman"/>
          <w:i/>
          <w:u w:val="single"/>
          <w:lang w:val="el-GR"/>
        </w:rPr>
        <w:t>Μετά το 1</w:t>
      </w:r>
      <w:r w:rsidRPr="003D4CFC">
        <w:rPr>
          <w:rFonts w:cs="Times New Roman"/>
          <w:i/>
          <w:u w:val="single"/>
          <w:vertAlign w:val="superscript"/>
          <w:lang w:val="el-GR"/>
        </w:rPr>
        <w:t>ο</w:t>
      </w:r>
      <w:r w:rsidRPr="003D4CFC">
        <w:rPr>
          <w:rFonts w:cs="Times New Roman"/>
          <w:i/>
          <w:u w:val="single"/>
          <w:lang w:val="el-GR"/>
        </w:rPr>
        <w:t xml:space="preserve"> άνοιγμα:</w:t>
      </w:r>
      <w:r>
        <w:rPr>
          <w:rFonts w:cs="Times New Roman"/>
          <w:lang w:val="el-GR"/>
        </w:rPr>
        <w:t xml:space="preserve"> 30 ημέρες </w:t>
      </w:r>
      <w:r w:rsidR="002D6E77">
        <w:rPr>
          <w:rFonts w:cs="Times New Roman"/>
          <w:lang w:val="el-GR"/>
        </w:rPr>
        <w:t xml:space="preserve">όταν φυλάσσεται σε θερμοκρασία μικρότερη των 25 </w:t>
      </w:r>
      <w:r w:rsidR="002D6E77">
        <w:rPr>
          <w:rFonts w:cs="Times New Roman"/>
          <w:vertAlign w:val="superscript"/>
          <w:lang w:val="el-GR"/>
        </w:rPr>
        <w:t>ο</w:t>
      </w:r>
      <w:r w:rsidR="002D6E77">
        <w:rPr>
          <w:rFonts w:cs="Times New Roman"/>
        </w:rPr>
        <w:t>C</w:t>
      </w:r>
      <w:r w:rsidR="002D6E77" w:rsidRPr="003D4CFC">
        <w:rPr>
          <w:rFonts w:cs="Times New Roman"/>
          <w:lang w:val="el-GR"/>
        </w:rPr>
        <w:t>.</w:t>
      </w:r>
    </w:p>
    <w:p w:rsidR="009D104A" w:rsidRPr="003D4CFC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3D4CFC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  <w:lang w:val="el-GR"/>
        </w:rPr>
      </w:pPr>
      <w:r w:rsidRPr="003D4CFC">
        <w:rPr>
          <w:rFonts w:ascii="Times New Roman" w:hAnsi="Times New Roman" w:cs="Times New Roman"/>
          <w:b/>
          <w:lang w:val="el-GR"/>
        </w:rPr>
        <w:t>Ιδιαίτερες προφυλάξεις κατά τη φύλαξη του προϊόντος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9D104A" w:rsidRPr="00F54B01" w:rsidRDefault="002D6E77" w:rsidP="009A7039">
      <w:pPr>
        <w:pStyle w:val="a3"/>
        <w:ind w:left="0"/>
        <w:rPr>
          <w:rFonts w:cs="Times New Roman"/>
          <w:lang w:val="el-GR"/>
        </w:rPr>
      </w:pPr>
      <w:r>
        <w:rPr>
          <w:noProof/>
          <w:lang w:val="el-GR"/>
        </w:rPr>
        <w:t>Το φαρμακευτικό αυτό προϊόν δεν απαιτεί ιδιαίτερες συνθήκες φύλαξης</w:t>
      </w:r>
      <w:r w:rsidR="00302B89" w:rsidRPr="00F54B01">
        <w:rPr>
          <w:rFonts w:cs="Times New Roman"/>
          <w:lang w:val="el-GR"/>
        </w:rPr>
        <w:t>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</w:rPr>
      </w:pPr>
      <w:r w:rsidRPr="00F54B01">
        <w:rPr>
          <w:rFonts w:ascii="Times New Roman" w:hAnsi="Times New Roman" w:cs="Times New Roman"/>
          <w:b/>
        </w:rPr>
        <w:t>Φύση και συστατικά του περιέκτη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Φιάλη από πολυαιθυλένιο υψηλής πυκνότητας (</w:t>
      </w:r>
      <w:r w:rsidRPr="00F54B01">
        <w:rPr>
          <w:rFonts w:cs="Times New Roman"/>
        </w:rPr>
        <w:t>HDPE</w:t>
      </w:r>
      <w:r w:rsidRPr="00F54B01">
        <w:rPr>
          <w:rFonts w:cs="Times New Roman"/>
          <w:lang w:val="el-GR"/>
        </w:rPr>
        <w:t>), με ειδικό πώμα ασφαλείας για</w:t>
      </w:r>
      <w:r w:rsidRPr="00F54B01">
        <w:rPr>
          <w:rFonts w:cs="Times New Roman"/>
          <w:spacing w:val="-26"/>
          <w:lang w:val="el-GR"/>
        </w:rPr>
        <w:t xml:space="preserve"> </w:t>
      </w:r>
      <w:r w:rsidRPr="00F54B01">
        <w:rPr>
          <w:rFonts w:cs="Times New Roman"/>
          <w:lang w:val="el-GR"/>
        </w:rPr>
        <w:t>παιδιά φτιαγμένο από πολυπροπυλένιο, που περιέχουν 30 επικαλυμμένα με λεπτό υμένιο δισκία</w:t>
      </w:r>
      <w:r w:rsidRPr="00F54B01">
        <w:rPr>
          <w:rFonts w:cs="Times New Roman"/>
          <w:spacing w:val="-25"/>
          <w:lang w:val="el-GR"/>
        </w:rPr>
        <w:t xml:space="preserve"> </w:t>
      </w:r>
      <w:r w:rsidRPr="00F54B01">
        <w:rPr>
          <w:rFonts w:cs="Times New Roman"/>
          <w:lang w:val="el-GR"/>
        </w:rPr>
        <w:t>και αποξηραντική γέλη πυριτικού</w:t>
      </w:r>
      <w:r w:rsidRPr="00F54B01">
        <w:rPr>
          <w:rFonts w:cs="Times New Roman"/>
          <w:spacing w:val="-8"/>
          <w:lang w:val="el-GR"/>
        </w:rPr>
        <w:t xml:space="preserve"> </w:t>
      </w:r>
      <w:r w:rsidRPr="00F54B01">
        <w:rPr>
          <w:rFonts w:cs="Times New Roman"/>
          <w:lang w:val="el-GR"/>
        </w:rPr>
        <w:t>οξέ</w:t>
      </w:r>
      <w:r w:rsidRPr="00F54B01">
        <w:rPr>
          <w:rFonts w:cs="Times New Roman"/>
        </w:rPr>
        <w:t>o</w:t>
      </w:r>
      <w:r w:rsidRPr="00F54B01">
        <w:rPr>
          <w:rFonts w:cs="Times New Roman"/>
          <w:lang w:val="el-GR"/>
        </w:rPr>
        <w:t>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2D6E77" w:rsidRDefault="002D6E77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>Συσκευασίες:</w:t>
      </w:r>
    </w:p>
    <w:p w:rsidR="002D6E77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Οι παρακάτω συσκευασίες είναι διαθέσιμες: Κουτιά που περιέχουν 1 φιάλη των 30 επικαλυμμένων</w:t>
      </w:r>
      <w:r w:rsidRPr="00F54B01">
        <w:rPr>
          <w:rFonts w:cs="Times New Roman"/>
          <w:spacing w:val="-27"/>
          <w:lang w:val="el-GR"/>
        </w:rPr>
        <w:t xml:space="preserve"> </w:t>
      </w:r>
      <w:r w:rsidRPr="00F54B01">
        <w:rPr>
          <w:rFonts w:cs="Times New Roman"/>
          <w:lang w:val="el-GR"/>
        </w:rPr>
        <w:t xml:space="preserve">με λεπτό υμένιο δισκίων </w:t>
      </w:r>
    </w:p>
    <w:p w:rsidR="009A7039" w:rsidRPr="003D4CFC" w:rsidRDefault="002D6E77" w:rsidP="009A7039">
      <w:pPr>
        <w:pStyle w:val="a3"/>
        <w:ind w:left="0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Οι πολυσυσκευασίες περιέχουν: </w:t>
      </w:r>
      <w:r w:rsidR="00302B89" w:rsidRPr="00F54B01">
        <w:rPr>
          <w:rFonts w:cs="Times New Roman"/>
          <w:lang w:val="el-GR"/>
        </w:rPr>
        <w:t xml:space="preserve"> 90 (3 φιάλες των 30)επικαλυμμένα με λεπτό</w:t>
      </w:r>
      <w:r w:rsidR="00302B89" w:rsidRPr="00F54B01">
        <w:rPr>
          <w:rFonts w:cs="Times New Roman"/>
          <w:spacing w:val="-23"/>
          <w:lang w:val="el-GR"/>
        </w:rPr>
        <w:t xml:space="preserve"> </w:t>
      </w:r>
      <w:r w:rsidR="00302B89" w:rsidRPr="00F54B01">
        <w:rPr>
          <w:rFonts w:cs="Times New Roman"/>
          <w:lang w:val="el-GR"/>
        </w:rPr>
        <w:t xml:space="preserve">υμένιο δισκία. </w:t>
      </w:r>
    </w:p>
    <w:p w:rsidR="009A7039" w:rsidRPr="003D4CFC" w:rsidRDefault="009A7039" w:rsidP="009A7039">
      <w:pPr>
        <w:pStyle w:val="a3"/>
        <w:ind w:left="0"/>
        <w:rPr>
          <w:rFonts w:cs="Times New Roman"/>
          <w:lang w:val="el-GR"/>
        </w:rPr>
      </w:pPr>
    </w:p>
    <w:p w:rsidR="009D104A" w:rsidRPr="00F54B01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Μπορεί να μην κυκλοφορούν όλες οι</w:t>
      </w:r>
      <w:r w:rsidRPr="00F54B01">
        <w:rPr>
          <w:rFonts w:cs="Times New Roman"/>
          <w:spacing w:val="-17"/>
          <w:lang w:val="el-GR"/>
        </w:rPr>
        <w:t xml:space="preserve"> </w:t>
      </w:r>
      <w:r w:rsidRPr="00F54B01">
        <w:rPr>
          <w:rFonts w:cs="Times New Roman"/>
          <w:lang w:val="el-GR"/>
        </w:rPr>
        <w:t>συσκευασίες.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a4"/>
        <w:numPr>
          <w:ilvl w:val="1"/>
          <w:numId w:val="22"/>
        </w:numPr>
        <w:tabs>
          <w:tab w:val="left" w:pos="567"/>
        </w:tabs>
        <w:ind w:left="567"/>
        <w:jc w:val="left"/>
        <w:rPr>
          <w:rFonts w:ascii="Times New Roman" w:hAnsi="Times New Roman" w:cs="Times New Roman"/>
          <w:b/>
        </w:rPr>
      </w:pPr>
      <w:r w:rsidRPr="00F54B01">
        <w:rPr>
          <w:rFonts w:ascii="Times New Roman" w:hAnsi="Times New Roman" w:cs="Times New Roman"/>
          <w:b/>
        </w:rPr>
        <w:t>Ιδιαίτερες προφυλάξεις απόρριψης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104A" w:rsidRDefault="00302B89" w:rsidP="009A7039">
      <w:pPr>
        <w:pStyle w:val="a3"/>
        <w:ind w:left="0"/>
        <w:rPr>
          <w:rFonts w:cs="Times New Roman"/>
          <w:lang w:val="el-GR"/>
        </w:rPr>
      </w:pPr>
      <w:r w:rsidRPr="00F54B01">
        <w:rPr>
          <w:rFonts w:cs="Times New Roman"/>
          <w:lang w:val="el-GR"/>
        </w:rPr>
        <w:t>Κάθε αχρησιμοποίητο φαρμακευτικό προϊόν ή υπόλειμμα πρέπει να απορρίπτεται σύμφωνα με</w:t>
      </w:r>
      <w:r w:rsidRPr="00F54B01">
        <w:rPr>
          <w:rFonts w:cs="Times New Roman"/>
          <w:spacing w:val="-29"/>
          <w:lang w:val="el-GR"/>
        </w:rPr>
        <w:t xml:space="preserve"> </w:t>
      </w:r>
      <w:r w:rsidRPr="00F54B01">
        <w:rPr>
          <w:rFonts w:cs="Times New Roman"/>
          <w:lang w:val="el-GR"/>
        </w:rPr>
        <w:t>τις κατά τόπους ισχύουσες σχετικές</w:t>
      </w:r>
      <w:r w:rsidRPr="00F54B01">
        <w:rPr>
          <w:rFonts w:cs="Times New Roman"/>
          <w:spacing w:val="-6"/>
          <w:lang w:val="el-GR"/>
        </w:rPr>
        <w:t xml:space="preserve"> </w:t>
      </w:r>
      <w:r w:rsidRPr="00F54B01">
        <w:rPr>
          <w:rFonts w:cs="Times New Roman"/>
          <w:lang w:val="el-GR"/>
        </w:rPr>
        <w:t>διατάξεις.</w:t>
      </w:r>
    </w:p>
    <w:p w:rsidR="002D6E77" w:rsidRPr="00F54B01" w:rsidRDefault="002D6E77" w:rsidP="009A7039">
      <w:pPr>
        <w:pStyle w:val="a3"/>
        <w:ind w:left="0"/>
        <w:rPr>
          <w:rFonts w:cs="Times New Roman"/>
          <w:lang w:val="el-GR"/>
        </w:rPr>
      </w:pPr>
    </w:p>
    <w:p w:rsidR="009D104A" w:rsidRPr="00F54B01" w:rsidRDefault="00302B89" w:rsidP="009A7039">
      <w:pPr>
        <w:pStyle w:val="1"/>
        <w:numPr>
          <w:ilvl w:val="0"/>
          <w:numId w:val="22"/>
        </w:numPr>
        <w:tabs>
          <w:tab w:val="left" w:pos="567"/>
        </w:tabs>
        <w:ind w:left="567"/>
        <w:rPr>
          <w:rFonts w:cs="Times New Roman"/>
          <w:b w:val="0"/>
          <w:bCs w:val="0"/>
        </w:rPr>
      </w:pPr>
      <w:r w:rsidRPr="00F54B01">
        <w:rPr>
          <w:rFonts w:cs="Times New Roman"/>
        </w:rPr>
        <w:t>ΚΑΤΟΧΟΣ ΤΗΣ ΑΔΕΙΑΣ</w:t>
      </w:r>
      <w:r w:rsidRPr="00F54B01">
        <w:rPr>
          <w:rFonts w:cs="Times New Roman"/>
          <w:spacing w:val="-1"/>
        </w:rPr>
        <w:t xml:space="preserve"> </w:t>
      </w:r>
      <w:r w:rsidRPr="00F54B01">
        <w:rPr>
          <w:rFonts w:cs="Times New Roman"/>
        </w:rPr>
        <w:t>ΚΥΚΛΟΦΟΡΙΑΣ</w:t>
      </w:r>
    </w:p>
    <w:p w:rsidR="009D104A" w:rsidRPr="00CF210F" w:rsidRDefault="009D104A" w:rsidP="009A703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D6E77" w:rsidRPr="00CF210F" w:rsidRDefault="002D6E77" w:rsidP="002D6E77">
      <w:pPr>
        <w:jc w:val="both"/>
        <w:rPr>
          <w:rFonts w:ascii="Times New Roman" w:hAnsi="Times New Roman" w:cs="Times New Roman"/>
          <w:lang w:val="el-GR"/>
        </w:rPr>
      </w:pPr>
      <w:r w:rsidRPr="00CF210F">
        <w:rPr>
          <w:rFonts w:ascii="Times New Roman" w:hAnsi="Times New Roman" w:cs="Times New Roman"/>
        </w:rPr>
        <w:t>ELPEN</w:t>
      </w:r>
      <w:r w:rsidRPr="00CF210F">
        <w:rPr>
          <w:rFonts w:ascii="Times New Roman" w:hAnsi="Times New Roman" w:cs="Times New Roman"/>
          <w:lang w:val="el-GR"/>
        </w:rPr>
        <w:t xml:space="preserve"> ΑΕ ΦΑΡΜΑΚΕΥΤΙΚΗ ΒΙΟΜΗΧΑΝΙΑ</w:t>
      </w:r>
    </w:p>
    <w:p w:rsidR="009D104A" w:rsidRPr="00CF210F" w:rsidRDefault="002D6E77" w:rsidP="009A7039">
      <w:pPr>
        <w:rPr>
          <w:rFonts w:ascii="Times New Roman" w:eastAsia="Times New Roman" w:hAnsi="Times New Roman" w:cs="Times New Roman"/>
          <w:lang w:val="el-GR"/>
        </w:rPr>
      </w:pPr>
      <w:r w:rsidRPr="00CF210F">
        <w:rPr>
          <w:rFonts w:ascii="Times New Roman" w:hAnsi="Times New Roman" w:cs="Times New Roman"/>
          <w:lang w:val="el-GR"/>
        </w:rPr>
        <w:t>Λεωφόρος Μαραθώνος 95, 19009 Πικέρμι Αττικής, Ελλάδα</w:t>
      </w:r>
      <w:r w:rsidRPr="00CF210F" w:rsidDel="002D6E77">
        <w:rPr>
          <w:rFonts w:ascii="Times New Roman" w:hAnsi="Times New Roman" w:cs="Times New Roman"/>
          <w:lang w:val="el-GR"/>
        </w:rPr>
        <w:t xml:space="preserve"> </w:t>
      </w:r>
    </w:p>
    <w:p w:rsidR="009D104A" w:rsidRPr="003D4CFC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numPr>
          <w:ilvl w:val="0"/>
          <w:numId w:val="22"/>
        </w:numPr>
        <w:tabs>
          <w:tab w:val="left" w:pos="567"/>
        </w:tabs>
        <w:ind w:left="567"/>
        <w:rPr>
          <w:rFonts w:cs="Times New Roman"/>
          <w:b w:val="0"/>
          <w:bCs w:val="0"/>
        </w:rPr>
      </w:pPr>
      <w:proofErr w:type="gramStart"/>
      <w:r w:rsidRPr="00F54B01">
        <w:rPr>
          <w:rFonts w:cs="Times New Roman"/>
        </w:rPr>
        <w:t>ΑΡΙΘΜΟΣ(</w:t>
      </w:r>
      <w:proofErr w:type="gramEnd"/>
      <w:r w:rsidRPr="00F54B01">
        <w:rPr>
          <w:rFonts w:cs="Times New Roman"/>
        </w:rPr>
        <w:t>ΟΙ) ΑΔΕΙΑΣ</w:t>
      </w:r>
      <w:r w:rsidRPr="00F54B01">
        <w:rPr>
          <w:rFonts w:cs="Times New Roman"/>
          <w:spacing w:val="-4"/>
        </w:rPr>
        <w:t xml:space="preserve"> </w:t>
      </w:r>
      <w:r w:rsidRPr="00F54B01">
        <w:rPr>
          <w:rFonts w:cs="Times New Roman"/>
        </w:rPr>
        <w:t>ΚΥΚΛΟΦΟΡΙΑΣ</w:t>
      </w:r>
    </w:p>
    <w:p w:rsidR="008E2BBE" w:rsidRDefault="008E2BBE" w:rsidP="002D6E77">
      <w:pPr>
        <w:spacing w:before="8"/>
        <w:rPr>
          <w:rFonts w:ascii="Times New Roman" w:hAnsi="Times New Roman" w:cs="Times New Roman"/>
          <w:color w:val="000000" w:themeColor="text1"/>
          <w:lang w:val="el-GR"/>
        </w:rPr>
      </w:pPr>
    </w:p>
    <w:p w:rsidR="002D6E77" w:rsidRPr="0013033C" w:rsidRDefault="002D6E77" w:rsidP="002D6E77">
      <w:pPr>
        <w:spacing w:before="8"/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</w:pPr>
      <w:r w:rsidRPr="0013033C">
        <w:rPr>
          <w:rFonts w:ascii="Times New Roman" w:hAnsi="Times New Roman" w:cs="Times New Roman"/>
          <w:color w:val="000000" w:themeColor="text1"/>
          <w:lang w:val="el-GR"/>
        </w:rPr>
        <w:t>Να συμπληρωθεί σε εθνικό επίπεδο</w:t>
      </w:r>
    </w:p>
    <w:p w:rsidR="009D104A" w:rsidRPr="008E2BBE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numPr>
          <w:ilvl w:val="0"/>
          <w:numId w:val="22"/>
        </w:numPr>
        <w:tabs>
          <w:tab w:val="left" w:pos="567"/>
        </w:tabs>
        <w:ind w:left="567"/>
        <w:rPr>
          <w:rFonts w:cs="Times New Roman"/>
          <w:b w:val="0"/>
          <w:bCs w:val="0"/>
          <w:lang w:val="el-GR"/>
        </w:rPr>
      </w:pPr>
      <w:r w:rsidRPr="00F54B01">
        <w:rPr>
          <w:rFonts w:cs="Times New Roman"/>
          <w:lang w:val="el-GR"/>
        </w:rPr>
        <w:t>ΗΜΕΡΟΜΗΝΙΑ ΠΡΩΤΗΣ ΕΓΚΡΙΣΗΣ/ΑΝΑΝΕΩΣΗΣ ΤΗΣ</w:t>
      </w:r>
      <w:r w:rsidRPr="00F54B01">
        <w:rPr>
          <w:rFonts w:cs="Times New Roman"/>
          <w:spacing w:val="-5"/>
          <w:lang w:val="el-GR"/>
        </w:rPr>
        <w:t xml:space="preserve"> </w:t>
      </w:r>
      <w:r w:rsidRPr="00F54B01">
        <w:rPr>
          <w:rFonts w:cs="Times New Roman"/>
          <w:lang w:val="el-GR"/>
        </w:rPr>
        <w:t>ΑΔΕΙΑΣ</w:t>
      </w:r>
    </w:p>
    <w:p w:rsidR="008E2BBE" w:rsidRDefault="008E2BBE" w:rsidP="002D6E77">
      <w:pPr>
        <w:spacing w:before="8"/>
        <w:rPr>
          <w:rFonts w:ascii="Times New Roman" w:hAnsi="Times New Roman" w:cs="Times New Roman"/>
          <w:color w:val="000000" w:themeColor="text1"/>
          <w:lang w:val="el-GR"/>
        </w:rPr>
      </w:pPr>
    </w:p>
    <w:p w:rsidR="002D6E77" w:rsidRPr="0013033C" w:rsidRDefault="002D6E77" w:rsidP="002D6E77">
      <w:pPr>
        <w:spacing w:before="8"/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</w:pPr>
      <w:r w:rsidRPr="0013033C">
        <w:rPr>
          <w:rFonts w:ascii="Times New Roman" w:hAnsi="Times New Roman" w:cs="Times New Roman"/>
          <w:color w:val="000000" w:themeColor="text1"/>
          <w:lang w:val="el-GR"/>
        </w:rPr>
        <w:t>Να συμπληρωθεί σε εθνικό επίπεδο</w:t>
      </w:r>
    </w:p>
    <w:p w:rsidR="009D104A" w:rsidRPr="00F54B01" w:rsidRDefault="009D104A" w:rsidP="009A7039">
      <w:pPr>
        <w:rPr>
          <w:rFonts w:ascii="Times New Roman" w:eastAsia="Times New Roman" w:hAnsi="Times New Roman" w:cs="Times New Roman"/>
          <w:lang w:val="el-GR"/>
        </w:rPr>
      </w:pPr>
    </w:p>
    <w:p w:rsidR="009D104A" w:rsidRPr="00F54B01" w:rsidRDefault="00302B89" w:rsidP="009A7039">
      <w:pPr>
        <w:pStyle w:val="1"/>
        <w:numPr>
          <w:ilvl w:val="0"/>
          <w:numId w:val="22"/>
        </w:numPr>
        <w:tabs>
          <w:tab w:val="left" w:pos="567"/>
        </w:tabs>
        <w:ind w:left="567"/>
        <w:rPr>
          <w:rFonts w:cs="Times New Roman"/>
          <w:b w:val="0"/>
          <w:bCs w:val="0"/>
        </w:rPr>
      </w:pPr>
      <w:r w:rsidRPr="00F54B01">
        <w:rPr>
          <w:rFonts w:cs="Times New Roman"/>
        </w:rPr>
        <w:t>ΗΜΕΡΟΜΗΝΙΑ ΑΝΑΘΕΩΡΗΣΗΣ ΤΟΥ</w:t>
      </w:r>
      <w:r w:rsidRPr="00F54B01">
        <w:rPr>
          <w:rFonts w:cs="Times New Roman"/>
          <w:spacing w:val="-3"/>
        </w:rPr>
        <w:t xml:space="preserve"> </w:t>
      </w:r>
      <w:r w:rsidRPr="00F54B01">
        <w:rPr>
          <w:rFonts w:cs="Times New Roman"/>
        </w:rPr>
        <w:t>ΚΕΙΜΕΝΟΥ</w:t>
      </w:r>
    </w:p>
    <w:p w:rsidR="008E2BBE" w:rsidRDefault="008E2BBE" w:rsidP="00D40908">
      <w:pPr>
        <w:rPr>
          <w:rFonts w:ascii="Times New Roman" w:hAnsi="Times New Roman" w:cs="Times New Roman"/>
          <w:color w:val="000000" w:themeColor="text1"/>
          <w:lang w:val="el-GR"/>
        </w:rPr>
      </w:pPr>
    </w:p>
    <w:p w:rsidR="00246943" w:rsidRPr="0082693C" w:rsidRDefault="002D6E77" w:rsidP="00D40908">
      <w:pPr>
        <w:rPr>
          <w:rFonts w:cs="Times New Roman"/>
          <w:lang w:val="el-GR"/>
        </w:rPr>
      </w:pPr>
      <w:r w:rsidRPr="0013033C">
        <w:rPr>
          <w:rFonts w:ascii="Times New Roman" w:hAnsi="Times New Roman" w:cs="Times New Roman"/>
          <w:color w:val="000000" w:themeColor="text1"/>
          <w:lang w:val="el-GR"/>
        </w:rPr>
        <w:t>Να συμπληρωθεί σε εθνικό επίπεδο</w:t>
      </w:r>
      <w:bookmarkStart w:id="2" w:name="B._ΦΥΛΛΟ_ΟΔΗΓΙΩΝ_ΧΡΗΣΗΣ"/>
      <w:bookmarkStart w:id="3" w:name="Α._ΕΠΙΣΗΜΑΝΣΗ"/>
      <w:bookmarkEnd w:id="2"/>
      <w:bookmarkEnd w:id="3"/>
    </w:p>
    <w:sectPr w:rsidR="00246943" w:rsidRPr="0082693C" w:rsidSect="008E2BBE">
      <w:footerReference w:type="default" r:id="rId10"/>
      <w:pgSz w:w="11910" w:h="16850"/>
      <w:pgMar w:top="1134" w:right="1137" w:bottom="1134" w:left="1418" w:header="0" w:footer="6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02" w:rsidRDefault="00AA0802">
      <w:r>
        <w:separator/>
      </w:r>
    </w:p>
  </w:endnote>
  <w:endnote w:type="continuationSeparator" w:id="0">
    <w:p w:rsidR="00AA0802" w:rsidRDefault="00AA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48" w:rsidRDefault="00CA6D48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050688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10107930</wp:posOffset>
              </wp:positionV>
              <wp:extent cx="220345" cy="127635"/>
              <wp:effectExtent l="381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D48" w:rsidRDefault="00CA6D48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E6B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05pt;margin-top:795.9pt;width:17.35pt;height:10.05pt;z-index:-2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3E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" filled="f" stroked="f">
              <v:textbox inset="0,0,0,0">
                <w:txbxContent>
                  <w:p w:rsidR="00CA6D48" w:rsidRDefault="00CA6D48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E6B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02" w:rsidRDefault="00AA0802">
      <w:r>
        <w:separator/>
      </w:r>
    </w:p>
  </w:footnote>
  <w:footnote w:type="continuationSeparator" w:id="0">
    <w:p w:rsidR="00AA0802" w:rsidRDefault="00AA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4C"/>
    <w:multiLevelType w:val="hybridMultilevel"/>
    <w:tmpl w:val="426A409A"/>
    <w:lvl w:ilvl="0" w:tplc="9E42DDF4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AA0380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BD4EEC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D5940AD8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3540612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49E00D4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266A8C2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AB8A4622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BA28636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03626808"/>
    <w:multiLevelType w:val="hybridMultilevel"/>
    <w:tmpl w:val="923A3EB8"/>
    <w:lvl w:ilvl="0" w:tplc="A3FEEE26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2324B52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FD58AC5C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CABE5B9C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F9C0E0CC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B7BC14D0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C1044D6C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B2A63B2A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3FC0062C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2">
    <w:nsid w:val="03DC35F4"/>
    <w:multiLevelType w:val="hybridMultilevel"/>
    <w:tmpl w:val="04081886"/>
    <w:lvl w:ilvl="0" w:tplc="2494AF1E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F44BC7E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A156CC9C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4E46D6A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EE223A9C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F481C06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AE2750C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3D202B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CAE2F5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0AB622CF"/>
    <w:multiLevelType w:val="hybridMultilevel"/>
    <w:tmpl w:val="0DBC4076"/>
    <w:lvl w:ilvl="0" w:tplc="46AA42E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8F2367C">
      <w:start w:val="1"/>
      <w:numFmt w:val="bullet"/>
      <w:lvlText w:val="•"/>
      <w:lvlJc w:val="left"/>
      <w:pPr>
        <w:ind w:left="1536" w:hanging="567"/>
      </w:pPr>
      <w:rPr>
        <w:rFonts w:hint="default"/>
      </w:rPr>
    </w:lvl>
    <w:lvl w:ilvl="2" w:tplc="80FCBC06">
      <w:start w:val="1"/>
      <w:numFmt w:val="bullet"/>
      <w:lvlText w:val="•"/>
      <w:lvlJc w:val="left"/>
      <w:pPr>
        <w:ind w:left="2393" w:hanging="567"/>
      </w:pPr>
      <w:rPr>
        <w:rFonts w:hint="default"/>
      </w:rPr>
    </w:lvl>
    <w:lvl w:ilvl="3" w:tplc="B3B0DF08">
      <w:start w:val="1"/>
      <w:numFmt w:val="bullet"/>
      <w:lvlText w:val="•"/>
      <w:lvlJc w:val="left"/>
      <w:pPr>
        <w:ind w:left="3249" w:hanging="567"/>
      </w:pPr>
      <w:rPr>
        <w:rFonts w:hint="default"/>
      </w:rPr>
    </w:lvl>
    <w:lvl w:ilvl="4" w:tplc="DAF8FC62">
      <w:start w:val="1"/>
      <w:numFmt w:val="bullet"/>
      <w:lvlText w:val="•"/>
      <w:lvlJc w:val="left"/>
      <w:pPr>
        <w:ind w:left="4106" w:hanging="567"/>
      </w:pPr>
      <w:rPr>
        <w:rFonts w:hint="default"/>
      </w:rPr>
    </w:lvl>
    <w:lvl w:ilvl="5" w:tplc="D47ADB9E">
      <w:start w:val="1"/>
      <w:numFmt w:val="bullet"/>
      <w:lvlText w:val="•"/>
      <w:lvlJc w:val="left"/>
      <w:pPr>
        <w:ind w:left="4963" w:hanging="567"/>
      </w:pPr>
      <w:rPr>
        <w:rFonts w:hint="default"/>
      </w:rPr>
    </w:lvl>
    <w:lvl w:ilvl="6" w:tplc="00422C22">
      <w:start w:val="1"/>
      <w:numFmt w:val="bullet"/>
      <w:lvlText w:val="•"/>
      <w:lvlJc w:val="left"/>
      <w:pPr>
        <w:ind w:left="5819" w:hanging="567"/>
      </w:pPr>
      <w:rPr>
        <w:rFonts w:hint="default"/>
      </w:rPr>
    </w:lvl>
    <w:lvl w:ilvl="7" w:tplc="A26A47AE">
      <w:start w:val="1"/>
      <w:numFmt w:val="bullet"/>
      <w:lvlText w:val="•"/>
      <w:lvlJc w:val="left"/>
      <w:pPr>
        <w:ind w:left="6676" w:hanging="567"/>
      </w:pPr>
      <w:rPr>
        <w:rFonts w:hint="default"/>
      </w:rPr>
    </w:lvl>
    <w:lvl w:ilvl="8" w:tplc="461AA914">
      <w:start w:val="1"/>
      <w:numFmt w:val="bullet"/>
      <w:lvlText w:val="•"/>
      <w:lvlJc w:val="left"/>
      <w:pPr>
        <w:ind w:left="7533" w:hanging="567"/>
      </w:pPr>
      <w:rPr>
        <w:rFonts w:hint="default"/>
      </w:rPr>
    </w:lvl>
  </w:abstractNum>
  <w:abstractNum w:abstractNumId="4">
    <w:nsid w:val="0BE92354"/>
    <w:multiLevelType w:val="hybridMultilevel"/>
    <w:tmpl w:val="F3CA31F2"/>
    <w:lvl w:ilvl="0" w:tplc="744ADFC4">
      <w:start w:val="1"/>
      <w:numFmt w:val="upperLetter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1CDC7820">
      <w:start w:val="1"/>
      <w:numFmt w:val="decimal"/>
      <w:lvlText w:val="%2.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BE0A3190">
      <w:start w:val="1"/>
      <w:numFmt w:val="bullet"/>
      <w:lvlText w:val="•"/>
      <w:lvlJc w:val="left"/>
      <w:pPr>
        <w:ind w:left="3580" w:hanging="567"/>
      </w:pPr>
      <w:rPr>
        <w:rFonts w:hint="default"/>
      </w:rPr>
    </w:lvl>
    <w:lvl w:ilvl="3" w:tplc="F078F34E">
      <w:start w:val="1"/>
      <w:numFmt w:val="bullet"/>
      <w:lvlText w:val="•"/>
      <w:lvlJc w:val="left"/>
      <w:pPr>
        <w:ind w:left="4201" w:hanging="567"/>
      </w:pPr>
      <w:rPr>
        <w:rFonts w:hint="default"/>
      </w:rPr>
    </w:lvl>
    <w:lvl w:ilvl="4" w:tplc="812E4E64">
      <w:start w:val="1"/>
      <w:numFmt w:val="bullet"/>
      <w:lvlText w:val="•"/>
      <w:lvlJc w:val="left"/>
      <w:pPr>
        <w:ind w:left="4822" w:hanging="567"/>
      </w:pPr>
      <w:rPr>
        <w:rFonts w:hint="default"/>
      </w:rPr>
    </w:lvl>
    <w:lvl w:ilvl="5" w:tplc="BFCA48EA">
      <w:start w:val="1"/>
      <w:numFmt w:val="bullet"/>
      <w:lvlText w:val="•"/>
      <w:lvlJc w:val="left"/>
      <w:pPr>
        <w:ind w:left="5442" w:hanging="567"/>
      </w:pPr>
      <w:rPr>
        <w:rFonts w:hint="default"/>
      </w:rPr>
    </w:lvl>
    <w:lvl w:ilvl="6" w:tplc="B748C85C">
      <w:start w:val="1"/>
      <w:numFmt w:val="bullet"/>
      <w:lvlText w:val="•"/>
      <w:lvlJc w:val="left"/>
      <w:pPr>
        <w:ind w:left="6063" w:hanging="567"/>
      </w:pPr>
      <w:rPr>
        <w:rFonts w:hint="default"/>
      </w:rPr>
    </w:lvl>
    <w:lvl w:ilvl="7" w:tplc="F4E6A03E">
      <w:start w:val="1"/>
      <w:numFmt w:val="bullet"/>
      <w:lvlText w:val="•"/>
      <w:lvlJc w:val="left"/>
      <w:pPr>
        <w:ind w:left="6684" w:hanging="567"/>
      </w:pPr>
      <w:rPr>
        <w:rFonts w:hint="default"/>
      </w:rPr>
    </w:lvl>
    <w:lvl w:ilvl="8" w:tplc="FDA08B14">
      <w:start w:val="1"/>
      <w:numFmt w:val="bullet"/>
      <w:lvlText w:val="•"/>
      <w:lvlJc w:val="left"/>
      <w:pPr>
        <w:ind w:left="7304" w:hanging="567"/>
      </w:pPr>
      <w:rPr>
        <w:rFonts w:hint="default"/>
      </w:rPr>
    </w:lvl>
  </w:abstractNum>
  <w:abstractNum w:abstractNumId="5">
    <w:nsid w:val="0D6873D1"/>
    <w:multiLevelType w:val="hybridMultilevel"/>
    <w:tmpl w:val="CCAA44EE"/>
    <w:lvl w:ilvl="0" w:tplc="E7B6D9BE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F04F66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2AC9136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B9EABF8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EC889C02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9261DA2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59F6C56A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E3638F6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5D08592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6">
    <w:nsid w:val="1B7E5D76"/>
    <w:multiLevelType w:val="hybridMultilevel"/>
    <w:tmpl w:val="65F84EAA"/>
    <w:lvl w:ilvl="0" w:tplc="38741DC6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172DFB6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DE609D18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3788D720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61D0FFD8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93A82140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DB528E06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2696AE8A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5EAAFD60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7">
    <w:nsid w:val="25ED1CBE"/>
    <w:multiLevelType w:val="hybridMultilevel"/>
    <w:tmpl w:val="C436CC58"/>
    <w:lvl w:ilvl="0" w:tplc="DD325216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7DA4278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74E861B8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562EBEC8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9C18D896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9CB2D9F6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54440FDC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AA4C95E4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C8B426CA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8">
    <w:nsid w:val="2AF94982"/>
    <w:multiLevelType w:val="multilevel"/>
    <w:tmpl w:val="060C3F02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9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567"/>
      </w:pPr>
      <w:rPr>
        <w:rFonts w:hint="default"/>
      </w:rPr>
    </w:lvl>
  </w:abstractNum>
  <w:abstractNum w:abstractNumId="9">
    <w:nsid w:val="2E6C1C80"/>
    <w:multiLevelType w:val="hybridMultilevel"/>
    <w:tmpl w:val="35CC34D0"/>
    <w:lvl w:ilvl="0" w:tplc="6D3ADBB0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70E68B78">
      <w:start w:val="1"/>
      <w:numFmt w:val="bullet"/>
      <w:lvlText w:val="•"/>
      <w:lvlJc w:val="left"/>
      <w:pPr>
        <w:ind w:left="860" w:hanging="567"/>
      </w:pPr>
      <w:rPr>
        <w:rFonts w:hint="default"/>
      </w:rPr>
    </w:lvl>
    <w:lvl w:ilvl="2" w:tplc="ED800480">
      <w:start w:val="1"/>
      <w:numFmt w:val="bullet"/>
      <w:lvlText w:val="•"/>
      <w:lvlJc w:val="left"/>
      <w:pPr>
        <w:ind w:left="1791" w:hanging="567"/>
      </w:pPr>
      <w:rPr>
        <w:rFonts w:hint="default"/>
      </w:rPr>
    </w:lvl>
    <w:lvl w:ilvl="3" w:tplc="0164B0C0">
      <w:start w:val="1"/>
      <w:numFmt w:val="bullet"/>
      <w:lvlText w:val="•"/>
      <w:lvlJc w:val="left"/>
      <w:pPr>
        <w:ind w:left="2723" w:hanging="567"/>
      </w:pPr>
      <w:rPr>
        <w:rFonts w:hint="default"/>
      </w:rPr>
    </w:lvl>
    <w:lvl w:ilvl="4" w:tplc="5A746E44">
      <w:start w:val="1"/>
      <w:numFmt w:val="bullet"/>
      <w:lvlText w:val="•"/>
      <w:lvlJc w:val="left"/>
      <w:pPr>
        <w:ind w:left="3655" w:hanging="567"/>
      </w:pPr>
      <w:rPr>
        <w:rFonts w:hint="default"/>
      </w:rPr>
    </w:lvl>
    <w:lvl w:ilvl="5" w:tplc="AC5E4592">
      <w:start w:val="1"/>
      <w:numFmt w:val="bullet"/>
      <w:lvlText w:val="•"/>
      <w:lvlJc w:val="left"/>
      <w:pPr>
        <w:ind w:left="4587" w:hanging="567"/>
      </w:pPr>
      <w:rPr>
        <w:rFonts w:hint="default"/>
      </w:rPr>
    </w:lvl>
    <w:lvl w:ilvl="6" w:tplc="623E5364">
      <w:start w:val="1"/>
      <w:numFmt w:val="bullet"/>
      <w:lvlText w:val="•"/>
      <w:lvlJc w:val="left"/>
      <w:pPr>
        <w:ind w:left="5519" w:hanging="567"/>
      </w:pPr>
      <w:rPr>
        <w:rFonts w:hint="default"/>
      </w:rPr>
    </w:lvl>
    <w:lvl w:ilvl="7" w:tplc="74F2DA60">
      <w:start w:val="1"/>
      <w:numFmt w:val="bullet"/>
      <w:lvlText w:val="•"/>
      <w:lvlJc w:val="left"/>
      <w:pPr>
        <w:ind w:left="6450" w:hanging="567"/>
      </w:pPr>
      <w:rPr>
        <w:rFonts w:hint="default"/>
      </w:rPr>
    </w:lvl>
    <w:lvl w:ilvl="8" w:tplc="2EAAAF28">
      <w:start w:val="1"/>
      <w:numFmt w:val="bullet"/>
      <w:lvlText w:val="•"/>
      <w:lvlJc w:val="left"/>
      <w:pPr>
        <w:ind w:left="7382" w:hanging="567"/>
      </w:pPr>
      <w:rPr>
        <w:rFonts w:hint="default"/>
      </w:rPr>
    </w:lvl>
  </w:abstractNum>
  <w:abstractNum w:abstractNumId="10">
    <w:nsid w:val="2F5D3551"/>
    <w:multiLevelType w:val="hybridMultilevel"/>
    <w:tmpl w:val="287ED726"/>
    <w:lvl w:ilvl="0" w:tplc="4636DCD8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0A1E9440">
      <w:start w:val="1"/>
      <w:numFmt w:val="bullet"/>
      <w:lvlText w:val="•"/>
      <w:lvlJc w:val="left"/>
      <w:pPr>
        <w:ind w:left="860" w:hanging="567"/>
      </w:pPr>
      <w:rPr>
        <w:rFonts w:hint="default"/>
      </w:rPr>
    </w:lvl>
    <w:lvl w:ilvl="2" w:tplc="036222A0">
      <w:start w:val="1"/>
      <w:numFmt w:val="bullet"/>
      <w:lvlText w:val="•"/>
      <w:lvlJc w:val="left"/>
      <w:pPr>
        <w:ind w:left="1794" w:hanging="567"/>
      </w:pPr>
      <w:rPr>
        <w:rFonts w:hint="default"/>
      </w:rPr>
    </w:lvl>
    <w:lvl w:ilvl="3" w:tplc="D77C2AB4">
      <w:start w:val="1"/>
      <w:numFmt w:val="bullet"/>
      <w:lvlText w:val="•"/>
      <w:lvlJc w:val="left"/>
      <w:pPr>
        <w:ind w:left="2728" w:hanging="567"/>
      </w:pPr>
      <w:rPr>
        <w:rFonts w:hint="default"/>
      </w:rPr>
    </w:lvl>
    <w:lvl w:ilvl="4" w:tplc="918C106E">
      <w:start w:val="1"/>
      <w:numFmt w:val="bullet"/>
      <w:lvlText w:val="•"/>
      <w:lvlJc w:val="left"/>
      <w:pPr>
        <w:ind w:left="3662" w:hanging="567"/>
      </w:pPr>
      <w:rPr>
        <w:rFonts w:hint="default"/>
      </w:rPr>
    </w:lvl>
    <w:lvl w:ilvl="5" w:tplc="92D6BF98">
      <w:start w:val="1"/>
      <w:numFmt w:val="bullet"/>
      <w:lvlText w:val="•"/>
      <w:lvlJc w:val="left"/>
      <w:pPr>
        <w:ind w:left="4596" w:hanging="567"/>
      </w:pPr>
      <w:rPr>
        <w:rFonts w:hint="default"/>
      </w:rPr>
    </w:lvl>
    <w:lvl w:ilvl="6" w:tplc="E158AD66">
      <w:start w:val="1"/>
      <w:numFmt w:val="bullet"/>
      <w:lvlText w:val="•"/>
      <w:lvlJc w:val="left"/>
      <w:pPr>
        <w:ind w:left="5530" w:hanging="567"/>
      </w:pPr>
      <w:rPr>
        <w:rFonts w:hint="default"/>
      </w:rPr>
    </w:lvl>
    <w:lvl w:ilvl="7" w:tplc="8CF86870">
      <w:start w:val="1"/>
      <w:numFmt w:val="bullet"/>
      <w:lvlText w:val="•"/>
      <w:lvlJc w:val="left"/>
      <w:pPr>
        <w:ind w:left="6464" w:hanging="567"/>
      </w:pPr>
      <w:rPr>
        <w:rFonts w:hint="default"/>
      </w:rPr>
    </w:lvl>
    <w:lvl w:ilvl="8" w:tplc="F7D2E216">
      <w:start w:val="1"/>
      <w:numFmt w:val="bullet"/>
      <w:lvlText w:val="•"/>
      <w:lvlJc w:val="left"/>
      <w:pPr>
        <w:ind w:left="7398" w:hanging="567"/>
      </w:pPr>
      <w:rPr>
        <w:rFonts w:hint="default"/>
      </w:rPr>
    </w:lvl>
  </w:abstractNum>
  <w:abstractNum w:abstractNumId="11">
    <w:nsid w:val="422E2892"/>
    <w:multiLevelType w:val="hybridMultilevel"/>
    <w:tmpl w:val="4DE0EC0E"/>
    <w:lvl w:ilvl="0" w:tplc="6D409A84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952800A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6256020A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70862C34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3A68FB02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0AB2CFCC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7FD0B820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3A843A94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D006F864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12">
    <w:nsid w:val="449D7AEF"/>
    <w:multiLevelType w:val="hybridMultilevel"/>
    <w:tmpl w:val="ECA40CA8"/>
    <w:lvl w:ilvl="0" w:tplc="EACAE5CE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C4D6E898">
      <w:start w:val="1"/>
      <w:numFmt w:val="bullet"/>
      <w:lvlText w:val="•"/>
      <w:lvlJc w:val="left"/>
      <w:pPr>
        <w:ind w:left="860" w:hanging="567"/>
      </w:pPr>
      <w:rPr>
        <w:rFonts w:hint="default"/>
      </w:rPr>
    </w:lvl>
    <w:lvl w:ilvl="2" w:tplc="D14E2884">
      <w:start w:val="1"/>
      <w:numFmt w:val="bullet"/>
      <w:lvlText w:val="•"/>
      <w:lvlJc w:val="left"/>
      <w:pPr>
        <w:ind w:left="1791" w:hanging="567"/>
      </w:pPr>
      <w:rPr>
        <w:rFonts w:hint="default"/>
      </w:rPr>
    </w:lvl>
    <w:lvl w:ilvl="3" w:tplc="A7CCC10E">
      <w:start w:val="1"/>
      <w:numFmt w:val="bullet"/>
      <w:lvlText w:val="•"/>
      <w:lvlJc w:val="left"/>
      <w:pPr>
        <w:ind w:left="2723" w:hanging="567"/>
      </w:pPr>
      <w:rPr>
        <w:rFonts w:hint="default"/>
      </w:rPr>
    </w:lvl>
    <w:lvl w:ilvl="4" w:tplc="C5664CA8">
      <w:start w:val="1"/>
      <w:numFmt w:val="bullet"/>
      <w:lvlText w:val="•"/>
      <w:lvlJc w:val="left"/>
      <w:pPr>
        <w:ind w:left="3655" w:hanging="567"/>
      </w:pPr>
      <w:rPr>
        <w:rFonts w:hint="default"/>
      </w:rPr>
    </w:lvl>
    <w:lvl w:ilvl="5" w:tplc="379E2A06">
      <w:start w:val="1"/>
      <w:numFmt w:val="bullet"/>
      <w:lvlText w:val="•"/>
      <w:lvlJc w:val="left"/>
      <w:pPr>
        <w:ind w:left="4587" w:hanging="567"/>
      </w:pPr>
      <w:rPr>
        <w:rFonts w:hint="default"/>
      </w:rPr>
    </w:lvl>
    <w:lvl w:ilvl="6" w:tplc="789214C4">
      <w:start w:val="1"/>
      <w:numFmt w:val="bullet"/>
      <w:lvlText w:val="•"/>
      <w:lvlJc w:val="left"/>
      <w:pPr>
        <w:ind w:left="5519" w:hanging="567"/>
      </w:pPr>
      <w:rPr>
        <w:rFonts w:hint="default"/>
      </w:rPr>
    </w:lvl>
    <w:lvl w:ilvl="7" w:tplc="FDEE2CAA">
      <w:start w:val="1"/>
      <w:numFmt w:val="bullet"/>
      <w:lvlText w:val="•"/>
      <w:lvlJc w:val="left"/>
      <w:pPr>
        <w:ind w:left="6450" w:hanging="567"/>
      </w:pPr>
      <w:rPr>
        <w:rFonts w:hint="default"/>
      </w:rPr>
    </w:lvl>
    <w:lvl w:ilvl="8" w:tplc="E8A6AABC">
      <w:start w:val="1"/>
      <w:numFmt w:val="bullet"/>
      <w:lvlText w:val="•"/>
      <w:lvlJc w:val="left"/>
      <w:pPr>
        <w:ind w:left="7382" w:hanging="567"/>
      </w:pPr>
      <w:rPr>
        <w:rFonts w:hint="default"/>
      </w:rPr>
    </w:lvl>
  </w:abstractNum>
  <w:abstractNum w:abstractNumId="13">
    <w:nsid w:val="44DC7BF2"/>
    <w:multiLevelType w:val="multilevel"/>
    <w:tmpl w:val="7EA27C9C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9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567"/>
      </w:pPr>
      <w:rPr>
        <w:rFonts w:hint="default"/>
      </w:rPr>
    </w:lvl>
  </w:abstractNum>
  <w:abstractNum w:abstractNumId="14">
    <w:nsid w:val="45F1704C"/>
    <w:multiLevelType w:val="hybridMultilevel"/>
    <w:tmpl w:val="B846FD3A"/>
    <w:lvl w:ilvl="0" w:tplc="57CECEC2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7E0E374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60260ED4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5CACA814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9A1A3C8E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8C1ECEB8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223844C0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C57CB216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A0F8E2C8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15">
    <w:nsid w:val="47E0282E"/>
    <w:multiLevelType w:val="hybridMultilevel"/>
    <w:tmpl w:val="6A9EB55C"/>
    <w:lvl w:ilvl="0" w:tplc="309AD450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208B8F4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03FA05D6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4D38D3AA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9E9EA0C0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56020504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E5302510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300A4716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9CB0AF3A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16">
    <w:nsid w:val="48E712ED"/>
    <w:multiLevelType w:val="hybridMultilevel"/>
    <w:tmpl w:val="8DE2B816"/>
    <w:lvl w:ilvl="0" w:tplc="AA0ACBEC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14896C">
      <w:start w:val="1"/>
      <w:numFmt w:val="bullet"/>
      <w:lvlText w:val="•"/>
      <w:lvlJc w:val="left"/>
      <w:pPr>
        <w:ind w:left="1536" w:hanging="567"/>
      </w:pPr>
      <w:rPr>
        <w:rFonts w:hint="default"/>
      </w:rPr>
    </w:lvl>
    <w:lvl w:ilvl="2" w:tplc="6E284E22">
      <w:start w:val="1"/>
      <w:numFmt w:val="bullet"/>
      <w:lvlText w:val="•"/>
      <w:lvlJc w:val="left"/>
      <w:pPr>
        <w:ind w:left="2393" w:hanging="567"/>
      </w:pPr>
      <w:rPr>
        <w:rFonts w:hint="default"/>
      </w:rPr>
    </w:lvl>
    <w:lvl w:ilvl="3" w:tplc="DA10362E">
      <w:start w:val="1"/>
      <w:numFmt w:val="bullet"/>
      <w:lvlText w:val="•"/>
      <w:lvlJc w:val="left"/>
      <w:pPr>
        <w:ind w:left="3249" w:hanging="567"/>
      </w:pPr>
      <w:rPr>
        <w:rFonts w:hint="default"/>
      </w:rPr>
    </w:lvl>
    <w:lvl w:ilvl="4" w:tplc="DE3407E6">
      <w:start w:val="1"/>
      <w:numFmt w:val="bullet"/>
      <w:lvlText w:val="•"/>
      <w:lvlJc w:val="left"/>
      <w:pPr>
        <w:ind w:left="4106" w:hanging="567"/>
      </w:pPr>
      <w:rPr>
        <w:rFonts w:hint="default"/>
      </w:rPr>
    </w:lvl>
    <w:lvl w:ilvl="5" w:tplc="64545AE2">
      <w:start w:val="1"/>
      <w:numFmt w:val="bullet"/>
      <w:lvlText w:val="•"/>
      <w:lvlJc w:val="left"/>
      <w:pPr>
        <w:ind w:left="4963" w:hanging="567"/>
      </w:pPr>
      <w:rPr>
        <w:rFonts w:hint="default"/>
      </w:rPr>
    </w:lvl>
    <w:lvl w:ilvl="6" w:tplc="EBA82F3C">
      <w:start w:val="1"/>
      <w:numFmt w:val="bullet"/>
      <w:lvlText w:val="•"/>
      <w:lvlJc w:val="left"/>
      <w:pPr>
        <w:ind w:left="5819" w:hanging="567"/>
      </w:pPr>
      <w:rPr>
        <w:rFonts w:hint="default"/>
      </w:rPr>
    </w:lvl>
    <w:lvl w:ilvl="7" w:tplc="929C0170">
      <w:start w:val="1"/>
      <w:numFmt w:val="bullet"/>
      <w:lvlText w:val="•"/>
      <w:lvlJc w:val="left"/>
      <w:pPr>
        <w:ind w:left="6676" w:hanging="567"/>
      </w:pPr>
      <w:rPr>
        <w:rFonts w:hint="default"/>
      </w:rPr>
    </w:lvl>
    <w:lvl w:ilvl="8" w:tplc="9A84436C">
      <w:start w:val="1"/>
      <w:numFmt w:val="bullet"/>
      <w:lvlText w:val="•"/>
      <w:lvlJc w:val="left"/>
      <w:pPr>
        <w:ind w:left="7533" w:hanging="567"/>
      </w:pPr>
      <w:rPr>
        <w:rFonts w:hint="default"/>
      </w:rPr>
    </w:lvl>
  </w:abstractNum>
  <w:abstractNum w:abstractNumId="17">
    <w:nsid w:val="566F2250"/>
    <w:multiLevelType w:val="multilevel"/>
    <w:tmpl w:val="C8CA5FE0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9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567"/>
      </w:pPr>
      <w:rPr>
        <w:rFonts w:hint="default"/>
      </w:rPr>
    </w:lvl>
  </w:abstractNum>
  <w:abstractNum w:abstractNumId="18">
    <w:nsid w:val="588F3A33"/>
    <w:multiLevelType w:val="multilevel"/>
    <w:tmpl w:val="7584E4C2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9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567"/>
      </w:pPr>
      <w:rPr>
        <w:rFonts w:hint="default"/>
      </w:rPr>
    </w:lvl>
  </w:abstractNum>
  <w:abstractNum w:abstractNumId="19">
    <w:nsid w:val="595135DA"/>
    <w:multiLevelType w:val="hybridMultilevel"/>
    <w:tmpl w:val="5B6A6AA0"/>
    <w:lvl w:ilvl="0" w:tplc="184A168E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3C62A66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CEDEBB18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420EA0A2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DC289D54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060070A4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C5C22A6E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25466BE4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A692DD04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20">
    <w:nsid w:val="5C4F7E24"/>
    <w:multiLevelType w:val="hybridMultilevel"/>
    <w:tmpl w:val="0E343C50"/>
    <w:lvl w:ilvl="0" w:tplc="326CD2D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53AC040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F9BAEEAE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0A941584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B3F06BDC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656A1F82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38F21ECA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7BDE5CA4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54E40D60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21">
    <w:nsid w:val="5EB5130F"/>
    <w:multiLevelType w:val="hybridMultilevel"/>
    <w:tmpl w:val="A9104058"/>
    <w:lvl w:ilvl="0" w:tplc="69E0182C">
      <w:start w:val="4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47F73"/>
    <w:multiLevelType w:val="hybridMultilevel"/>
    <w:tmpl w:val="675A66C2"/>
    <w:lvl w:ilvl="0" w:tplc="83385ABE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ABA8D498">
      <w:start w:val="1"/>
      <w:numFmt w:val="bullet"/>
      <w:lvlText w:val="•"/>
      <w:lvlJc w:val="left"/>
      <w:pPr>
        <w:ind w:left="1036" w:hanging="567"/>
      </w:pPr>
      <w:rPr>
        <w:rFonts w:hint="default"/>
      </w:rPr>
    </w:lvl>
    <w:lvl w:ilvl="2" w:tplc="5894BD3E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3" w:tplc="6F1A9476">
      <w:start w:val="1"/>
      <w:numFmt w:val="bullet"/>
      <w:lvlText w:val="•"/>
      <w:lvlJc w:val="left"/>
      <w:pPr>
        <w:ind w:left="2869" w:hanging="567"/>
      </w:pPr>
      <w:rPr>
        <w:rFonts w:hint="default"/>
      </w:rPr>
    </w:lvl>
    <w:lvl w:ilvl="4" w:tplc="1130E240">
      <w:start w:val="1"/>
      <w:numFmt w:val="bullet"/>
      <w:lvlText w:val="•"/>
      <w:lvlJc w:val="left"/>
      <w:pPr>
        <w:ind w:left="3786" w:hanging="567"/>
      </w:pPr>
      <w:rPr>
        <w:rFonts w:hint="default"/>
      </w:rPr>
    </w:lvl>
    <w:lvl w:ilvl="5" w:tplc="6AB2AC52">
      <w:start w:val="1"/>
      <w:numFmt w:val="bullet"/>
      <w:lvlText w:val="•"/>
      <w:lvlJc w:val="left"/>
      <w:pPr>
        <w:ind w:left="4703" w:hanging="567"/>
      </w:pPr>
      <w:rPr>
        <w:rFonts w:hint="default"/>
      </w:rPr>
    </w:lvl>
    <w:lvl w:ilvl="6" w:tplc="4460A0AE">
      <w:start w:val="1"/>
      <w:numFmt w:val="bullet"/>
      <w:lvlText w:val="•"/>
      <w:lvlJc w:val="left"/>
      <w:pPr>
        <w:ind w:left="5619" w:hanging="567"/>
      </w:pPr>
      <w:rPr>
        <w:rFonts w:hint="default"/>
      </w:rPr>
    </w:lvl>
    <w:lvl w:ilvl="7" w:tplc="BB6A8A2E">
      <w:start w:val="1"/>
      <w:numFmt w:val="bullet"/>
      <w:lvlText w:val="•"/>
      <w:lvlJc w:val="left"/>
      <w:pPr>
        <w:ind w:left="6536" w:hanging="567"/>
      </w:pPr>
      <w:rPr>
        <w:rFonts w:hint="default"/>
      </w:rPr>
    </w:lvl>
    <w:lvl w:ilvl="8" w:tplc="8E920A44">
      <w:start w:val="1"/>
      <w:numFmt w:val="bullet"/>
      <w:lvlText w:val="•"/>
      <w:lvlJc w:val="left"/>
      <w:pPr>
        <w:ind w:left="7453" w:hanging="567"/>
      </w:pPr>
      <w:rPr>
        <w:rFonts w:hint="default"/>
      </w:rPr>
    </w:lvl>
  </w:abstractNum>
  <w:abstractNum w:abstractNumId="23">
    <w:nsid w:val="6046211D"/>
    <w:multiLevelType w:val="multilevel"/>
    <w:tmpl w:val="94C4BB46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9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567"/>
      </w:pPr>
      <w:rPr>
        <w:rFonts w:hint="default"/>
      </w:rPr>
    </w:lvl>
  </w:abstractNum>
  <w:abstractNum w:abstractNumId="24">
    <w:nsid w:val="63394871"/>
    <w:multiLevelType w:val="hybridMultilevel"/>
    <w:tmpl w:val="C450A23E"/>
    <w:lvl w:ilvl="0" w:tplc="C1601206">
      <w:start w:val="1"/>
      <w:numFmt w:val="bullet"/>
      <w:lvlText w:val=""/>
      <w:lvlJc w:val="left"/>
      <w:pPr>
        <w:ind w:left="685" w:hanging="567"/>
      </w:pPr>
      <w:rPr>
        <w:rFonts w:ascii="Symbol" w:eastAsia="Symbol" w:hAnsi="Symbol" w:hint="default"/>
        <w:w w:val="100"/>
      </w:rPr>
    </w:lvl>
    <w:lvl w:ilvl="1" w:tplc="B99888BE">
      <w:start w:val="1"/>
      <w:numFmt w:val="bullet"/>
      <w:lvlText w:val=""/>
      <w:lvlJc w:val="left"/>
      <w:pPr>
        <w:ind w:left="785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514C3DDE">
      <w:start w:val="1"/>
      <w:numFmt w:val="bullet"/>
      <w:lvlText w:val="•"/>
      <w:lvlJc w:val="left"/>
      <w:pPr>
        <w:ind w:left="1260" w:hanging="567"/>
      </w:pPr>
      <w:rPr>
        <w:rFonts w:hint="default"/>
      </w:rPr>
    </w:lvl>
    <w:lvl w:ilvl="3" w:tplc="F8F8DB72">
      <w:start w:val="1"/>
      <w:numFmt w:val="bullet"/>
      <w:lvlText w:val="•"/>
      <w:lvlJc w:val="left"/>
      <w:pPr>
        <w:ind w:left="2258" w:hanging="567"/>
      </w:pPr>
      <w:rPr>
        <w:rFonts w:hint="default"/>
      </w:rPr>
    </w:lvl>
    <w:lvl w:ilvl="4" w:tplc="4B881BA0">
      <w:start w:val="1"/>
      <w:numFmt w:val="bullet"/>
      <w:lvlText w:val="•"/>
      <w:lvlJc w:val="left"/>
      <w:pPr>
        <w:ind w:left="3256" w:hanging="567"/>
      </w:pPr>
      <w:rPr>
        <w:rFonts w:hint="default"/>
      </w:rPr>
    </w:lvl>
    <w:lvl w:ilvl="5" w:tplc="3D5EB542">
      <w:start w:val="1"/>
      <w:numFmt w:val="bullet"/>
      <w:lvlText w:val="•"/>
      <w:lvlJc w:val="left"/>
      <w:pPr>
        <w:ind w:left="4254" w:hanging="567"/>
      </w:pPr>
      <w:rPr>
        <w:rFonts w:hint="default"/>
      </w:rPr>
    </w:lvl>
    <w:lvl w:ilvl="6" w:tplc="132CDD14">
      <w:start w:val="1"/>
      <w:numFmt w:val="bullet"/>
      <w:lvlText w:val="•"/>
      <w:lvlJc w:val="left"/>
      <w:pPr>
        <w:ind w:left="5253" w:hanging="567"/>
      </w:pPr>
      <w:rPr>
        <w:rFonts w:hint="default"/>
      </w:rPr>
    </w:lvl>
    <w:lvl w:ilvl="7" w:tplc="C69C00E0">
      <w:start w:val="1"/>
      <w:numFmt w:val="bullet"/>
      <w:lvlText w:val="•"/>
      <w:lvlJc w:val="left"/>
      <w:pPr>
        <w:ind w:left="6251" w:hanging="567"/>
      </w:pPr>
      <w:rPr>
        <w:rFonts w:hint="default"/>
      </w:rPr>
    </w:lvl>
    <w:lvl w:ilvl="8" w:tplc="D450B4DA">
      <w:start w:val="1"/>
      <w:numFmt w:val="bullet"/>
      <w:lvlText w:val="•"/>
      <w:lvlJc w:val="left"/>
      <w:pPr>
        <w:ind w:left="7249" w:hanging="567"/>
      </w:pPr>
      <w:rPr>
        <w:rFonts w:hint="default"/>
      </w:rPr>
    </w:lvl>
  </w:abstractNum>
  <w:abstractNum w:abstractNumId="25">
    <w:nsid w:val="636D0ED7"/>
    <w:multiLevelType w:val="hybridMultilevel"/>
    <w:tmpl w:val="142ACCAE"/>
    <w:lvl w:ilvl="0" w:tplc="B49A09D8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6B669E6">
      <w:start w:val="1"/>
      <w:numFmt w:val="bullet"/>
      <w:lvlText w:val="•"/>
      <w:lvlJc w:val="left"/>
      <w:pPr>
        <w:ind w:left="1536" w:hanging="567"/>
      </w:pPr>
      <w:rPr>
        <w:rFonts w:hint="default"/>
      </w:rPr>
    </w:lvl>
    <w:lvl w:ilvl="2" w:tplc="12D03AAC">
      <w:start w:val="1"/>
      <w:numFmt w:val="bullet"/>
      <w:lvlText w:val="•"/>
      <w:lvlJc w:val="left"/>
      <w:pPr>
        <w:ind w:left="2393" w:hanging="567"/>
      </w:pPr>
      <w:rPr>
        <w:rFonts w:hint="default"/>
      </w:rPr>
    </w:lvl>
    <w:lvl w:ilvl="3" w:tplc="6B8EC888">
      <w:start w:val="1"/>
      <w:numFmt w:val="bullet"/>
      <w:lvlText w:val="•"/>
      <w:lvlJc w:val="left"/>
      <w:pPr>
        <w:ind w:left="3249" w:hanging="567"/>
      </w:pPr>
      <w:rPr>
        <w:rFonts w:hint="default"/>
      </w:rPr>
    </w:lvl>
    <w:lvl w:ilvl="4" w:tplc="802472FA">
      <w:start w:val="1"/>
      <w:numFmt w:val="bullet"/>
      <w:lvlText w:val="•"/>
      <w:lvlJc w:val="left"/>
      <w:pPr>
        <w:ind w:left="4106" w:hanging="567"/>
      </w:pPr>
      <w:rPr>
        <w:rFonts w:hint="default"/>
      </w:rPr>
    </w:lvl>
    <w:lvl w:ilvl="5" w:tplc="752A593C">
      <w:start w:val="1"/>
      <w:numFmt w:val="bullet"/>
      <w:lvlText w:val="•"/>
      <w:lvlJc w:val="left"/>
      <w:pPr>
        <w:ind w:left="4963" w:hanging="567"/>
      </w:pPr>
      <w:rPr>
        <w:rFonts w:hint="default"/>
      </w:rPr>
    </w:lvl>
    <w:lvl w:ilvl="6" w:tplc="AD7E31D4">
      <w:start w:val="1"/>
      <w:numFmt w:val="bullet"/>
      <w:lvlText w:val="•"/>
      <w:lvlJc w:val="left"/>
      <w:pPr>
        <w:ind w:left="5819" w:hanging="567"/>
      </w:pPr>
      <w:rPr>
        <w:rFonts w:hint="default"/>
      </w:rPr>
    </w:lvl>
    <w:lvl w:ilvl="7" w:tplc="0888883C">
      <w:start w:val="1"/>
      <w:numFmt w:val="bullet"/>
      <w:lvlText w:val="•"/>
      <w:lvlJc w:val="left"/>
      <w:pPr>
        <w:ind w:left="6676" w:hanging="567"/>
      </w:pPr>
      <w:rPr>
        <w:rFonts w:hint="default"/>
      </w:rPr>
    </w:lvl>
    <w:lvl w:ilvl="8" w:tplc="C8C839D4">
      <w:start w:val="1"/>
      <w:numFmt w:val="bullet"/>
      <w:lvlText w:val="•"/>
      <w:lvlJc w:val="left"/>
      <w:pPr>
        <w:ind w:left="7533" w:hanging="567"/>
      </w:pPr>
      <w:rPr>
        <w:rFonts w:hint="default"/>
      </w:rPr>
    </w:lvl>
  </w:abstractNum>
  <w:abstractNum w:abstractNumId="26">
    <w:nsid w:val="703C73F3"/>
    <w:multiLevelType w:val="hybridMultilevel"/>
    <w:tmpl w:val="FDF07288"/>
    <w:lvl w:ilvl="0" w:tplc="39E0CA9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9589D44">
      <w:start w:val="1"/>
      <w:numFmt w:val="bullet"/>
      <w:lvlText w:val="•"/>
      <w:lvlJc w:val="left"/>
      <w:pPr>
        <w:ind w:left="1536" w:hanging="567"/>
      </w:pPr>
      <w:rPr>
        <w:rFonts w:hint="default"/>
      </w:rPr>
    </w:lvl>
    <w:lvl w:ilvl="2" w:tplc="B5FCFC86">
      <w:start w:val="1"/>
      <w:numFmt w:val="bullet"/>
      <w:lvlText w:val="•"/>
      <w:lvlJc w:val="left"/>
      <w:pPr>
        <w:ind w:left="2393" w:hanging="567"/>
      </w:pPr>
      <w:rPr>
        <w:rFonts w:hint="default"/>
      </w:rPr>
    </w:lvl>
    <w:lvl w:ilvl="3" w:tplc="24A6489A">
      <w:start w:val="1"/>
      <w:numFmt w:val="bullet"/>
      <w:lvlText w:val="•"/>
      <w:lvlJc w:val="left"/>
      <w:pPr>
        <w:ind w:left="3249" w:hanging="567"/>
      </w:pPr>
      <w:rPr>
        <w:rFonts w:hint="default"/>
      </w:rPr>
    </w:lvl>
    <w:lvl w:ilvl="4" w:tplc="CD387A3C">
      <w:start w:val="1"/>
      <w:numFmt w:val="bullet"/>
      <w:lvlText w:val="•"/>
      <w:lvlJc w:val="left"/>
      <w:pPr>
        <w:ind w:left="4106" w:hanging="567"/>
      </w:pPr>
      <w:rPr>
        <w:rFonts w:hint="default"/>
      </w:rPr>
    </w:lvl>
    <w:lvl w:ilvl="5" w:tplc="EA681558">
      <w:start w:val="1"/>
      <w:numFmt w:val="bullet"/>
      <w:lvlText w:val="•"/>
      <w:lvlJc w:val="left"/>
      <w:pPr>
        <w:ind w:left="4963" w:hanging="567"/>
      </w:pPr>
      <w:rPr>
        <w:rFonts w:hint="default"/>
      </w:rPr>
    </w:lvl>
    <w:lvl w:ilvl="6" w:tplc="1674D684">
      <w:start w:val="1"/>
      <w:numFmt w:val="bullet"/>
      <w:lvlText w:val="•"/>
      <w:lvlJc w:val="left"/>
      <w:pPr>
        <w:ind w:left="5819" w:hanging="567"/>
      </w:pPr>
      <w:rPr>
        <w:rFonts w:hint="default"/>
      </w:rPr>
    </w:lvl>
    <w:lvl w:ilvl="7" w:tplc="29ECB296">
      <w:start w:val="1"/>
      <w:numFmt w:val="bullet"/>
      <w:lvlText w:val="•"/>
      <w:lvlJc w:val="left"/>
      <w:pPr>
        <w:ind w:left="6676" w:hanging="567"/>
      </w:pPr>
      <w:rPr>
        <w:rFonts w:hint="default"/>
      </w:rPr>
    </w:lvl>
    <w:lvl w:ilvl="8" w:tplc="B23064C6">
      <w:start w:val="1"/>
      <w:numFmt w:val="bullet"/>
      <w:lvlText w:val="•"/>
      <w:lvlJc w:val="left"/>
      <w:pPr>
        <w:ind w:left="7533" w:hanging="567"/>
      </w:pPr>
      <w:rPr>
        <w:rFonts w:hint="default"/>
      </w:rPr>
    </w:lvl>
  </w:abstractNum>
  <w:abstractNum w:abstractNumId="27">
    <w:nsid w:val="765D100C"/>
    <w:multiLevelType w:val="hybridMultilevel"/>
    <w:tmpl w:val="C34E0424"/>
    <w:lvl w:ilvl="0" w:tplc="2AB839CC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DD8DAE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F70B0CA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8BABEC2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18AEA72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C8444EF0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FEEF322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E12E2BC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6ECE72C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8">
    <w:nsid w:val="7F885D44"/>
    <w:multiLevelType w:val="hybridMultilevel"/>
    <w:tmpl w:val="6AEE8D4C"/>
    <w:lvl w:ilvl="0" w:tplc="2C3698BC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13D65838">
      <w:start w:val="1"/>
      <w:numFmt w:val="bullet"/>
      <w:lvlText w:val="•"/>
      <w:lvlJc w:val="left"/>
      <w:pPr>
        <w:ind w:left="1036" w:hanging="567"/>
      </w:pPr>
      <w:rPr>
        <w:rFonts w:hint="default"/>
      </w:rPr>
    </w:lvl>
    <w:lvl w:ilvl="2" w:tplc="F7006C32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3" w:tplc="2E42E7F0">
      <w:start w:val="1"/>
      <w:numFmt w:val="bullet"/>
      <w:lvlText w:val="•"/>
      <w:lvlJc w:val="left"/>
      <w:pPr>
        <w:ind w:left="2869" w:hanging="567"/>
      </w:pPr>
      <w:rPr>
        <w:rFonts w:hint="default"/>
      </w:rPr>
    </w:lvl>
    <w:lvl w:ilvl="4" w:tplc="7C44B01A">
      <w:start w:val="1"/>
      <w:numFmt w:val="bullet"/>
      <w:lvlText w:val="•"/>
      <w:lvlJc w:val="left"/>
      <w:pPr>
        <w:ind w:left="3786" w:hanging="567"/>
      </w:pPr>
      <w:rPr>
        <w:rFonts w:hint="default"/>
      </w:rPr>
    </w:lvl>
    <w:lvl w:ilvl="5" w:tplc="78A4C186">
      <w:start w:val="1"/>
      <w:numFmt w:val="bullet"/>
      <w:lvlText w:val="•"/>
      <w:lvlJc w:val="left"/>
      <w:pPr>
        <w:ind w:left="4703" w:hanging="567"/>
      </w:pPr>
      <w:rPr>
        <w:rFonts w:hint="default"/>
      </w:rPr>
    </w:lvl>
    <w:lvl w:ilvl="6" w:tplc="DD64EB2A">
      <w:start w:val="1"/>
      <w:numFmt w:val="bullet"/>
      <w:lvlText w:val="•"/>
      <w:lvlJc w:val="left"/>
      <w:pPr>
        <w:ind w:left="5619" w:hanging="567"/>
      </w:pPr>
      <w:rPr>
        <w:rFonts w:hint="default"/>
      </w:rPr>
    </w:lvl>
    <w:lvl w:ilvl="7" w:tplc="5A66525C">
      <w:start w:val="1"/>
      <w:numFmt w:val="bullet"/>
      <w:lvlText w:val="•"/>
      <w:lvlJc w:val="left"/>
      <w:pPr>
        <w:ind w:left="6536" w:hanging="567"/>
      </w:pPr>
      <w:rPr>
        <w:rFonts w:hint="default"/>
      </w:rPr>
    </w:lvl>
    <w:lvl w:ilvl="8" w:tplc="E3DC0802">
      <w:start w:val="1"/>
      <w:numFmt w:val="bullet"/>
      <w:lvlText w:val="•"/>
      <w:lvlJc w:val="left"/>
      <w:pPr>
        <w:ind w:left="7453" w:hanging="567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28"/>
  </w:num>
  <w:num w:numId="5">
    <w:abstractNumId w:val="14"/>
  </w:num>
  <w:num w:numId="6">
    <w:abstractNumId w:val="19"/>
  </w:num>
  <w:num w:numId="7">
    <w:abstractNumId w:val="10"/>
  </w:num>
  <w:num w:numId="8">
    <w:abstractNumId w:val="27"/>
  </w:num>
  <w:num w:numId="9">
    <w:abstractNumId w:val="2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3"/>
  </w:num>
  <w:num w:numId="15">
    <w:abstractNumId w:val="4"/>
  </w:num>
  <w:num w:numId="16">
    <w:abstractNumId w:val="0"/>
  </w:num>
  <w:num w:numId="17">
    <w:abstractNumId w:val="7"/>
  </w:num>
  <w:num w:numId="18">
    <w:abstractNumId w:val="8"/>
  </w:num>
  <w:num w:numId="19">
    <w:abstractNumId w:val="5"/>
  </w:num>
  <w:num w:numId="20">
    <w:abstractNumId w:val="25"/>
  </w:num>
  <w:num w:numId="21">
    <w:abstractNumId w:val="24"/>
  </w:num>
  <w:num w:numId="22">
    <w:abstractNumId w:val="17"/>
  </w:num>
  <w:num w:numId="23">
    <w:abstractNumId w:val="20"/>
  </w:num>
  <w:num w:numId="24">
    <w:abstractNumId w:val="13"/>
  </w:num>
  <w:num w:numId="25">
    <w:abstractNumId w:val="11"/>
  </w:num>
  <w:num w:numId="26">
    <w:abstractNumId w:val="23"/>
  </w:num>
  <w:num w:numId="27">
    <w:abstractNumId w:val="15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4A"/>
    <w:rsid w:val="0003744D"/>
    <w:rsid w:val="00037759"/>
    <w:rsid w:val="0004095E"/>
    <w:rsid w:val="00042160"/>
    <w:rsid w:val="00044129"/>
    <w:rsid w:val="0005278A"/>
    <w:rsid w:val="00080959"/>
    <w:rsid w:val="00085223"/>
    <w:rsid w:val="00085C2F"/>
    <w:rsid w:val="000B5E63"/>
    <w:rsid w:val="000D7225"/>
    <w:rsid w:val="000E77EB"/>
    <w:rsid w:val="00111A85"/>
    <w:rsid w:val="001162CC"/>
    <w:rsid w:val="001A142B"/>
    <w:rsid w:val="001A75D4"/>
    <w:rsid w:val="001B2A06"/>
    <w:rsid w:val="001E606F"/>
    <w:rsid w:val="001E7767"/>
    <w:rsid w:val="001F2C2F"/>
    <w:rsid w:val="00203833"/>
    <w:rsid w:val="00217AEB"/>
    <w:rsid w:val="00246943"/>
    <w:rsid w:val="002A1589"/>
    <w:rsid w:val="002A3C5B"/>
    <w:rsid w:val="002D6E77"/>
    <w:rsid w:val="002D7B2D"/>
    <w:rsid w:val="00302B89"/>
    <w:rsid w:val="00374D7B"/>
    <w:rsid w:val="00381232"/>
    <w:rsid w:val="003B4601"/>
    <w:rsid w:val="003B5364"/>
    <w:rsid w:val="003B693E"/>
    <w:rsid w:val="003C6E3B"/>
    <w:rsid w:val="003D4CFC"/>
    <w:rsid w:val="003E10DA"/>
    <w:rsid w:val="003E1789"/>
    <w:rsid w:val="003F4B4E"/>
    <w:rsid w:val="00422066"/>
    <w:rsid w:val="00446AA7"/>
    <w:rsid w:val="0045023D"/>
    <w:rsid w:val="00541A53"/>
    <w:rsid w:val="005678B3"/>
    <w:rsid w:val="00585960"/>
    <w:rsid w:val="005B1F0A"/>
    <w:rsid w:val="005B23B3"/>
    <w:rsid w:val="005C3ABB"/>
    <w:rsid w:val="00624359"/>
    <w:rsid w:val="00643ECB"/>
    <w:rsid w:val="00662A04"/>
    <w:rsid w:val="00691378"/>
    <w:rsid w:val="006A03D7"/>
    <w:rsid w:val="006D01C2"/>
    <w:rsid w:val="007824EC"/>
    <w:rsid w:val="00796AA2"/>
    <w:rsid w:val="007A1166"/>
    <w:rsid w:val="007C6E88"/>
    <w:rsid w:val="00805E71"/>
    <w:rsid w:val="0082693C"/>
    <w:rsid w:val="00833F8A"/>
    <w:rsid w:val="00870F04"/>
    <w:rsid w:val="0087241A"/>
    <w:rsid w:val="008809ED"/>
    <w:rsid w:val="00893429"/>
    <w:rsid w:val="00894E60"/>
    <w:rsid w:val="008E2A52"/>
    <w:rsid w:val="008E2BBE"/>
    <w:rsid w:val="008F5831"/>
    <w:rsid w:val="00901EF3"/>
    <w:rsid w:val="00922D80"/>
    <w:rsid w:val="00941C82"/>
    <w:rsid w:val="0095743C"/>
    <w:rsid w:val="00960B22"/>
    <w:rsid w:val="00967063"/>
    <w:rsid w:val="00974274"/>
    <w:rsid w:val="00984DD3"/>
    <w:rsid w:val="0099620C"/>
    <w:rsid w:val="009A0DB4"/>
    <w:rsid w:val="009A5D71"/>
    <w:rsid w:val="009A7039"/>
    <w:rsid w:val="009C6EAF"/>
    <w:rsid w:val="009D104A"/>
    <w:rsid w:val="009E0B8D"/>
    <w:rsid w:val="00A1018C"/>
    <w:rsid w:val="00A12E3D"/>
    <w:rsid w:val="00A22E6F"/>
    <w:rsid w:val="00AA0802"/>
    <w:rsid w:val="00AA45B9"/>
    <w:rsid w:val="00AB6002"/>
    <w:rsid w:val="00AC0700"/>
    <w:rsid w:val="00AC6FBC"/>
    <w:rsid w:val="00AE2A28"/>
    <w:rsid w:val="00AE37B1"/>
    <w:rsid w:val="00AF77BB"/>
    <w:rsid w:val="00B25E03"/>
    <w:rsid w:val="00B26CD2"/>
    <w:rsid w:val="00B304A1"/>
    <w:rsid w:val="00B42C30"/>
    <w:rsid w:val="00B6730A"/>
    <w:rsid w:val="00B807B9"/>
    <w:rsid w:val="00B84E6B"/>
    <w:rsid w:val="00BE0882"/>
    <w:rsid w:val="00BE66FE"/>
    <w:rsid w:val="00C36AA1"/>
    <w:rsid w:val="00C609C6"/>
    <w:rsid w:val="00C6747E"/>
    <w:rsid w:val="00C9798F"/>
    <w:rsid w:val="00CA6D48"/>
    <w:rsid w:val="00CC6536"/>
    <w:rsid w:val="00CF210F"/>
    <w:rsid w:val="00D40173"/>
    <w:rsid w:val="00D40908"/>
    <w:rsid w:val="00D475EF"/>
    <w:rsid w:val="00D525C6"/>
    <w:rsid w:val="00DC5543"/>
    <w:rsid w:val="00E048DC"/>
    <w:rsid w:val="00E17665"/>
    <w:rsid w:val="00E25D04"/>
    <w:rsid w:val="00E7353A"/>
    <w:rsid w:val="00E90464"/>
    <w:rsid w:val="00E963CF"/>
    <w:rsid w:val="00EB263F"/>
    <w:rsid w:val="00EC5ACE"/>
    <w:rsid w:val="00EE0857"/>
    <w:rsid w:val="00F222EC"/>
    <w:rsid w:val="00F503AC"/>
    <w:rsid w:val="00F54B01"/>
    <w:rsid w:val="00F57BAA"/>
    <w:rsid w:val="00F66C70"/>
    <w:rsid w:val="00F84ABB"/>
    <w:rsid w:val="00FB72E2"/>
    <w:rsid w:val="00FC5E7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85" w:hanging="567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805E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5E7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730A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6730A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B6730A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6730A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6730A"/>
    <w:rPr>
      <w:b/>
      <w:bCs/>
      <w:sz w:val="20"/>
      <w:szCs w:val="20"/>
    </w:rPr>
  </w:style>
  <w:style w:type="character" w:styleId="-">
    <w:name w:val="Hyperlink"/>
    <w:unhideWhenUsed/>
    <w:rsid w:val="005C3ABB"/>
    <w:rPr>
      <w:color w:val="0000FF"/>
      <w:u w:val="single"/>
    </w:rPr>
  </w:style>
  <w:style w:type="paragraph" w:styleId="a9">
    <w:name w:val="Revision"/>
    <w:hidden/>
    <w:uiPriority w:val="99"/>
    <w:semiHidden/>
    <w:rsid w:val="00C36AA1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85" w:hanging="567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805E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5E7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730A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6730A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B6730A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6730A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6730A"/>
    <w:rPr>
      <w:b/>
      <w:bCs/>
      <w:sz w:val="20"/>
      <w:szCs w:val="20"/>
    </w:rPr>
  </w:style>
  <w:style w:type="character" w:styleId="-">
    <w:name w:val="Hyperlink"/>
    <w:unhideWhenUsed/>
    <w:rsid w:val="005C3ABB"/>
    <w:rPr>
      <w:color w:val="0000FF"/>
      <w:u w:val="single"/>
    </w:rPr>
  </w:style>
  <w:style w:type="paragraph" w:styleId="a9">
    <w:name w:val="Revision"/>
    <w:hidden/>
    <w:uiPriority w:val="99"/>
    <w:semiHidden/>
    <w:rsid w:val="00C36AA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30BD-F76B-42A4-A0AE-E1A08C59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17804</Words>
  <Characters>96143</Characters>
  <Application>Microsoft Office Word</Application>
  <DocSecurity>0</DocSecurity>
  <Lines>801</Lines>
  <Paragraphs>227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Viread, INN-tenofovir disoproxil fumarate</vt:lpstr>
      <vt:lpstr>Viread, INN-tenofovir disoproxil fumarate</vt:lpstr>
    </vt:vector>
  </TitlesOfParts>
  <Company>Hewlett-Packard Company</Company>
  <LinksUpToDate>false</LinksUpToDate>
  <CharactersWithSpaces>113720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Viread, INN-tenofovir disoproxil fumarate</dc:title>
  <dc:subject>EPAR</dc:subject>
  <dc:creator>CHMP</dc:creator>
  <cp:keywords>Viread, INN-tenofovir disoproxil fumarate</cp:keywords>
  <cp:lastModifiedBy>ΘΑΛΑΣΣΙΝΟΥ ΜΑΡΙΑ</cp:lastModifiedBy>
  <cp:revision>2</cp:revision>
  <cp:lastPrinted>2016-11-17T10:15:00Z</cp:lastPrinted>
  <dcterms:created xsi:type="dcterms:W3CDTF">2017-02-17T11:00:00Z</dcterms:created>
  <dcterms:modified xsi:type="dcterms:W3CDTF">2017-02-17T11:00:00Z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2016-07-15T00:00:00Z</vt:filetime>
  </property>
</Properties>
</file>