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rPr>
          <w:szCs w:val="22"/>
        </w:rPr>
      </w:pPr>
    </w:p>
    <w:p w:rsidR="00B3424B" w:rsidRPr="00D545CB" w:rsidRDefault="00B3424B" w:rsidP="00B3424B">
      <w:pPr>
        <w:jc w:val="center"/>
        <w:rPr>
          <w:szCs w:val="22"/>
        </w:rPr>
      </w:pPr>
      <w:r w:rsidRPr="00D545CB">
        <w:rPr>
          <w:b/>
          <w:noProof/>
          <w:szCs w:val="22"/>
        </w:rPr>
        <w:t>ΠΕΡΙΛΗΨΗ ΤΩΝ ΧΑΡΑΚΤΗΡΙΣΤΙΚΩΝ ΤΟΥ ΠΡΟΪΟΝΤΟΣ</w:t>
      </w:r>
    </w:p>
    <w:p w:rsidR="00B3424B" w:rsidRDefault="00B3424B" w:rsidP="00B3424B">
      <w:pPr>
        <w:rPr>
          <w:b/>
          <w:szCs w:val="22"/>
          <w:lang w:val="en-US"/>
        </w:rPr>
      </w:pPr>
      <w:r w:rsidRPr="00D545CB">
        <w:rPr>
          <w:szCs w:val="22"/>
        </w:rPr>
        <w:br w:type="page"/>
      </w:r>
    </w:p>
    <w:p w:rsidR="008F0C25" w:rsidRPr="00713BE1" w:rsidRDefault="008F0C25" w:rsidP="008F0C25">
      <w:pPr>
        <w:rPr>
          <w:szCs w:val="22"/>
        </w:rPr>
      </w:pPr>
      <w:r w:rsidRPr="00713BE1">
        <w:rPr>
          <w:b/>
          <w:szCs w:val="22"/>
        </w:rPr>
        <w:lastRenderedPageBreak/>
        <w:t>ΟΝΟΜΑΣΙΑ ΤΟΥ ΦΑΡΜΑΚΕΥΤΙΚΟΥ ΠΡΟΪΟΝΤΟΣ</w:t>
      </w:r>
    </w:p>
    <w:p w:rsidR="008F0C25" w:rsidRPr="00713BE1" w:rsidRDefault="008F0C25" w:rsidP="008F0C25">
      <w:pPr>
        <w:rPr>
          <w:szCs w:val="22"/>
        </w:rPr>
      </w:pPr>
    </w:p>
    <w:p w:rsidR="008F0C25" w:rsidRPr="00713BE1" w:rsidRDefault="008F0C25" w:rsidP="008F0C25">
      <w:pPr>
        <w:rPr>
          <w:szCs w:val="22"/>
        </w:rPr>
      </w:pPr>
      <w:r w:rsidRPr="00713BE1">
        <w:rPr>
          <w:szCs w:val="22"/>
        </w:rPr>
        <w:t>HIREMON 20mg/m</w:t>
      </w:r>
      <w:r w:rsidRPr="00713BE1">
        <w:rPr>
          <w:szCs w:val="22"/>
          <w:lang w:val="en-US"/>
        </w:rPr>
        <w:t>L</w:t>
      </w:r>
      <w:r w:rsidRPr="00713BE1">
        <w:rPr>
          <w:szCs w:val="22"/>
        </w:rPr>
        <w:t xml:space="preserve"> γαλάκτωμα για έγχυση</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2.</w:t>
      </w:r>
      <w:r w:rsidRPr="00713BE1">
        <w:rPr>
          <w:b/>
          <w:szCs w:val="22"/>
        </w:rPr>
        <w:tab/>
        <w:t>ΠΟΙΟΤΙΚΗ ΚΑΙ ΠΟΣΟΤΙΚΗ ΣΥΝΘΕΣΗ</w:t>
      </w:r>
    </w:p>
    <w:p w:rsidR="008F0C25" w:rsidRPr="00713BE1" w:rsidRDefault="008F0C25" w:rsidP="008F0C25">
      <w:pPr>
        <w:rPr>
          <w:szCs w:val="22"/>
        </w:rPr>
      </w:pPr>
    </w:p>
    <w:p w:rsidR="008F0C25" w:rsidRPr="008D4F9E" w:rsidRDefault="008F0C25" w:rsidP="008F0C25">
      <w:pPr>
        <w:pStyle w:val="EMEAEnBodyText"/>
        <w:autoSpaceDE w:val="0"/>
        <w:autoSpaceDN w:val="0"/>
        <w:adjustRightInd w:val="0"/>
        <w:spacing w:before="0"/>
        <w:rPr>
          <w:szCs w:val="22"/>
          <w:lang w:val="el-GR"/>
        </w:rPr>
      </w:pPr>
      <w:proofErr w:type="spellStart"/>
      <w:r w:rsidRPr="00713BE1">
        <w:rPr>
          <w:szCs w:val="22"/>
          <w:lang w:val="el-GR"/>
        </w:rPr>
        <w:t>Προποφόλη</w:t>
      </w:r>
      <w:proofErr w:type="spellEnd"/>
      <w:r w:rsidRPr="00713BE1">
        <w:rPr>
          <w:szCs w:val="22"/>
          <w:lang w:val="el-GR"/>
        </w:rPr>
        <w:t xml:space="preserve"> 20mg/m</w:t>
      </w:r>
      <w:r w:rsidRPr="00713BE1">
        <w:rPr>
          <w:szCs w:val="22"/>
        </w:rPr>
        <w:t>L</w:t>
      </w:r>
    </w:p>
    <w:p w:rsidR="008F0C25" w:rsidRPr="00713BE1" w:rsidRDefault="008F0C25" w:rsidP="008F0C25">
      <w:pPr>
        <w:pStyle w:val="EMEAEnBodyText"/>
        <w:autoSpaceDE w:val="0"/>
        <w:autoSpaceDN w:val="0"/>
        <w:adjustRightInd w:val="0"/>
        <w:spacing w:before="0"/>
        <w:rPr>
          <w:szCs w:val="22"/>
          <w:lang w:val="el-GR"/>
        </w:rPr>
      </w:pPr>
      <w:r w:rsidRPr="00713BE1">
        <w:rPr>
          <w:szCs w:val="22"/>
          <w:lang w:val="el-GR"/>
        </w:rPr>
        <w:t xml:space="preserve">Έκδοχο </w:t>
      </w:r>
      <w:r w:rsidRPr="00713BE1">
        <w:rPr>
          <w:noProof/>
          <w:szCs w:val="22"/>
          <w:lang w:val="el-GR"/>
        </w:rPr>
        <w:t xml:space="preserve">με γνωστή δράση: </w:t>
      </w:r>
      <w:r w:rsidRPr="00713BE1">
        <w:rPr>
          <w:szCs w:val="22"/>
          <w:lang w:val="el-GR"/>
        </w:rPr>
        <w:t>έλαιο σόγιας.</w:t>
      </w:r>
    </w:p>
    <w:p w:rsidR="008F0C25" w:rsidRPr="00713BE1" w:rsidRDefault="008F0C25" w:rsidP="008F0C25">
      <w:pPr>
        <w:widowControl/>
        <w:tabs>
          <w:tab w:val="left" w:pos="567"/>
        </w:tabs>
        <w:spacing w:line="260" w:lineRule="exact"/>
        <w:rPr>
          <w:szCs w:val="22"/>
        </w:rPr>
      </w:pPr>
      <w:r w:rsidRPr="00713BE1">
        <w:rPr>
          <w:szCs w:val="22"/>
        </w:rPr>
        <w:t>Για τον πλήρη κατάλογο των εκδόχων, βλ. παράγραφο 6.1.</w:t>
      </w:r>
    </w:p>
    <w:p w:rsidR="008F0C25" w:rsidRPr="008D4F9E" w:rsidRDefault="008F0C25" w:rsidP="008F0C25">
      <w:pPr>
        <w:rPr>
          <w:szCs w:val="22"/>
        </w:rPr>
      </w:pPr>
    </w:p>
    <w:p w:rsidR="008F0C25" w:rsidRPr="008D4F9E" w:rsidRDefault="008F0C25" w:rsidP="008F0C25">
      <w:pPr>
        <w:rPr>
          <w:szCs w:val="22"/>
        </w:rPr>
      </w:pPr>
    </w:p>
    <w:p w:rsidR="008F0C25" w:rsidRPr="00713BE1" w:rsidRDefault="008F0C25" w:rsidP="008F0C25">
      <w:pPr>
        <w:rPr>
          <w:szCs w:val="22"/>
        </w:rPr>
      </w:pPr>
      <w:r w:rsidRPr="00713BE1">
        <w:rPr>
          <w:b/>
          <w:szCs w:val="22"/>
        </w:rPr>
        <w:t>3.</w:t>
      </w:r>
      <w:r w:rsidRPr="00713BE1">
        <w:rPr>
          <w:b/>
          <w:szCs w:val="22"/>
        </w:rPr>
        <w:tab/>
        <w:t>ΦΑΡΜΑΚΟΤΕΧΝΙΚΗ ΜΟΡΦΗ</w:t>
      </w:r>
    </w:p>
    <w:p w:rsidR="008F0C25" w:rsidRPr="00713BE1" w:rsidRDefault="008F0C25" w:rsidP="008F0C25">
      <w:pPr>
        <w:rPr>
          <w:szCs w:val="22"/>
        </w:rPr>
      </w:pPr>
    </w:p>
    <w:p w:rsidR="008F0C25" w:rsidRPr="00713BE1" w:rsidRDefault="008F0C25" w:rsidP="008F0C25">
      <w:pPr>
        <w:rPr>
          <w:szCs w:val="22"/>
        </w:rPr>
      </w:pPr>
      <w:r w:rsidRPr="00713BE1">
        <w:rPr>
          <w:szCs w:val="22"/>
        </w:rPr>
        <w:t>Γαλάκτωμα για έγχυση.</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Λευκό υδατικό γαλάκτωμα ελαίου σε νερό.</w:t>
      </w:r>
    </w:p>
    <w:p w:rsidR="008F0C25" w:rsidRPr="00713BE1" w:rsidRDefault="008F0C25" w:rsidP="008F0C25">
      <w:pPr>
        <w:rPr>
          <w:noProof/>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4.</w:t>
      </w:r>
      <w:r w:rsidRPr="00713BE1">
        <w:rPr>
          <w:b/>
          <w:szCs w:val="22"/>
        </w:rPr>
        <w:tab/>
        <w:t>ΚΛΙΝΙΚΕΣ ΠΛΗΡΟΦΟΡΙΕΣ</w:t>
      </w:r>
    </w:p>
    <w:p w:rsidR="008F0C25" w:rsidRPr="00713BE1" w:rsidRDefault="008F0C25" w:rsidP="008F0C25">
      <w:pPr>
        <w:rPr>
          <w:szCs w:val="22"/>
        </w:rPr>
      </w:pPr>
    </w:p>
    <w:p w:rsidR="008F0C25" w:rsidRPr="00713BE1" w:rsidRDefault="008F0C25" w:rsidP="008F0C25">
      <w:pPr>
        <w:rPr>
          <w:szCs w:val="22"/>
        </w:rPr>
      </w:pPr>
      <w:r w:rsidRPr="00713BE1">
        <w:rPr>
          <w:b/>
          <w:szCs w:val="22"/>
        </w:rPr>
        <w:t>4.1</w:t>
      </w:r>
      <w:r w:rsidRPr="00713BE1">
        <w:rPr>
          <w:b/>
          <w:szCs w:val="22"/>
        </w:rPr>
        <w:tab/>
        <w:t>Θεραπευτικές ενδείξεις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είναι ένα βραχείας δράσης ενδοφλέβιο γενικό αναισθητικό για:</w:t>
      </w:r>
    </w:p>
    <w:p w:rsidR="008F0C25" w:rsidRPr="00713BE1" w:rsidRDefault="008F0C25" w:rsidP="008F0C25">
      <w:pPr>
        <w:rPr>
          <w:szCs w:val="22"/>
        </w:rPr>
      </w:pPr>
      <w:r w:rsidRPr="00713BE1">
        <w:rPr>
          <w:szCs w:val="22"/>
        </w:rPr>
        <w:t>•</w:t>
      </w:r>
      <w:r w:rsidRPr="00713BE1">
        <w:rPr>
          <w:szCs w:val="22"/>
        </w:rPr>
        <w:tab/>
      </w:r>
      <w:r w:rsidR="007D1C3A">
        <w:rPr>
          <w:szCs w:val="22"/>
        </w:rPr>
        <w:t>Εισαγωγή</w:t>
      </w:r>
      <w:r w:rsidRPr="00713BE1">
        <w:rPr>
          <w:szCs w:val="22"/>
        </w:rPr>
        <w:t xml:space="preserve"> και διατήρηση γενικής αναισθησίας σε ενήλικες και παιδιά &gt; 3 ετών.</w:t>
      </w:r>
    </w:p>
    <w:p w:rsidR="008F0C25" w:rsidRPr="00713BE1" w:rsidRDefault="008F0C25" w:rsidP="008F0C25">
      <w:pPr>
        <w:ind w:left="720" w:hanging="720"/>
        <w:rPr>
          <w:szCs w:val="22"/>
        </w:rPr>
      </w:pPr>
      <w:r w:rsidRPr="00713BE1">
        <w:rPr>
          <w:szCs w:val="22"/>
        </w:rPr>
        <w:t>•</w:t>
      </w:r>
      <w:r w:rsidRPr="00713BE1">
        <w:rPr>
          <w:szCs w:val="22"/>
        </w:rPr>
        <w:tab/>
        <w:t xml:space="preserve">Καταστολή σε διαγνωστικές και χειρουργικές επεμβάσεις, μόνο του ή σε συνδυασμό με τοπική ή </w:t>
      </w:r>
      <w:proofErr w:type="spellStart"/>
      <w:r w:rsidRPr="00713BE1">
        <w:rPr>
          <w:szCs w:val="22"/>
        </w:rPr>
        <w:t>περιοχική</w:t>
      </w:r>
      <w:proofErr w:type="spellEnd"/>
      <w:r w:rsidRPr="00713BE1">
        <w:rPr>
          <w:szCs w:val="22"/>
        </w:rPr>
        <w:t xml:space="preserve"> αναισθησία σε ενήλικες και παιδιά &gt; 3 ετών.</w:t>
      </w:r>
    </w:p>
    <w:p w:rsidR="008F0C25" w:rsidRPr="00713BE1" w:rsidRDefault="008F0C25" w:rsidP="008F0C25">
      <w:pPr>
        <w:rPr>
          <w:szCs w:val="22"/>
        </w:rPr>
      </w:pPr>
      <w:r w:rsidRPr="00713BE1">
        <w:rPr>
          <w:szCs w:val="22"/>
        </w:rPr>
        <w:t>•</w:t>
      </w:r>
      <w:r w:rsidRPr="00713BE1">
        <w:rPr>
          <w:szCs w:val="22"/>
        </w:rPr>
        <w:tab/>
        <w:t>Καταστολή σε ασθενείς &gt; 16 ετών υπό τεχνητό αερισμό στη μονάδα εντατικής θεραπείας</w:t>
      </w:r>
    </w:p>
    <w:p w:rsidR="008F0C25" w:rsidRPr="00713BE1" w:rsidRDefault="008F0C25" w:rsidP="008F0C25">
      <w:pPr>
        <w:rPr>
          <w:szCs w:val="22"/>
        </w:rPr>
      </w:pPr>
    </w:p>
    <w:p w:rsidR="008F0C25" w:rsidRPr="00713BE1" w:rsidRDefault="008F0C25" w:rsidP="008F0C25">
      <w:pPr>
        <w:rPr>
          <w:szCs w:val="22"/>
        </w:rPr>
      </w:pPr>
      <w:r w:rsidRPr="00713BE1">
        <w:rPr>
          <w:b/>
          <w:szCs w:val="22"/>
        </w:rPr>
        <w:t>4.2</w:t>
      </w:r>
      <w:r w:rsidRPr="00713BE1">
        <w:rPr>
          <w:b/>
          <w:szCs w:val="22"/>
        </w:rPr>
        <w:tab/>
        <w:t>Δοσολογία και τρόπος χορήγησης</w:t>
      </w:r>
    </w:p>
    <w:p w:rsidR="008F0C25" w:rsidRPr="00713BE1" w:rsidRDefault="008F0C25" w:rsidP="008F0C25">
      <w:pPr>
        <w:rPr>
          <w:szCs w:val="22"/>
        </w:rPr>
      </w:pPr>
    </w:p>
    <w:p w:rsidR="008F0C25" w:rsidRPr="00713BE1" w:rsidRDefault="008F0C25" w:rsidP="008F0C25">
      <w:pPr>
        <w:rPr>
          <w:noProof/>
          <w:szCs w:val="22"/>
          <w:u w:val="single"/>
        </w:rPr>
      </w:pPr>
      <w:r w:rsidRPr="00713BE1">
        <w:rPr>
          <w:noProof/>
          <w:szCs w:val="22"/>
          <w:u w:val="single"/>
        </w:rPr>
        <w:t>Δοσολογία</w:t>
      </w:r>
    </w:p>
    <w:p w:rsidR="008F0C25" w:rsidRPr="00713BE1" w:rsidRDefault="008F0C25" w:rsidP="008F0C25">
      <w:pPr>
        <w:rPr>
          <w:noProof/>
          <w:szCs w:val="22"/>
          <w:u w:val="single"/>
        </w:rPr>
      </w:pPr>
    </w:p>
    <w:p w:rsidR="008F0C25" w:rsidRPr="00713BE1" w:rsidRDefault="008F0C25" w:rsidP="008F0C25">
      <w:pPr>
        <w:rPr>
          <w:b/>
          <w:noProof/>
          <w:szCs w:val="22"/>
        </w:rPr>
      </w:pPr>
      <w:r w:rsidRPr="00713BE1">
        <w:rPr>
          <w:b/>
          <w:noProof/>
          <w:szCs w:val="22"/>
        </w:rPr>
        <w:t>Επαγωγή γενικής αναισθησίας</w:t>
      </w:r>
    </w:p>
    <w:p w:rsidR="008F0C25" w:rsidRPr="00713BE1" w:rsidRDefault="008F0C25" w:rsidP="008F0C25">
      <w:pPr>
        <w:rPr>
          <w:i/>
          <w:noProof/>
          <w:szCs w:val="22"/>
        </w:rPr>
      </w:pPr>
    </w:p>
    <w:p w:rsidR="008F0C25" w:rsidRPr="00713BE1" w:rsidRDefault="008F0C25" w:rsidP="008F0C25">
      <w:pPr>
        <w:rPr>
          <w:b/>
          <w:noProof/>
          <w:szCs w:val="22"/>
        </w:rPr>
      </w:pPr>
      <w:r w:rsidRPr="00713BE1">
        <w:rPr>
          <w:b/>
          <w:noProof/>
          <w:szCs w:val="22"/>
        </w:rPr>
        <w:t>Ενήλικες</w:t>
      </w:r>
    </w:p>
    <w:p w:rsidR="008F0C25" w:rsidRPr="00713BE1" w:rsidRDefault="008F0C25" w:rsidP="008F0C25">
      <w:pPr>
        <w:rPr>
          <w:b/>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μπορεί να χρησιμοποιηθεί για </w:t>
      </w:r>
      <w:r w:rsidR="007D1C3A">
        <w:rPr>
          <w:noProof/>
          <w:szCs w:val="22"/>
        </w:rPr>
        <w:t>εισαγωγή στην</w:t>
      </w:r>
      <w:r w:rsidRPr="00713BE1">
        <w:rPr>
          <w:noProof/>
          <w:szCs w:val="22"/>
        </w:rPr>
        <w:t xml:space="preserve"> αναισθησία μέσω εγχύσεως.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Χορήγηση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με εφάπαξ (</w:t>
      </w:r>
      <w:r w:rsidRPr="00713BE1">
        <w:rPr>
          <w:noProof/>
          <w:szCs w:val="22"/>
          <w:lang w:val="en-US"/>
        </w:rPr>
        <w:t>bolus</w:t>
      </w:r>
      <w:r w:rsidRPr="00713BE1">
        <w:rPr>
          <w:noProof/>
          <w:szCs w:val="22"/>
        </w:rPr>
        <w:t>) ένεση δε συνιστάται.</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μπορεί να χρησιμοποιηθεί για </w:t>
      </w:r>
      <w:r w:rsidR="007D1C3A">
        <w:rPr>
          <w:noProof/>
          <w:szCs w:val="22"/>
        </w:rPr>
        <w:t>εισαγωγή στην</w:t>
      </w:r>
      <w:r w:rsidR="007D1C3A" w:rsidRPr="00713BE1">
        <w:rPr>
          <w:noProof/>
          <w:szCs w:val="22"/>
        </w:rPr>
        <w:t xml:space="preserve"> αναισθησία</w:t>
      </w:r>
      <w:r w:rsidRPr="00713BE1">
        <w:rPr>
          <w:noProof/>
          <w:szCs w:val="22"/>
        </w:rPr>
        <w:t xml:space="preserve"> μέσω εγχύσεως αλλά μόνο σε αυτούς τους ασθενείς που θα δεχθούν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για τη διατήρηση της αναισθησίας.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Σε ασθενείς χωρίς ή με προαναισθησία, συνιστάται το HIREMON </w:t>
      </w:r>
      <w:r>
        <w:rPr>
          <w:noProof/>
          <w:szCs w:val="22"/>
        </w:rPr>
        <w:t>20 mg/mL</w:t>
      </w:r>
      <w:r w:rsidRPr="00713BE1">
        <w:rPr>
          <w:noProof/>
          <w:szCs w:val="22"/>
        </w:rPr>
        <w:t xml:space="preserve"> να τιτλοποιείται (κατά μέσο όρο 2 </w:t>
      </w:r>
      <w:r w:rsidRPr="00713BE1">
        <w:rPr>
          <w:noProof/>
          <w:szCs w:val="22"/>
          <w:lang w:val="en-US"/>
        </w:rPr>
        <w:t>mL</w:t>
      </w:r>
      <w:r w:rsidRPr="00713BE1">
        <w:rPr>
          <w:noProof/>
          <w:szCs w:val="22"/>
        </w:rPr>
        <w:t xml:space="preserve"> [40 mg] προποφόλης ανά 10 δευτερόλεπτα σε έναν μέσο υγιή ασθενή με έγχυση), ανάλογα με την ανταπόκριση του ασθενή, μέχρι να εμφανισθούν κλινικά σημεία που να δείχνουν την έναρξη της αναισθησίας. Οι περισσότεροι ενήλικες κάτω των 55 ετών είναι πιθανό να χρειάζονται 1,5-2,5 mg/kg </w:t>
      </w:r>
      <w:r w:rsidRPr="00713BE1">
        <w:rPr>
          <w:noProof/>
          <w:szCs w:val="22"/>
          <w:lang w:val="en-US"/>
        </w:rPr>
        <w:t>HIREMON</w:t>
      </w:r>
      <w:r w:rsidRPr="00713BE1">
        <w:rPr>
          <w:noProof/>
          <w:szCs w:val="22"/>
        </w:rPr>
        <w:t xml:space="preserve"> </w:t>
      </w:r>
      <w:r>
        <w:rPr>
          <w:noProof/>
          <w:szCs w:val="22"/>
        </w:rPr>
        <w:t>20 mg/mL</w:t>
      </w:r>
      <w:r w:rsidRPr="00713BE1">
        <w:rPr>
          <w:noProof/>
          <w:szCs w:val="22"/>
        </w:rPr>
        <w:t>. Η μέγιστη απαιτούμενη δόση μπορεί να μειωθεί με την ελάττωση του ρυθμού χορήγησης (</w:t>
      </w:r>
      <w:r w:rsidRPr="00713BE1">
        <w:rPr>
          <w:szCs w:val="22"/>
        </w:rPr>
        <w:t xml:space="preserve">1–2,5 </w:t>
      </w:r>
      <w:r w:rsidRPr="00713BE1">
        <w:rPr>
          <w:szCs w:val="22"/>
          <w:lang w:val="en-US"/>
        </w:rPr>
        <w:t>mL</w:t>
      </w:r>
      <w:r w:rsidRPr="00713BE1">
        <w:rPr>
          <w:szCs w:val="22"/>
        </w:rPr>
        <w:t>/</w:t>
      </w:r>
      <w:r w:rsidRPr="00713BE1">
        <w:rPr>
          <w:szCs w:val="22"/>
          <w:lang w:val="en-US"/>
        </w:rPr>
        <w:t>min</w:t>
      </w:r>
      <w:r w:rsidRPr="00713BE1">
        <w:rPr>
          <w:noProof/>
          <w:szCs w:val="22"/>
        </w:rPr>
        <w:t xml:space="preserve"> [20-50 mg/</w:t>
      </w:r>
      <w:r w:rsidRPr="00713BE1">
        <w:rPr>
          <w:noProof/>
          <w:szCs w:val="22"/>
          <w:lang w:val="en-US"/>
        </w:rPr>
        <w:t>min</w:t>
      </w:r>
      <w:r w:rsidRPr="00713BE1">
        <w:rPr>
          <w:noProof/>
          <w:szCs w:val="22"/>
        </w:rPr>
        <w:t>]). Πέραν αυτής της ηλικίας, οι απαιτήσεις γενικά είναι μικρότερες.</w:t>
      </w:r>
      <w:r w:rsidRPr="00713BE1">
        <w:rPr>
          <w:szCs w:val="22"/>
        </w:rPr>
        <w:t xml:space="preserve"> </w:t>
      </w:r>
      <w:r w:rsidRPr="00713BE1">
        <w:rPr>
          <w:noProof/>
          <w:szCs w:val="22"/>
        </w:rPr>
        <w:lastRenderedPageBreak/>
        <w:t>Σε ασθενείς κατά ASA ΙΙΙ και Ι</w:t>
      </w:r>
      <w:r w:rsidRPr="00713BE1">
        <w:rPr>
          <w:noProof/>
          <w:szCs w:val="22"/>
          <w:lang w:val="en-US"/>
        </w:rPr>
        <w:t>V</w:t>
      </w:r>
      <w:r w:rsidRPr="00713BE1">
        <w:rPr>
          <w:noProof/>
          <w:szCs w:val="22"/>
        </w:rPr>
        <w:t xml:space="preserve">, μικρότεροι ρυθμοί χορηγήσεως πρέπει να εφαρμόζονται (περίπου 1 </w:t>
      </w:r>
      <w:r w:rsidRPr="00713BE1">
        <w:rPr>
          <w:noProof/>
          <w:szCs w:val="22"/>
          <w:lang w:val="en-US"/>
        </w:rPr>
        <w:t>mL</w:t>
      </w:r>
      <w:r w:rsidRPr="00713BE1">
        <w:rPr>
          <w:noProof/>
          <w:szCs w:val="22"/>
        </w:rPr>
        <w:t xml:space="preserve"> [20mg] προποφόλης ανά 10 δευτερόλεπτα).</w:t>
      </w:r>
    </w:p>
    <w:p w:rsidR="008F0C25" w:rsidRPr="00713BE1" w:rsidRDefault="008F0C25" w:rsidP="008F0C25">
      <w:pPr>
        <w:rPr>
          <w:i/>
          <w:noProof/>
          <w:szCs w:val="22"/>
        </w:rPr>
      </w:pPr>
    </w:p>
    <w:p w:rsidR="008F0C25" w:rsidRPr="00713BE1" w:rsidRDefault="008F0C25" w:rsidP="008F0C25">
      <w:pPr>
        <w:rPr>
          <w:b/>
          <w:noProof/>
          <w:szCs w:val="22"/>
        </w:rPr>
      </w:pPr>
      <w:r w:rsidRPr="00713BE1">
        <w:rPr>
          <w:b/>
          <w:noProof/>
          <w:szCs w:val="22"/>
        </w:rPr>
        <w:t>Ηλικιωμένοι</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Σε ηλικιωμένους ασθενείς οι δοσολογικές απαιτήσεις για </w:t>
      </w:r>
      <w:r w:rsidR="007D1C3A">
        <w:rPr>
          <w:noProof/>
          <w:szCs w:val="22"/>
        </w:rPr>
        <w:t>εισαγωγή στην</w:t>
      </w:r>
      <w:r w:rsidR="007D1C3A" w:rsidRPr="00713BE1">
        <w:rPr>
          <w:noProof/>
          <w:szCs w:val="22"/>
        </w:rPr>
        <w:t xml:space="preserve"> αναισθησία</w:t>
      </w:r>
      <w:r w:rsidRPr="00713BE1">
        <w:rPr>
          <w:noProof/>
          <w:szCs w:val="22"/>
        </w:rPr>
        <w:t xml:space="preserve"> με HIREMON </w:t>
      </w:r>
      <w:r>
        <w:rPr>
          <w:noProof/>
          <w:szCs w:val="22"/>
        </w:rPr>
        <w:t>20 mg/mL</w:t>
      </w:r>
      <w:r w:rsidRPr="00713BE1">
        <w:rPr>
          <w:noProof/>
          <w:szCs w:val="22"/>
        </w:rPr>
        <w:t xml:space="preserve"> είναι μειωμένες. Η μείωση πρέπει να γίνεται ανάλογα με τη φυσική κατάσταση και την ηλικία του ασθενούς. Η μειωμένη δόση πρέπει να χορηγείται με πιο αργό ρυθμό και να τιτλοποιείται ανάλογα με την ανταπόκριση. </w:t>
      </w:r>
    </w:p>
    <w:p w:rsidR="008F0C25" w:rsidRPr="00713BE1" w:rsidRDefault="008F0C25" w:rsidP="008F0C25">
      <w:pPr>
        <w:rPr>
          <w:b/>
          <w:noProof/>
          <w:szCs w:val="22"/>
        </w:rPr>
      </w:pPr>
      <w:r w:rsidRPr="00713BE1">
        <w:rPr>
          <w:b/>
          <w:noProof/>
          <w:szCs w:val="22"/>
        </w:rPr>
        <w:t>Παιδιατρικός πληθυσμός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HIREMON </w:t>
      </w:r>
      <w:r>
        <w:rPr>
          <w:noProof/>
          <w:szCs w:val="22"/>
        </w:rPr>
        <w:t>20 mg/mL</w:t>
      </w:r>
      <w:r w:rsidRPr="00713BE1">
        <w:rPr>
          <w:noProof/>
          <w:szCs w:val="22"/>
        </w:rPr>
        <w:t xml:space="preserve">  δεν πρέπει να χρησιμοποιείται σε παιδιά ηλικίας μικρότερης των 3 ετών.</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Για την </w:t>
      </w:r>
      <w:r w:rsidR="007D1C3A">
        <w:rPr>
          <w:noProof/>
          <w:szCs w:val="22"/>
        </w:rPr>
        <w:t>εισαγωγή στην</w:t>
      </w:r>
      <w:r w:rsidR="007D1C3A" w:rsidRPr="00713BE1">
        <w:rPr>
          <w:noProof/>
          <w:szCs w:val="22"/>
        </w:rPr>
        <w:t xml:space="preserve"> αναισθησία</w:t>
      </w:r>
      <w:r w:rsidRPr="00713BE1">
        <w:rPr>
          <w:noProof/>
          <w:szCs w:val="22"/>
        </w:rPr>
        <w:t xml:space="preserve"> σε παιδιά μεγαλύτερα των 3 ετών το HIREMON </w:t>
      </w:r>
      <w:r>
        <w:rPr>
          <w:noProof/>
          <w:szCs w:val="22"/>
        </w:rPr>
        <w:t>20 mg/mL</w:t>
      </w:r>
      <w:r w:rsidRPr="00713BE1">
        <w:rPr>
          <w:noProof/>
          <w:szCs w:val="22"/>
        </w:rPr>
        <w:t xml:space="preserve">  συνιστάται να τιτλοποιείται αργά, μέχρι να εμφανιστούν τα κλινικά σημεία, που δείχνουν την έναρξη της αναισθησίας. Η δόση πρέπει να προσαρμόζεται σύμφωνα με την ηλικία και/ή το σωματικό βάρος. Οι περισσότεροι ασθενείς άνω των 8 ετών χρειάζονται περίπου 2,5 mg/kg σωματικού βάρους HIREMON </w:t>
      </w:r>
      <w:r>
        <w:rPr>
          <w:noProof/>
          <w:szCs w:val="22"/>
        </w:rPr>
        <w:t>20 mg/mL</w:t>
      </w:r>
      <w:r w:rsidRPr="00713BE1">
        <w:rPr>
          <w:noProof/>
          <w:szCs w:val="22"/>
        </w:rPr>
        <w:t xml:space="preserve"> για την </w:t>
      </w:r>
      <w:r w:rsidR="005E0481">
        <w:rPr>
          <w:noProof/>
          <w:szCs w:val="22"/>
        </w:rPr>
        <w:t>εισαγωγή στην</w:t>
      </w:r>
      <w:r w:rsidR="005E0481" w:rsidRPr="00713BE1">
        <w:rPr>
          <w:noProof/>
          <w:szCs w:val="22"/>
        </w:rPr>
        <w:t xml:space="preserve"> αναισθησία</w:t>
      </w:r>
      <w:r w:rsidRPr="00713BE1">
        <w:rPr>
          <w:noProof/>
          <w:szCs w:val="22"/>
        </w:rPr>
        <w:t>. Σε μικρότερα παιδιά οι δοσολογικές ανάγκες μπορεί να είναι μεγαλύτερες (2,5 – 4 mg/kg σωματικού βάρους).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Σε ασθενείς κατά ASA III και ΙV συνίστανται μικρότερες δόσεις (βλ. επίσης παράγραφο 4.4).</w:t>
      </w:r>
    </w:p>
    <w:p w:rsidR="008F0C25" w:rsidRPr="00713BE1" w:rsidRDefault="008F0C25" w:rsidP="008F0C25">
      <w:pPr>
        <w:rPr>
          <w:noProof/>
          <w:szCs w:val="22"/>
        </w:rPr>
      </w:pPr>
      <w:r w:rsidRPr="00713BE1">
        <w:rPr>
          <w:noProof/>
          <w:szCs w:val="22"/>
        </w:rPr>
        <w:t xml:space="preserve"> </w:t>
      </w:r>
    </w:p>
    <w:p w:rsidR="008F0C25" w:rsidRPr="00713BE1" w:rsidRDefault="008F0C25" w:rsidP="008F0C25">
      <w:pPr>
        <w:rPr>
          <w:b/>
          <w:noProof/>
          <w:szCs w:val="22"/>
        </w:rPr>
      </w:pPr>
      <w:r w:rsidRPr="00713BE1">
        <w:rPr>
          <w:b/>
          <w:noProof/>
          <w:szCs w:val="22"/>
        </w:rPr>
        <w:t>Διατήρηση γενικής αναισθησίας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Η αναισθησία μπορεί να διατηρηθεί με τη χορήγηση HIREMON </w:t>
      </w:r>
      <w:r>
        <w:rPr>
          <w:noProof/>
          <w:szCs w:val="22"/>
        </w:rPr>
        <w:t>20 mg/mL</w:t>
      </w:r>
      <w:r w:rsidRPr="00713BE1">
        <w:rPr>
          <w:noProof/>
          <w:szCs w:val="22"/>
        </w:rPr>
        <w:t xml:space="preserve">  με συνεχή έγχυση έτσι ώστε να αποφε</w:t>
      </w:r>
      <w:r>
        <w:rPr>
          <w:noProof/>
          <w:szCs w:val="22"/>
        </w:rPr>
        <w:t>υχθεούν τα κλινικά σημεία ελαφρ</w:t>
      </w:r>
      <w:r w:rsidRPr="00713BE1">
        <w:rPr>
          <w:noProof/>
          <w:szCs w:val="22"/>
        </w:rPr>
        <w:t xml:space="preserve">ιάς αναισθησίας. Χορήγηση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με εφάπαξ (</w:t>
      </w:r>
      <w:r w:rsidRPr="00713BE1">
        <w:rPr>
          <w:noProof/>
          <w:szCs w:val="22"/>
          <w:lang w:val="en-US"/>
        </w:rPr>
        <w:t>bolus</w:t>
      </w:r>
      <w:r w:rsidRPr="00713BE1">
        <w:rPr>
          <w:noProof/>
          <w:szCs w:val="22"/>
        </w:rPr>
        <w:t xml:space="preserve">) ένεση δε συνιστάται. Η ανάνηψη από την αναισθησία είναι συνήθως ταχεία και για το λόγο αυτό είναι σημαντικό να διατηρηθεί η χορήγηση του HIREMON </w:t>
      </w:r>
      <w:r>
        <w:rPr>
          <w:noProof/>
          <w:szCs w:val="22"/>
        </w:rPr>
        <w:t>20 mg/mL</w:t>
      </w:r>
      <w:r w:rsidRPr="00713BE1">
        <w:rPr>
          <w:noProof/>
          <w:szCs w:val="22"/>
        </w:rPr>
        <w:t xml:space="preserve">  μέχρι το τέλος της διαδικασίας.</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Ενήλικες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Ο απαιτούμενος ρυθμός χορήγησης ποικίλλει σημαντικά μεταξύ των ασθενών, αλλά οι ρυθμοί στο εύρος 4-12 mg/kg/</w:t>
      </w:r>
      <w:r w:rsidRPr="00713BE1">
        <w:rPr>
          <w:noProof/>
          <w:szCs w:val="22"/>
          <w:lang w:val="en-US"/>
        </w:rPr>
        <w:t>h</w:t>
      </w:r>
      <w:r w:rsidRPr="00713BE1">
        <w:rPr>
          <w:noProof/>
          <w:szCs w:val="22"/>
        </w:rPr>
        <w:t xml:space="preserve"> συνήθως διατηρούν ικανοποιητικά την αναισθησία.</w:t>
      </w:r>
    </w:p>
    <w:p w:rsidR="008F0C25" w:rsidRPr="00713BE1" w:rsidRDefault="008F0C25" w:rsidP="008F0C25">
      <w:pPr>
        <w:rPr>
          <w:noProof/>
          <w:szCs w:val="22"/>
        </w:rPr>
      </w:pP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Ηλικιωμένοι</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Όταν το HIREMON </w:t>
      </w:r>
      <w:r>
        <w:rPr>
          <w:noProof/>
          <w:szCs w:val="22"/>
        </w:rPr>
        <w:t>20 mg/mL</w:t>
      </w:r>
      <w:r w:rsidRPr="00713BE1">
        <w:rPr>
          <w:noProof/>
          <w:szCs w:val="22"/>
        </w:rPr>
        <w:t xml:space="preserve">  χρησιμοποιείται για τη διατήρηση της αναισθησίας ο ρυθμός της έγχυσης πρέπει επίσης να μειώνεται.</w:t>
      </w:r>
      <w:r w:rsidRPr="00713BE1">
        <w:rPr>
          <w:szCs w:val="22"/>
        </w:rPr>
        <w:t xml:space="preserve"> </w:t>
      </w:r>
      <w:r w:rsidRPr="00713BE1">
        <w:rPr>
          <w:noProof/>
          <w:szCs w:val="22"/>
        </w:rPr>
        <w:t xml:space="preserve">Σε ασθενείς </w:t>
      </w:r>
      <w:r>
        <w:rPr>
          <w:noProof/>
          <w:szCs w:val="22"/>
        </w:rPr>
        <w:t>κατά</w:t>
      </w:r>
      <w:r w:rsidRPr="00713BE1">
        <w:rPr>
          <w:noProof/>
          <w:szCs w:val="22"/>
        </w:rPr>
        <w:t xml:space="preserve"> ΑSA κατηγορίας III και IV απαιτείται επιπλέον μείωση της δόσης και του ρυθμού χορήγησης. Σε ηλικιωμένους ασθενείς δεν πρέπει να γίνεται ταχεία εφάπαξ (bolus) χορήγηση (εφάπαξ ή επαναλαμβανόμενη), καθώς αυτό μπορεί να οδηγήσει σε καρδιοαναπνευστική καταστολή.</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Παιδιατρικός πληθυσμός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δε συνιστάται για τη διατήρηση της αναισθησίας σε παιδιά ηλικίας μικρότερης των 3 ετών.</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Η αναισθησία μπορεί να διατηρηθεί σε παιδιά μεγαλύτερα των 3 ετών μέσω χορήγησης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με έγχυση, έτσι ώστε να διατηρείται το απαιτούμενο βάθος αναισθησίας. Ο απαιτούμενος ρυθμός χορήγησης διαφέρει αρκετά μεταξύ ασθενών, αλλά ρυθμοί που βρίσκονται στο εύρος 9 – 15</w:t>
      </w:r>
      <w:r w:rsidRPr="00713BE1">
        <w:rPr>
          <w:noProof/>
          <w:szCs w:val="22"/>
          <w:lang w:val="en-US"/>
        </w:rPr>
        <w:t>mg</w:t>
      </w:r>
      <w:r w:rsidRPr="00713BE1">
        <w:rPr>
          <w:noProof/>
          <w:szCs w:val="22"/>
        </w:rPr>
        <w:t>/</w:t>
      </w:r>
      <w:r w:rsidRPr="00713BE1">
        <w:rPr>
          <w:noProof/>
          <w:szCs w:val="22"/>
          <w:lang w:val="en-US"/>
        </w:rPr>
        <w:t>kg</w:t>
      </w:r>
      <w:r w:rsidRPr="00713BE1">
        <w:rPr>
          <w:noProof/>
          <w:szCs w:val="22"/>
        </w:rPr>
        <w:t>/</w:t>
      </w:r>
      <w:r w:rsidRPr="00713BE1">
        <w:rPr>
          <w:noProof/>
          <w:szCs w:val="22"/>
          <w:lang w:val="en-US"/>
        </w:rPr>
        <w:t>h</w:t>
      </w:r>
      <w:r w:rsidRPr="00713BE1">
        <w:rPr>
          <w:noProof/>
          <w:szCs w:val="22"/>
        </w:rPr>
        <w:t xml:space="preserve"> συνήθως επιτυγχάνουν ικανοποιητική </w:t>
      </w:r>
      <w:r w:rsidRPr="00713BE1">
        <w:rPr>
          <w:noProof/>
          <w:szCs w:val="22"/>
        </w:rPr>
        <w:lastRenderedPageBreak/>
        <w:t>αναισθησία. Σε μικρότερα παιδιά οι δοσολογικές απαιτήσεις μπορεί να είναι μεγαλύτερες.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Χαμηλότερες δόσεις συνιστώνται για ασθενείς κατά </w:t>
      </w:r>
      <w:r w:rsidRPr="00713BE1">
        <w:rPr>
          <w:noProof/>
          <w:szCs w:val="22"/>
          <w:lang w:val="en-US"/>
        </w:rPr>
        <w:t>ASA</w:t>
      </w:r>
      <w:r w:rsidRPr="00713BE1">
        <w:rPr>
          <w:noProof/>
          <w:szCs w:val="22"/>
        </w:rPr>
        <w:t xml:space="preserve"> </w:t>
      </w:r>
      <w:r w:rsidRPr="00713BE1">
        <w:rPr>
          <w:noProof/>
          <w:szCs w:val="22"/>
          <w:lang w:val="en-US"/>
        </w:rPr>
        <w:t>III</w:t>
      </w:r>
      <w:r w:rsidRPr="00713BE1">
        <w:rPr>
          <w:noProof/>
          <w:szCs w:val="22"/>
        </w:rPr>
        <w:t xml:space="preserve"> και </w:t>
      </w:r>
      <w:r w:rsidRPr="00713BE1">
        <w:rPr>
          <w:noProof/>
          <w:szCs w:val="22"/>
          <w:lang w:val="en-US"/>
        </w:rPr>
        <w:t>IV</w:t>
      </w:r>
      <w:r w:rsidRPr="00713BE1">
        <w:rPr>
          <w:noProof/>
          <w:szCs w:val="22"/>
        </w:rPr>
        <w:t xml:space="preserve"> (βλ. επίσης παράγραφο 4.4.)</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Kαταστολή κατά την εντατική θεραπεία</w:t>
      </w:r>
    </w:p>
    <w:p w:rsidR="008F0C25" w:rsidRPr="00713BE1" w:rsidRDefault="008F0C25" w:rsidP="008F0C25">
      <w:pPr>
        <w:rPr>
          <w:i/>
          <w:noProof/>
          <w:szCs w:val="22"/>
        </w:rPr>
      </w:pPr>
    </w:p>
    <w:p w:rsidR="008F0C25" w:rsidRPr="00713BE1" w:rsidRDefault="008F0C25" w:rsidP="008F0C25">
      <w:pPr>
        <w:rPr>
          <w:b/>
          <w:noProof/>
          <w:szCs w:val="22"/>
        </w:rPr>
      </w:pPr>
      <w:r w:rsidRPr="00713BE1">
        <w:rPr>
          <w:b/>
          <w:noProof/>
          <w:szCs w:val="22"/>
        </w:rPr>
        <w:t>Ενήλικες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Για την καταστολή κατά την εντατική θεραπεία, συνιστάται το HIREMON </w:t>
      </w:r>
      <w:r>
        <w:rPr>
          <w:noProof/>
          <w:szCs w:val="22"/>
        </w:rPr>
        <w:t>20 mg/mL</w:t>
      </w:r>
      <w:r w:rsidRPr="00713BE1">
        <w:rPr>
          <w:noProof/>
          <w:szCs w:val="22"/>
        </w:rPr>
        <w:t xml:space="preserve"> να χορηγείται με συνεχή έγχυση. Ο ρυθμός έγχυσης πρέπει να καθορίζεται ανάλογα με το επιθυμητό βάθος καταστολής. Στους περισσότερους ασθενείς ικανοποιητική καταστολή μπορεί να επιτευχθεί με δόσεις μεταξύ 0,3 – 4,0 </w:t>
      </w:r>
      <w:r w:rsidRPr="00713BE1">
        <w:rPr>
          <w:noProof/>
          <w:szCs w:val="22"/>
          <w:lang w:val="en-US"/>
        </w:rPr>
        <w:t>mg</w:t>
      </w:r>
      <w:r w:rsidRPr="00713BE1">
        <w:rPr>
          <w:noProof/>
          <w:szCs w:val="22"/>
        </w:rPr>
        <w:t>/</w:t>
      </w:r>
      <w:r w:rsidRPr="00713BE1">
        <w:rPr>
          <w:noProof/>
          <w:szCs w:val="22"/>
          <w:lang w:val="en-US"/>
        </w:rPr>
        <w:t>kg</w:t>
      </w:r>
      <w:r w:rsidRPr="00713BE1">
        <w:rPr>
          <w:noProof/>
          <w:szCs w:val="22"/>
        </w:rPr>
        <w:t>/</w:t>
      </w:r>
      <w:r w:rsidRPr="00713BE1">
        <w:rPr>
          <w:noProof/>
          <w:szCs w:val="22"/>
          <w:lang w:val="en-US"/>
        </w:rPr>
        <w:t>h</w:t>
      </w:r>
      <w:r w:rsidRPr="00713BE1">
        <w:rPr>
          <w:noProof/>
          <w:szCs w:val="22"/>
        </w:rPr>
        <w:t xml:space="preserve"> HIREMON </w:t>
      </w:r>
      <w:r>
        <w:rPr>
          <w:noProof/>
          <w:szCs w:val="22"/>
        </w:rPr>
        <w:t>20 mg/mL</w:t>
      </w:r>
      <w:r w:rsidRPr="00713BE1">
        <w:rPr>
          <w:noProof/>
          <w:szCs w:val="22"/>
        </w:rPr>
        <w:t xml:space="preserve"> (βλ. 4.4 Ειδικές προφυλάξεις και προειδοποιήσεις κατά τη χρήση).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δε συνιστάται για καταστολή στην εντατική θεραπεία ασθενών ηλικίας 16 ετών ή μικρότερων (βλ. 4.3 Αντενδείξεις).</w:t>
      </w:r>
    </w:p>
    <w:p w:rsidR="008F0C25" w:rsidRPr="00713BE1" w:rsidRDefault="008F0C25" w:rsidP="008F0C25">
      <w:pPr>
        <w:rPr>
          <w:noProof/>
          <w:szCs w:val="22"/>
        </w:rPr>
      </w:pPr>
      <w:r w:rsidRPr="00713BE1">
        <w:rPr>
          <w:noProof/>
          <w:szCs w:val="22"/>
        </w:rPr>
        <w:t xml:space="preserve">Συνιστάται να παρακολουθούνται τα επίπεδα λιπιδίων του αίματος σε ασθενείς που εμφανίζουν ιδιαίτερο κίνδυνο επιβάρυνσης του φορτίου λίπους, εάν χορηγείται </w:t>
      </w:r>
      <w:r w:rsidRPr="00713BE1">
        <w:rPr>
          <w:noProof/>
          <w:szCs w:val="22"/>
          <w:lang w:val="en-US"/>
        </w:rPr>
        <w:t>HIREMON</w:t>
      </w:r>
      <w:r w:rsidRPr="00713BE1">
        <w:rPr>
          <w:noProof/>
          <w:szCs w:val="22"/>
        </w:rPr>
        <w:t xml:space="preserve"> </w:t>
      </w:r>
      <w:r>
        <w:rPr>
          <w:noProof/>
          <w:szCs w:val="22"/>
        </w:rPr>
        <w:t>20 mg/mL</w:t>
      </w:r>
      <w:r w:rsidRPr="00713BE1">
        <w:rPr>
          <w:noProof/>
          <w:szCs w:val="22"/>
        </w:rPr>
        <w:t>.</w:t>
      </w:r>
    </w:p>
    <w:p w:rsidR="008F0C25" w:rsidRPr="00713BE1" w:rsidRDefault="008F0C25" w:rsidP="008F0C25">
      <w:pPr>
        <w:rPr>
          <w:noProof/>
          <w:szCs w:val="22"/>
        </w:rPr>
      </w:pPr>
      <w:r w:rsidRPr="00713BE1">
        <w:rPr>
          <w:noProof/>
          <w:szCs w:val="22"/>
        </w:rPr>
        <w:t xml:space="preserve">Η χορήγηση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πρέπει να ρυθμίζεται κατάλληλα όταν η παρακολούθηση υποδεικνύει ότι το λίπος δεν αποβάλλεται επαρκώς από τον οργανισμό. </w:t>
      </w:r>
      <w:r w:rsidRPr="00713BE1">
        <w:rPr>
          <w:szCs w:val="22"/>
        </w:rPr>
        <w:t>Εάν</w:t>
      </w:r>
      <w:r w:rsidRPr="00713BE1">
        <w:rPr>
          <w:noProof/>
          <w:szCs w:val="22"/>
        </w:rPr>
        <w:t xml:space="preserve"> ο ασθενής λαμβάνει ταυτόχρονα και άλλα λιπίδια ενδοφλέβια, πρέπει η ποσότητα αυτή των λιπιδίων να συνυπολογίζεται με την ποσότητα των λιπιδίων της σύνθεσης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και να ελαττώνεται αναλόγως η ποσότητά τους, λαμβάνοντας υπόψη ότι 1 m</w:t>
      </w:r>
      <w:r w:rsidRPr="00713BE1">
        <w:rPr>
          <w:noProof/>
          <w:szCs w:val="22"/>
          <w:lang w:val="en-US"/>
        </w:rPr>
        <w:t>L</w:t>
      </w:r>
      <w:r w:rsidRPr="00713BE1">
        <w:rPr>
          <w:noProof/>
          <w:szCs w:val="22"/>
        </w:rPr>
        <w:t xml:space="preserve"> HI</w:t>
      </w:r>
      <w:r w:rsidRPr="00713BE1">
        <w:rPr>
          <w:noProof/>
          <w:szCs w:val="22"/>
          <w:lang w:val="en-US"/>
        </w:rPr>
        <w:t>REM</w:t>
      </w:r>
      <w:r w:rsidRPr="00713BE1">
        <w:rPr>
          <w:noProof/>
          <w:szCs w:val="22"/>
        </w:rPr>
        <w:t xml:space="preserve">ON </w:t>
      </w:r>
      <w:r>
        <w:rPr>
          <w:noProof/>
          <w:szCs w:val="22"/>
        </w:rPr>
        <w:t>20 mg/mL</w:t>
      </w:r>
      <w:r w:rsidRPr="00713BE1">
        <w:rPr>
          <w:noProof/>
          <w:szCs w:val="22"/>
        </w:rPr>
        <w:t xml:space="preserve"> περιέχει περίπου 0,1g λίπους.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Αν η διάρκεια της καταστολής υπερβαίνει τις 3 ημέρες, τα λιπίδια θα πρέπει να παρακολουθούνται σε όλους τους ασθενείς.</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Ηλικιωμένοι</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Όταν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χρησιμοποιείται για καταστολή ο ρυθμός έγχυσης θα πρέπει επίσης να μειώνεται. Ασθενείς κατά </w:t>
      </w:r>
      <w:r w:rsidRPr="00713BE1">
        <w:rPr>
          <w:noProof/>
          <w:szCs w:val="22"/>
          <w:lang w:val="en-US"/>
        </w:rPr>
        <w:t>ASA</w:t>
      </w:r>
      <w:r w:rsidRPr="00713BE1">
        <w:rPr>
          <w:noProof/>
          <w:szCs w:val="22"/>
        </w:rPr>
        <w:t xml:space="preserve"> ΙΙΙ και Ι</w:t>
      </w:r>
      <w:r w:rsidRPr="00713BE1">
        <w:rPr>
          <w:noProof/>
          <w:szCs w:val="22"/>
          <w:lang w:val="en-US"/>
        </w:rPr>
        <w:t>V</w:t>
      </w:r>
      <w:r w:rsidRPr="00713BE1">
        <w:rPr>
          <w:noProof/>
          <w:szCs w:val="22"/>
        </w:rPr>
        <w:t xml:space="preserve"> θα απαιτούν περαιτέρω μειώσεις στη δόση και στο ρυθμό της δόσης. Ταχεία εφάπαξ (</w:t>
      </w:r>
      <w:r w:rsidRPr="00713BE1">
        <w:rPr>
          <w:noProof/>
          <w:szCs w:val="22"/>
          <w:lang w:val="en-US"/>
        </w:rPr>
        <w:t>bolus</w:t>
      </w:r>
      <w:r w:rsidRPr="00713BE1">
        <w:rPr>
          <w:noProof/>
          <w:szCs w:val="22"/>
        </w:rPr>
        <w:t>) χορήγηση (εφάπαξ ή επαναλμβανόμενη) δε θα πρέπει να χρησιμοποιείται σε ηλικιωμένους, καθώς αυτό μπορεί να οδηγήσει σε καρδιοαναπνευστική καταστολή.</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Παιδιατρικός πληθυσμός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αντενδείκνυται για την καταστολή ασθενών,</w:t>
      </w:r>
      <w:r w:rsidRPr="00713BE1">
        <w:rPr>
          <w:szCs w:val="22"/>
        </w:rPr>
        <w:t xml:space="preserve"> υπό τεχνητό αερισμό, </w:t>
      </w:r>
      <w:r w:rsidRPr="00713BE1">
        <w:rPr>
          <w:noProof/>
          <w:szCs w:val="22"/>
        </w:rPr>
        <w:t xml:space="preserve"> ηλικίας 16 ετών ή μικρότερων που λαμβάνουν εντατική θεραπεία.</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Καταστολή σε χειρουργικές και διαγνωστικές επεμβάσεις</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Ενήλικες</w:t>
      </w:r>
    </w:p>
    <w:p w:rsidR="008F0C25" w:rsidRPr="00713BE1" w:rsidRDefault="008F0C25" w:rsidP="008F0C25">
      <w:pPr>
        <w:rPr>
          <w:i/>
          <w:noProof/>
          <w:szCs w:val="22"/>
        </w:rPr>
      </w:pPr>
    </w:p>
    <w:p w:rsidR="008F0C25" w:rsidRPr="00713BE1" w:rsidRDefault="008F0C25" w:rsidP="008F0C25">
      <w:pPr>
        <w:rPr>
          <w:noProof/>
          <w:szCs w:val="22"/>
        </w:rPr>
      </w:pPr>
      <w:r w:rsidRPr="00713BE1">
        <w:rPr>
          <w:noProof/>
          <w:szCs w:val="22"/>
        </w:rPr>
        <w:t>Για την πρόκληση καταστολής σε χειρουργικές και διαγνωστικές επεμβάσεις ο ρυθμός χορήγησης πρέπει να εξατομικεύεται και να τιτλοποιείται ανάλογα με την κλινική ανταπόκριση.</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Οι περισσότεροι ασθενείς χρειάζονται 0,5-1 mg/kg σε χρόνο 1-5 λεπτά για την έναρξη της καταστολής.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Η διατήρηση της καταστολής επιτυγχάνεται με τιτλοποίηση της έγχυσης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ανάλογα με το επιθυμητό επίπεδο καταστολής - οι περισσότεροι ασθενείς </w:t>
      </w:r>
      <w:r w:rsidRPr="00713BE1">
        <w:rPr>
          <w:noProof/>
          <w:szCs w:val="22"/>
        </w:rPr>
        <w:lastRenderedPageBreak/>
        <w:t>χρειάζονται 1,5-4,5 mg/kg/h. Επιπλέον της έγχυσης, εφάπαξ (bolus) χορήγηση 10-20 mg μπορεί να χρησιμοποιηθεί εφόσον απαιτείται ταχεία αύξηση του βάθους καταστολής. Σε ασθενείς κατά ASA ΙΙΙ και IV μπορεί να απαιτηθεί να μειωθεί ο ρυθμός χορήγησης και η δοσολογία.</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Ηλικιωμένοι</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Όταν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χρησιμοποιείται για καταστολή ο ρυθμός έγχυσης θα πρέπει επίσης να μειώνεται. Ασθενείς κατά </w:t>
      </w:r>
      <w:r w:rsidRPr="00713BE1">
        <w:rPr>
          <w:noProof/>
          <w:szCs w:val="22"/>
          <w:lang w:val="en-US"/>
        </w:rPr>
        <w:t>ASA</w:t>
      </w:r>
      <w:r w:rsidRPr="00713BE1">
        <w:rPr>
          <w:noProof/>
          <w:szCs w:val="22"/>
        </w:rPr>
        <w:t xml:space="preserve"> ΙΙΙ και Ι</w:t>
      </w:r>
      <w:r w:rsidRPr="00713BE1">
        <w:rPr>
          <w:noProof/>
          <w:szCs w:val="22"/>
          <w:lang w:val="en-US"/>
        </w:rPr>
        <w:t>V</w:t>
      </w:r>
      <w:r w:rsidRPr="00713BE1">
        <w:rPr>
          <w:noProof/>
          <w:szCs w:val="22"/>
        </w:rPr>
        <w:t xml:space="preserve"> θα απαιτούν περαιτέρω μειώσεις στη δόση και στο ρυθμό δόσης. Ταχεία εφάπαξ (</w:t>
      </w:r>
      <w:r w:rsidRPr="00713BE1">
        <w:rPr>
          <w:noProof/>
          <w:szCs w:val="22"/>
          <w:lang w:val="en-US"/>
        </w:rPr>
        <w:t>bolus</w:t>
      </w:r>
      <w:r w:rsidRPr="00713BE1">
        <w:rPr>
          <w:noProof/>
          <w:szCs w:val="22"/>
        </w:rPr>
        <w:t>) χορήγηση (εφ’άπαξ ή επαναλαμβανόμενη) δε θα πρέπει να χρησιμοποιείται σε ηλικιωμένους, καθώς αυτό μπορεί να οδηγήσει σε καρδιοαναπνευστική καταστολή.</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Παιδιατρικός πληθυσμός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δε συνιστάται για χειρουργικές και διαγνωστικές επεμβάσεις σε παιδιά ηλικίας μικρότερης των 3 ετών. </w:t>
      </w:r>
    </w:p>
    <w:p w:rsidR="008F0C25" w:rsidRPr="00713BE1" w:rsidRDefault="008F0C25" w:rsidP="008F0C25">
      <w:pPr>
        <w:rPr>
          <w:noProof/>
          <w:szCs w:val="22"/>
        </w:rPr>
      </w:pPr>
    </w:p>
    <w:p w:rsidR="008F0C25" w:rsidRPr="006E15AA" w:rsidRDefault="008F0C25" w:rsidP="008F0C25">
      <w:pPr>
        <w:rPr>
          <w:noProof/>
          <w:szCs w:val="22"/>
        </w:rPr>
      </w:pPr>
      <w:r w:rsidRPr="00713BE1">
        <w:rPr>
          <w:noProof/>
          <w:szCs w:val="22"/>
        </w:rPr>
        <w:t xml:space="preserve">Σε παιδιά ηλικίας μεγαλύτερης των 3 ετών, οι δόσεις και ο ρυθμός χορήγησης πρέπει να προσαρμόζονται ανάλογα με το απαιτούμενο βάθος αναισθησίας και την κλινική ανταπόκριση. Οι περισσότεροι παιδιατρικοί ασθενείς χρειάζονται 1-2 mg/kg σωματικού βάρους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για την έναρξη της καταστολής. Η διατήρηση της καταστολής επιτυγχάνεται με τιτλοποίηση της έγχυσης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ανάλογα με το επιθυμητό επίπεδο καταστολής. Οι περισσότεροι ασθενείς χρειάζονται 1,5-9 mg/kg/h </w:t>
      </w:r>
      <w:r w:rsidRPr="00713BE1">
        <w:rPr>
          <w:noProof/>
          <w:szCs w:val="22"/>
          <w:lang w:val="en-US"/>
        </w:rPr>
        <w:t>HIREMON</w:t>
      </w:r>
      <w:r w:rsidRPr="00713BE1">
        <w:rPr>
          <w:noProof/>
          <w:szCs w:val="22"/>
        </w:rPr>
        <w:t xml:space="preserve"> </w:t>
      </w:r>
      <w:r w:rsidRPr="006E15AA">
        <w:rPr>
          <w:noProof/>
          <w:szCs w:val="22"/>
        </w:rPr>
        <w:t>20</w:t>
      </w:r>
      <w:r>
        <w:rPr>
          <w:noProof/>
          <w:szCs w:val="22"/>
          <w:lang w:val="en-US"/>
        </w:rPr>
        <w:t> mg</w:t>
      </w:r>
      <w:r w:rsidRPr="006E15AA">
        <w:rPr>
          <w:noProof/>
          <w:szCs w:val="22"/>
        </w:rPr>
        <w:t>/</w:t>
      </w:r>
      <w:r>
        <w:rPr>
          <w:noProof/>
          <w:szCs w:val="22"/>
          <w:lang w:val="en-US"/>
        </w:rPr>
        <w:t>mL</w:t>
      </w:r>
      <w:r w:rsidRPr="00713BE1">
        <w:rPr>
          <w:noProof/>
          <w:szCs w:val="22"/>
        </w:rPr>
        <w:t>.</w:t>
      </w:r>
    </w:p>
    <w:p w:rsidR="008F0C25" w:rsidRPr="006E15AA" w:rsidRDefault="008F0C25" w:rsidP="008F0C25">
      <w:pPr>
        <w:rPr>
          <w:noProof/>
          <w:szCs w:val="22"/>
        </w:rPr>
      </w:pPr>
    </w:p>
    <w:p w:rsidR="008F0C25" w:rsidRPr="00713BE1" w:rsidRDefault="008F0C25" w:rsidP="008F0C25">
      <w:pPr>
        <w:rPr>
          <w:noProof/>
          <w:szCs w:val="22"/>
        </w:rPr>
      </w:pPr>
      <w:r w:rsidRPr="00713BE1">
        <w:rPr>
          <w:noProof/>
          <w:szCs w:val="22"/>
        </w:rPr>
        <w:t>Σε ασθενείς κατά ASA III και ΙV μικρότερες δόσεις μπορεί να απαιτηθούν.</w:t>
      </w:r>
    </w:p>
    <w:p w:rsidR="008F0C25" w:rsidRPr="00713BE1" w:rsidRDefault="008F0C25" w:rsidP="008F0C25">
      <w:pPr>
        <w:rPr>
          <w:noProof/>
          <w:szCs w:val="22"/>
          <w:u w:val="single"/>
        </w:rPr>
      </w:pPr>
    </w:p>
    <w:p w:rsidR="008F0C25" w:rsidRPr="00713BE1" w:rsidRDefault="008F0C25" w:rsidP="008F0C25">
      <w:pPr>
        <w:rPr>
          <w:b/>
          <w:noProof/>
          <w:szCs w:val="22"/>
        </w:rPr>
      </w:pPr>
      <w:r w:rsidRPr="00713BE1">
        <w:rPr>
          <w:b/>
          <w:noProof/>
          <w:szCs w:val="22"/>
        </w:rPr>
        <w:t>Χορήγηση</w:t>
      </w:r>
    </w:p>
    <w:p w:rsidR="008F0C25" w:rsidRPr="00713BE1" w:rsidRDefault="008F0C25" w:rsidP="008F0C25">
      <w:pPr>
        <w:rPr>
          <w:b/>
          <w:noProof/>
          <w:szCs w:val="22"/>
        </w:rPr>
      </w:pPr>
    </w:p>
    <w:p w:rsidR="008F0C25" w:rsidRPr="00713BE1" w:rsidRDefault="008F0C25" w:rsidP="008F0C25">
      <w:pPr>
        <w:rPr>
          <w:b/>
          <w:noProof/>
          <w:szCs w:val="22"/>
        </w:rPr>
      </w:pPr>
      <w:r w:rsidRPr="00713BE1">
        <w:rPr>
          <w:b/>
          <w:noProof/>
          <w:szCs w:val="22"/>
        </w:rPr>
        <w:t>Τρόπος χορήγησης</w:t>
      </w:r>
    </w:p>
    <w:p w:rsidR="008F0C25" w:rsidRPr="00713BE1" w:rsidRDefault="008F0C25" w:rsidP="008F0C25">
      <w:pPr>
        <w:rPr>
          <w:noProof/>
          <w:szCs w:val="22"/>
          <w:u w:val="single"/>
        </w:rPr>
      </w:pPr>
    </w:p>
    <w:p w:rsidR="008F0C25" w:rsidRPr="006E15AA"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δεν έχει αναλγητικές ιδιότητες και για τον λόγο αυτόν συμπληρωματικές αναλγητικές ουσίες απαιτούνται γενικά, επιπλέον του </w:t>
      </w:r>
      <w:r w:rsidRPr="00713BE1">
        <w:rPr>
          <w:noProof/>
          <w:szCs w:val="22"/>
          <w:lang w:val="en-US"/>
        </w:rPr>
        <w:t>HIREMON</w:t>
      </w:r>
      <w:r w:rsidRPr="00713BE1">
        <w:rPr>
          <w:noProof/>
          <w:szCs w:val="22"/>
        </w:rPr>
        <w:t xml:space="preserve"> </w:t>
      </w:r>
      <w:r>
        <w:rPr>
          <w:noProof/>
          <w:szCs w:val="22"/>
        </w:rPr>
        <w:t>20 mg/mL</w:t>
      </w:r>
      <w:r w:rsidRPr="00713BE1">
        <w:rPr>
          <w:noProof/>
          <w:szCs w:val="22"/>
        </w:rPr>
        <w:t>.</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Η προποφόλη έχει χρησιμοποιηθεί σε συνδυασμό με νωτιαία και επισκληρίδιο αναισθησία και με τα συνήθως χρησιμοποιούμενα φάρμακα προνάρκωσης, με νευρομυϊκού αποκλεισμού φάρμακα, εισπνεόμενους παράγοντες και αναλγητικούς παράγοντες, καμία φαρμακολογική ασυμβατότητα δεν έχει σημειωθεί. Χαμηλότερες δόσεις HIREMON </w:t>
      </w:r>
      <w:r>
        <w:rPr>
          <w:noProof/>
          <w:szCs w:val="22"/>
        </w:rPr>
        <w:t>20 mg/mL</w:t>
      </w:r>
      <w:r w:rsidRPr="00713BE1">
        <w:rPr>
          <w:noProof/>
          <w:szCs w:val="22"/>
        </w:rPr>
        <w:t xml:space="preserve"> μπορεί να απαιτούνται όπου η γενική αναισθησία χρησιμοποιείται ως συμπλήρωμα της τοπικής αναισθησίας. Σοβαρή υπόταση έχει αναφερθεί μετά την επαγωγή της αναισθησίας με προποφόλη σε ασθενείς που έλαβαν θεραπεία με ριφαμπικίνη.</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δεν πρέπει να αραιώνεται. </w:t>
      </w:r>
      <w:r w:rsidRPr="00713BE1">
        <w:rPr>
          <w:noProof/>
          <w:szCs w:val="22"/>
          <w:lang w:val="en-US"/>
        </w:rPr>
        <w:t>To</w:t>
      </w:r>
      <w:r w:rsidRPr="00713BE1">
        <w:rPr>
          <w:noProof/>
          <w:szCs w:val="22"/>
        </w:rPr>
        <w:t xml:space="preserve">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μπορεί να χρησιμοποιηθεί για έγχυση, χωρίς αραίωση, από γυάλινους περιέκτες ή πλαστικές σύριγγες.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Όταν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χρησιμοποιείται για τη διατήρηση της αναισθησίας, συνιστάται πάντοτε να χρησιμοποιείται συσκευή, όπως αντλία εγχύσεως με σύριγγα ή ογκομετρική αντλία έγχυσης για να ελέγχεται ο ρυθμός έγχυσης.</w:t>
      </w:r>
      <w:r w:rsidRPr="00713BE1">
        <w:rPr>
          <w:noProof/>
          <w:szCs w:val="22"/>
        </w:rPr>
        <w:tab/>
      </w:r>
      <w:r w:rsidRPr="00713BE1">
        <w:rPr>
          <w:noProof/>
          <w:szCs w:val="22"/>
        </w:rPr>
        <w:tab/>
      </w:r>
      <w:r w:rsidRPr="00713BE1">
        <w:rPr>
          <w:noProof/>
          <w:szCs w:val="22"/>
        </w:rPr>
        <w:tab/>
      </w:r>
      <w:r w:rsidRPr="00713BE1">
        <w:rPr>
          <w:noProof/>
          <w:szCs w:val="22"/>
        </w:rPr>
        <w:tab/>
      </w:r>
      <w:r w:rsidRPr="00713BE1">
        <w:rPr>
          <w:noProof/>
          <w:szCs w:val="22"/>
        </w:rPr>
        <w:tab/>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δεν πρέπει να αναμιχθεί πριν από τη χορήγηση με ενέσιμα ή υγρά έγχυσης. Ωστόσο, το HIREMON </w:t>
      </w:r>
      <w:r>
        <w:rPr>
          <w:noProof/>
          <w:szCs w:val="22"/>
        </w:rPr>
        <w:t>20 mg/mL</w:t>
      </w:r>
      <w:r w:rsidRPr="00713BE1">
        <w:rPr>
          <w:noProof/>
          <w:szCs w:val="22"/>
        </w:rPr>
        <w:t xml:space="preserve"> μπορεί να χορηγηθεί μέσω συσκευής τύπου Υ κοντά στο σημείο της ένεσης με εγχύσεις των ακόλουθων:</w:t>
      </w:r>
    </w:p>
    <w:p w:rsidR="008F0C25" w:rsidRPr="00713BE1" w:rsidRDefault="008F0C25" w:rsidP="008F0C25">
      <w:pPr>
        <w:rPr>
          <w:noProof/>
          <w:szCs w:val="22"/>
        </w:rPr>
      </w:pPr>
    </w:p>
    <w:p w:rsidR="008F0C25" w:rsidRPr="00713BE1" w:rsidRDefault="008F0C25" w:rsidP="008F0C25">
      <w:pPr>
        <w:numPr>
          <w:ilvl w:val="0"/>
          <w:numId w:val="1"/>
        </w:numPr>
        <w:rPr>
          <w:noProof/>
          <w:szCs w:val="22"/>
        </w:rPr>
      </w:pPr>
      <w:r w:rsidRPr="00713BE1">
        <w:rPr>
          <w:noProof/>
          <w:szCs w:val="22"/>
        </w:rPr>
        <w:t>Δεξτρόζη 5%, Ενδοφλέβιας Έγχυσης Β.Ρ.</w:t>
      </w:r>
    </w:p>
    <w:p w:rsidR="008F0C25" w:rsidRPr="00713BE1" w:rsidRDefault="008F0C25" w:rsidP="008F0C25">
      <w:pPr>
        <w:numPr>
          <w:ilvl w:val="0"/>
          <w:numId w:val="1"/>
        </w:numPr>
        <w:rPr>
          <w:noProof/>
          <w:szCs w:val="22"/>
        </w:rPr>
      </w:pPr>
      <w:r w:rsidRPr="00713BE1">
        <w:rPr>
          <w:noProof/>
          <w:szCs w:val="22"/>
        </w:rPr>
        <w:t>Χλωριούχο Νάτριο  0,9%,</w:t>
      </w:r>
      <w:r w:rsidRPr="00713BE1">
        <w:rPr>
          <w:szCs w:val="22"/>
        </w:rPr>
        <w:t xml:space="preserve"> </w:t>
      </w:r>
      <w:r w:rsidRPr="00713BE1">
        <w:rPr>
          <w:noProof/>
          <w:szCs w:val="22"/>
        </w:rPr>
        <w:t>Ενδοφλέβιας Έγχυσης Β.Ρ.</w:t>
      </w:r>
    </w:p>
    <w:p w:rsidR="008F0C25" w:rsidRPr="00713BE1" w:rsidRDefault="008F0C25" w:rsidP="008F0C25">
      <w:pPr>
        <w:numPr>
          <w:ilvl w:val="0"/>
          <w:numId w:val="1"/>
        </w:numPr>
        <w:rPr>
          <w:noProof/>
          <w:szCs w:val="22"/>
        </w:rPr>
      </w:pPr>
      <w:r w:rsidRPr="00713BE1">
        <w:rPr>
          <w:noProof/>
          <w:szCs w:val="22"/>
        </w:rPr>
        <w:t>Δεξτρόζη 4% με Χλωριούχο Νάτριο 0,18%,</w:t>
      </w:r>
      <w:r w:rsidRPr="00713BE1">
        <w:rPr>
          <w:szCs w:val="22"/>
        </w:rPr>
        <w:t xml:space="preserve"> </w:t>
      </w:r>
      <w:r w:rsidRPr="00713BE1">
        <w:rPr>
          <w:noProof/>
          <w:szCs w:val="22"/>
        </w:rPr>
        <w:t>Ενδοφλέβιας Έγχυσης Β.Ρ.</w:t>
      </w:r>
    </w:p>
    <w:p w:rsidR="008F0C25" w:rsidRPr="00713BE1" w:rsidRDefault="008F0C25" w:rsidP="008F0C25">
      <w:pPr>
        <w:rPr>
          <w:szCs w:val="22"/>
        </w:rPr>
      </w:pPr>
      <w:r w:rsidRPr="00713BE1">
        <w:rPr>
          <w:szCs w:val="22"/>
        </w:rPr>
        <w:t xml:space="preserve"> </w:t>
      </w:r>
    </w:p>
    <w:p w:rsidR="008F0C25" w:rsidRPr="00713BE1" w:rsidRDefault="008F0C25" w:rsidP="008F0C25">
      <w:pPr>
        <w:rPr>
          <w:szCs w:val="22"/>
        </w:rPr>
      </w:pPr>
      <w:r w:rsidRPr="00713BE1">
        <w:rPr>
          <w:b/>
          <w:szCs w:val="22"/>
        </w:rPr>
        <w:t>4.3</w:t>
      </w:r>
      <w:r w:rsidRPr="00713BE1">
        <w:rPr>
          <w:b/>
          <w:szCs w:val="22"/>
        </w:rPr>
        <w:tab/>
        <w:t>Αντενδείξεις</w:t>
      </w:r>
    </w:p>
    <w:p w:rsidR="008F0C25" w:rsidRPr="00713BE1" w:rsidRDefault="008F0C25" w:rsidP="008F0C25">
      <w:pPr>
        <w:rPr>
          <w:szCs w:val="22"/>
        </w:rPr>
      </w:pPr>
    </w:p>
    <w:p w:rsidR="008F0C25" w:rsidRPr="00713BE1" w:rsidRDefault="008F0C25" w:rsidP="008F0C25">
      <w:pPr>
        <w:rPr>
          <w:noProof/>
          <w:szCs w:val="22"/>
        </w:rPr>
      </w:pPr>
      <w:r w:rsidRPr="00713BE1">
        <w:rPr>
          <w:noProof/>
          <w:szCs w:val="22"/>
        </w:rPr>
        <w:t>Υπερευαισθησία στη δραστική ουσία ή σε κάποιο από τα έκδοχα που αναφέρονται στην παράγραφο 6.1.</w:t>
      </w:r>
    </w:p>
    <w:p w:rsidR="008F0C25" w:rsidRPr="00713BE1" w:rsidRDefault="008F0C25" w:rsidP="008F0C25">
      <w:pPr>
        <w:rPr>
          <w:szCs w:val="22"/>
        </w:rPr>
      </w:pPr>
    </w:p>
    <w:p w:rsidR="008F0C25" w:rsidRPr="00713BE1" w:rsidRDefault="008F0C25" w:rsidP="008F0C25">
      <w:pPr>
        <w:rPr>
          <w:szCs w:val="22"/>
        </w:rPr>
      </w:pPr>
      <w:proofErr w:type="spellStart"/>
      <w:r w:rsidRPr="00713BE1">
        <w:rPr>
          <w:szCs w:val="22"/>
        </w:rPr>
        <w:t>To</w:t>
      </w:r>
      <w:proofErr w:type="spellEnd"/>
      <w:r w:rsidRPr="00713BE1">
        <w:rPr>
          <w:szCs w:val="22"/>
        </w:rPr>
        <w:t xml:space="preserve">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περιέχει έλαιο σόγιας και δεν πρέπει να χρησιμοποιείται σε ασθενείς που έχουν υπερευαισθησία στα φιστίκια ή στη σόγια. </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πρέπει να χρησιμοποιείται σε ασθενείς ηλικίας 16 ετών ή σε νεότερους για καταστολή στην εντατική θεραπεία (βλ. παράγραφο 4.4).</w:t>
      </w:r>
    </w:p>
    <w:p w:rsidR="008F0C25" w:rsidRPr="00713BE1" w:rsidRDefault="008F0C25" w:rsidP="008F0C25">
      <w:pPr>
        <w:rPr>
          <w:szCs w:val="22"/>
        </w:rPr>
      </w:pPr>
    </w:p>
    <w:p w:rsidR="008F0C25" w:rsidRPr="00713BE1" w:rsidRDefault="008F0C25" w:rsidP="008F0C25">
      <w:pPr>
        <w:rPr>
          <w:szCs w:val="22"/>
        </w:rPr>
      </w:pPr>
      <w:r w:rsidRPr="00713BE1">
        <w:rPr>
          <w:b/>
          <w:szCs w:val="22"/>
        </w:rPr>
        <w:t>4.4</w:t>
      </w:r>
      <w:r w:rsidRPr="00713BE1">
        <w:rPr>
          <w:b/>
          <w:szCs w:val="22"/>
        </w:rPr>
        <w:tab/>
        <w:t>Ειδικές προειδοποιήσεις και προφυλάξεις κατά τη χρήση</w:t>
      </w:r>
    </w:p>
    <w:p w:rsidR="008F0C25" w:rsidRPr="00713BE1" w:rsidRDefault="008F0C25" w:rsidP="008F0C25">
      <w:pPr>
        <w:rPr>
          <w:i/>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πρέπει να χορηγείται από εκπαιδευμένους στην αναισθησία (ή όπου είναι εφικτό από ειδικά εκπαιδευμένους γιατρούς στη φροντίδα ασθενών στην Εντατική Θεραπεία).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Οι ασθενείς πρέπει να παρακολουθούνται συνεχώς και ο εξοπλισμός για τη διατήρηση ελεύθερων αεροφόρων οδών ασθενούς, τεχνητής αναπνοής, εμπλουτισμού με οξυγόνο, καθώς και εξοπλισμός κατάλληλος για επαναφορά του ασθενούς, πρέπει να είναι άμεσα διαθέσιμοι ανά πάσα στιγμή. Το </w:t>
      </w:r>
      <w:r w:rsidRPr="00713BE1">
        <w:rPr>
          <w:noProof/>
          <w:szCs w:val="22"/>
          <w:lang w:val="en-US"/>
        </w:rPr>
        <w:t>HIREMON</w:t>
      </w:r>
      <w:r w:rsidRPr="00713BE1">
        <w:rPr>
          <w:noProof/>
          <w:szCs w:val="22"/>
        </w:rPr>
        <w:t xml:space="preserve"> 1</w:t>
      </w:r>
      <w:r w:rsidRPr="006E15AA">
        <w:rPr>
          <w:noProof/>
          <w:szCs w:val="22"/>
        </w:rPr>
        <w:t>0</w:t>
      </w:r>
      <w:r>
        <w:rPr>
          <w:noProof/>
          <w:szCs w:val="22"/>
          <w:lang w:val="en-US"/>
        </w:rPr>
        <w:t> mg</w:t>
      </w:r>
      <w:r w:rsidRPr="006E15AA">
        <w:rPr>
          <w:noProof/>
          <w:szCs w:val="22"/>
        </w:rPr>
        <w:t>/</w:t>
      </w:r>
      <w:r>
        <w:rPr>
          <w:noProof/>
          <w:szCs w:val="22"/>
          <w:lang w:val="en-US"/>
        </w:rPr>
        <w:t>mL</w:t>
      </w:r>
      <w:r w:rsidRPr="00713BE1">
        <w:rPr>
          <w:noProof/>
          <w:szCs w:val="22"/>
        </w:rPr>
        <w:t xml:space="preserve"> δεν πρέπει να χορηγείται από το άτομο που διεξάγει τη διαγνωστική ή την χειρουργική επέμβαση. </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Έχει αναφερθεί κατάχρηση και εξάρτηση από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κατά κύριο λόγο από επαγγελματίες υγείας. Όπως και με άλλα γενικά αναισθητικά η χορήγηση του HIREMON </w:t>
      </w:r>
      <w:r>
        <w:rPr>
          <w:noProof/>
          <w:szCs w:val="22"/>
        </w:rPr>
        <w:t>20 mg/mL</w:t>
      </w:r>
      <w:r w:rsidRPr="00713BE1">
        <w:rPr>
          <w:noProof/>
          <w:szCs w:val="22"/>
        </w:rPr>
        <w:t xml:space="preserve"> χωρίς φροντίδα του αεραγωγού μπορεί να οδηγήσει σε θανατηφόρες επιπλοκές του αναπνευστικού συστήματος.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Κατά τη διάρκεια της </w:t>
      </w:r>
      <w:r w:rsidR="00DE62F8">
        <w:rPr>
          <w:noProof/>
          <w:szCs w:val="22"/>
        </w:rPr>
        <w:t>εισαγωγή</w:t>
      </w:r>
      <w:r w:rsidR="00DE62F8">
        <w:rPr>
          <w:noProof/>
          <w:szCs w:val="22"/>
        </w:rPr>
        <w:t>ς</w:t>
      </w:r>
      <w:r w:rsidR="00DE62F8">
        <w:rPr>
          <w:noProof/>
          <w:szCs w:val="22"/>
        </w:rPr>
        <w:t xml:space="preserve"> στην</w:t>
      </w:r>
      <w:r w:rsidR="00DE62F8" w:rsidRPr="00713BE1">
        <w:rPr>
          <w:noProof/>
          <w:szCs w:val="22"/>
        </w:rPr>
        <w:t xml:space="preserve"> αναισθησία</w:t>
      </w:r>
      <w:r w:rsidRPr="00713BE1">
        <w:rPr>
          <w:noProof/>
          <w:szCs w:val="22"/>
        </w:rPr>
        <w:t>, υπόταση και παροδική άπνοια μπορεί να λάβουν χώρα ανάλογα με τη δόση και τη χρήση των φαρμάκων προνάρκωσης και άλλων παραγόντων.</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Περιστασιακά, η υπόταση μπορεί να απαιτήσει τη χρήση ενδοφλέβιων υγρών και τη μείωση του ρυθμού χορήγησης του HIREMON </w:t>
      </w:r>
      <w:r>
        <w:rPr>
          <w:noProof/>
          <w:szCs w:val="22"/>
        </w:rPr>
        <w:t>20 mg/mL</w:t>
      </w:r>
      <w:r w:rsidRPr="00713BE1">
        <w:rPr>
          <w:noProof/>
          <w:szCs w:val="22"/>
        </w:rPr>
        <w:t xml:space="preserve"> κατά την περίοδο της διατήρησης της αναισθησίας.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Όπως και με τους άλλους αναισθητικούς παράγοντες, όταν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χρησιμοποιείται για καταστολή σε χειρουργικές επεμβάσεις, μπορεί να συμβούν ακούσιες κινήσεις στους ασθενείς. Κατά τη διάρκεια διαδικασιών που απαιτούν ακινησία αυτές οι κινήσεις μπορεί να είναι επικίνδυνες για το σημείο της επέμβασης.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Επαρκής χρόνος απαιτείται μετά τη χρήση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πριν την απομάκρυνση του ασθενή, για να βεβαιωθεί η πλήρης ανάνηψή του. Πολύ σπάνια η χρήση του HIREMON </w:t>
      </w:r>
      <w:r>
        <w:rPr>
          <w:noProof/>
          <w:szCs w:val="22"/>
        </w:rPr>
        <w:t>20 mg/mL</w:t>
      </w:r>
      <w:r w:rsidRPr="00713BE1">
        <w:rPr>
          <w:noProof/>
          <w:szCs w:val="22"/>
        </w:rPr>
        <w:t xml:space="preserve"> μπορεί να συσχετισθεί με μία περίοδο μετεγχειρητικής απώλειας συνείδησης, που μπορεί να συνοδεύεται από αυξημένο μυϊκό τόνο. Το συμβάν αυτό μπορεί ή όχι</w:t>
      </w:r>
      <w:r w:rsidR="00DE62F8">
        <w:rPr>
          <w:noProof/>
          <w:szCs w:val="22"/>
        </w:rPr>
        <w:t>,</w:t>
      </w:r>
      <w:r w:rsidRPr="00713BE1">
        <w:rPr>
          <w:noProof/>
          <w:szCs w:val="22"/>
        </w:rPr>
        <w:t xml:space="preserve"> να προηγείται ένος διαστήματος αφύπνισης. Παρόλο που η αποκατάσταση είναι αυθόρμητη, θα πρέπει να χορηγείται κατάλληλη φροντίδα στον ασθενή που στερείται συνειδήσεως.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lastRenderedPageBreak/>
        <w:t xml:space="preserve">Η διαταραχή που προκαλείται από το HIREMON </w:t>
      </w:r>
      <w:r>
        <w:rPr>
          <w:noProof/>
          <w:szCs w:val="22"/>
        </w:rPr>
        <w:t>20 mg/mL</w:t>
      </w:r>
      <w:r w:rsidRPr="00713BE1">
        <w:rPr>
          <w:noProof/>
          <w:szCs w:val="22"/>
        </w:rPr>
        <w:t xml:space="preserve"> δεν είναι γενικά ανιχνεύσιμη πέραν των 12 ωρών. Oι επιδράσεις του </w:t>
      </w:r>
      <w:r w:rsidRPr="00713BE1">
        <w:rPr>
          <w:noProof/>
          <w:szCs w:val="22"/>
          <w:lang w:val="en-US"/>
        </w:rPr>
        <w:t>HIREMON</w:t>
      </w:r>
      <w:r w:rsidRPr="00713BE1">
        <w:rPr>
          <w:noProof/>
          <w:szCs w:val="22"/>
        </w:rPr>
        <w:t xml:space="preserve"> </w:t>
      </w:r>
      <w:r>
        <w:rPr>
          <w:noProof/>
          <w:szCs w:val="22"/>
        </w:rPr>
        <w:t>20 mg/mL</w:t>
      </w:r>
      <w:r w:rsidRPr="00713BE1">
        <w:rPr>
          <w:noProof/>
          <w:szCs w:val="22"/>
        </w:rPr>
        <w:t>, η διαδικασία, η ταυτόχρονη φαρμακευτική αγωγή, η ηλικία και η κατάσταση του ασθενούς θα πρέπει να λαμβάνονται υπόψη όταν δίνονται στους ασθενείς συμβουλές για: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w:t>
      </w:r>
      <w:r w:rsidRPr="00713BE1">
        <w:rPr>
          <w:noProof/>
          <w:szCs w:val="22"/>
        </w:rPr>
        <w:tab/>
        <w:t>Τη σκοπιμότητα να συνοδεύονται κατά την έξοδό τους από τον χώρο χορήγησης.</w:t>
      </w:r>
    </w:p>
    <w:p w:rsidR="008F0C25" w:rsidRPr="00713BE1" w:rsidRDefault="008F0C25" w:rsidP="008F0C25">
      <w:pPr>
        <w:rPr>
          <w:noProof/>
          <w:szCs w:val="22"/>
        </w:rPr>
      </w:pPr>
      <w:r w:rsidRPr="00713BE1">
        <w:rPr>
          <w:noProof/>
          <w:szCs w:val="22"/>
        </w:rPr>
        <w:t>•</w:t>
      </w:r>
      <w:r w:rsidRPr="00713BE1">
        <w:rPr>
          <w:noProof/>
          <w:szCs w:val="22"/>
        </w:rPr>
        <w:tab/>
        <w:t>Τη χρονική στιγμή της επαναλήψεως των ειδικευμένων ή επικίνδυνων εργασιών</w:t>
      </w:r>
    </w:p>
    <w:p w:rsidR="008F0C25" w:rsidRPr="00713BE1" w:rsidRDefault="008F0C25" w:rsidP="008F0C25">
      <w:pPr>
        <w:rPr>
          <w:noProof/>
          <w:szCs w:val="22"/>
        </w:rPr>
      </w:pPr>
      <w:r w:rsidRPr="00713BE1">
        <w:rPr>
          <w:noProof/>
          <w:szCs w:val="22"/>
        </w:rPr>
        <w:tab/>
        <w:t>όπως η οδήγηση.</w:t>
      </w:r>
    </w:p>
    <w:p w:rsidR="008F0C25" w:rsidRPr="00713BE1" w:rsidRDefault="008F0C25" w:rsidP="008F0C25">
      <w:pPr>
        <w:rPr>
          <w:noProof/>
          <w:szCs w:val="22"/>
        </w:rPr>
      </w:pPr>
      <w:r w:rsidRPr="00713BE1">
        <w:rPr>
          <w:noProof/>
          <w:szCs w:val="22"/>
        </w:rPr>
        <w:t>•</w:t>
      </w:r>
      <w:r w:rsidRPr="00713BE1">
        <w:rPr>
          <w:noProof/>
          <w:szCs w:val="22"/>
        </w:rPr>
        <w:tab/>
        <w:t xml:space="preserve">Tη χρήση άλλων παραγόντων που δρουν καταπραϋντικά (π.χ. βενζοδιαζεπίνες, </w:t>
      </w:r>
    </w:p>
    <w:p w:rsidR="008F0C25" w:rsidRPr="00713BE1" w:rsidRDefault="008F0C25" w:rsidP="008F0C25">
      <w:pPr>
        <w:rPr>
          <w:noProof/>
          <w:szCs w:val="22"/>
        </w:rPr>
      </w:pPr>
      <w:r w:rsidRPr="00713BE1">
        <w:rPr>
          <w:noProof/>
          <w:szCs w:val="22"/>
        </w:rPr>
        <w:tab/>
        <w:t>οπιοειδή, οινόπνευμα).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Όπως και με άλλους ενδοφλέβιους αναισθητικούς παράγοντες το HIREMON </w:t>
      </w:r>
      <w:r>
        <w:rPr>
          <w:noProof/>
          <w:szCs w:val="22"/>
        </w:rPr>
        <w:t>20 mg/mL</w:t>
      </w:r>
      <w:r w:rsidRPr="00713BE1">
        <w:rPr>
          <w:noProof/>
          <w:szCs w:val="22"/>
        </w:rPr>
        <w:t xml:space="preserve"> πρέπει να χορηγείται με προσοχή σε ασθενείς με καρδιακή, αναπνευστική, νεφρική ή ηπατική ανεπάρκεια ή σε υπογκαιμικούς ή εξασθενημένους ασθενείς. Η κάθαρση του HIREMON </w:t>
      </w:r>
      <w:r>
        <w:rPr>
          <w:noProof/>
          <w:szCs w:val="22"/>
        </w:rPr>
        <w:t>20 mg/mL</w:t>
      </w:r>
      <w:r w:rsidRPr="00713BE1">
        <w:rPr>
          <w:noProof/>
          <w:szCs w:val="22"/>
        </w:rPr>
        <w:t xml:space="preserve"> εξαρτάται από τη ροή του αίματος, επομένως η ταυτόχρονη φαρμακευτική αγωγή που μειώνει την καρδιακή παροχή θα μειώσει επίσης την κάθαρση του HIREMON </w:t>
      </w:r>
      <w:r>
        <w:rPr>
          <w:noProof/>
          <w:szCs w:val="22"/>
        </w:rPr>
        <w:t>20 mg/mL</w:t>
      </w:r>
      <w:r w:rsidRPr="00713BE1">
        <w:rPr>
          <w:noProof/>
          <w:szCs w:val="22"/>
        </w:rPr>
        <w:t>.</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στερείται δραστηριότητας επί του π</w:t>
      </w:r>
      <w:r>
        <w:rPr>
          <w:noProof/>
          <w:szCs w:val="22"/>
        </w:rPr>
        <w:t>ν</w:t>
      </w:r>
      <w:r w:rsidRPr="00713BE1">
        <w:rPr>
          <w:noProof/>
          <w:szCs w:val="22"/>
        </w:rPr>
        <w:t xml:space="preserve">ευμονογαστρικού και έχει συσχετισθεί με αναφορές βραδυκαρδίας (περιστασιακά έντονης) και επίσης ασυστολίας. Πρέπει να εξεταστεί η ενδοφλέβια χορήγηση ενός αντιχολινεργικού παράγοντα πριν την επαγωγή, ή κατά τη διατήρηση της αναισθησίας, ιδιαίτερα σε καταστάσεις όπου είναι πιθανόν να κυριαρχεί πνευμονογαστρικός τόνος, ή όταν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χρησιμοποιείται σε συνδυασμό με άλλους παράγοντες που ενδέχεται να προκαλέσουν βραδυκαρδία.</w:t>
      </w:r>
    </w:p>
    <w:p w:rsidR="008F0C25" w:rsidRPr="00713BE1" w:rsidRDefault="008F0C25" w:rsidP="008F0C25">
      <w:pPr>
        <w:rPr>
          <w:noProof/>
          <w:szCs w:val="22"/>
        </w:rPr>
      </w:pPr>
    </w:p>
    <w:p w:rsidR="008F0C25" w:rsidRPr="00713BE1" w:rsidRDefault="008F0C25" w:rsidP="008F0C25">
      <w:pPr>
        <w:rPr>
          <w:szCs w:val="22"/>
        </w:rPr>
      </w:pPr>
      <w:r w:rsidRPr="00713BE1">
        <w:rPr>
          <w:szCs w:val="22"/>
        </w:rPr>
        <w:t xml:space="preserve">Όταν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χορηγείται σε έναν επιληπτικό ασθενή μπορεί να υπάρξει κίνδυνος σπασμών.</w:t>
      </w:r>
    </w:p>
    <w:p w:rsidR="008F0C25" w:rsidRPr="00713BE1" w:rsidRDefault="008F0C25" w:rsidP="008F0C25">
      <w:pPr>
        <w:rPr>
          <w:noProof/>
          <w:szCs w:val="22"/>
        </w:rPr>
      </w:pPr>
    </w:p>
    <w:p w:rsidR="008F0C25" w:rsidRPr="00713BE1" w:rsidRDefault="008F0C25" w:rsidP="008F0C25">
      <w:pPr>
        <w:rPr>
          <w:szCs w:val="22"/>
        </w:rPr>
      </w:pPr>
      <w:r w:rsidRPr="00713BE1">
        <w:rPr>
          <w:szCs w:val="22"/>
        </w:rPr>
        <w:t>Κατάλληλη φροντίδα θα πρέπει να εφαρμόζεται σε ασθενείς με διαταραχές του μεταβολισμού των λιπιδίων του λίπους και σε άλλες καταστάσεις όπου τα γαλακτωμάτων λιπιδίων θα πρέπει να χρησιμοποιούνται με προσοχή (βλ. παράγραφο 4.2).</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Η χρήση του δε συνιστάται κατά την </w:t>
      </w:r>
      <w:proofErr w:type="spellStart"/>
      <w:r w:rsidRPr="00713BE1">
        <w:rPr>
          <w:szCs w:val="22"/>
        </w:rPr>
        <w:t>ηλεκτροσπασμοθεραπεία</w:t>
      </w:r>
      <w:proofErr w:type="spellEnd"/>
      <w:r w:rsidRPr="00713BE1">
        <w:rPr>
          <w:szCs w:val="22"/>
        </w:rPr>
        <w:t>.</w:t>
      </w:r>
    </w:p>
    <w:p w:rsidR="008F0C25" w:rsidRPr="00713BE1" w:rsidRDefault="008F0C25" w:rsidP="008F0C25">
      <w:pPr>
        <w:rPr>
          <w:szCs w:val="22"/>
        </w:rPr>
      </w:pPr>
    </w:p>
    <w:p w:rsidR="008F0C25" w:rsidRPr="00713BE1" w:rsidRDefault="008F0C25" w:rsidP="008F0C25">
      <w:pPr>
        <w:rPr>
          <w:szCs w:val="22"/>
        </w:rPr>
      </w:pPr>
      <w:r w:rsidRPr="00713BE1">
        <w:rPr>
          <w:szCs w:val="22"/>
        </w:rPr>
        <w:t>Όπως και με άλλα αναισθητικά, άρση της σεξουαλικής αναστολής μπορεί να συμβεί κατά τη διάρκεια της αποκατάστασης.</w:t>
      </w:r>
    </w:p>
    <w:p w:rsidR="008F0C25" w:rsidRPr="00713BE1" w:rsidRDefault="008F0C25" w:rsidP="008F0C25">
      <w:pPr>
        <w:rPr>
          <w:szCs w:val="22"/>
        </w:rPr>
      </w:pPr>
    </w:p>
    <w:p w:rsidR="008F0C25" w:rsidRPr="00713BE1" w:rsidRDefault="008F0C25" w:rsidP="008F0C25">
      <w:pPr>
        <w:rPr>
          <w:i/>
          <w:szCs w:val="22"/>
        </w:rPr>
      </w:pPr>
      <w:r w:rsidRPr="00713BE1">
        <w:rPr>
          <w:i/>
          <w:szCs w:val="22"/>
        </w:rPr>
        <w:t>Παιδιατρικός Πληθυσμός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Η χρήση του </w:t>
      </w:r>
      <w:r w:rsidRPr="00713BE1">
        <w:rPr>
          <w:szCs w:val="22"/>
          <w:lang w:val="en-US"/>
        </w:rPr>
        <w:t>HIREMON</w:t>
      </w:r>
      <w:r w:rsidRPr="00713BE1">
        <w:rPr>
          <w:szCs w:val="22"/>
        </w:rPr>
        <w:t xml:space="preserve"> δε συνιστάται σε νεογέννητα βρέφη, καθώς αυτός ο πληθυσμός ασθενών δεν έχει διερευνηθεί πλήρως. Στοιχεία </w:t>
      </w:r>
      <w:proofErr w:type="spellStart"/>
      <w:r w:rsidRPr="00713BE1">
        <w:rPr>
          <w:szCs w:val="22"/>
        </w:rPr>
        <w:t>φαρμακοκινητικής</w:t>
      </w:r>
      <w:proofErr w:type="spellEnd"/>
      <w:r w:rsidRPr="00713BE1">
        <w:rPr>
          <w:szCs w:val="22"/>
        </w:rPr>
        <w:t xml:space="preserve"> (βλ. παράγραφο 5.2) υποδεικνύουν ότι η κάθαρση είναι σημαντικά μειωμένη σε νεογνά και με πολύ υψηλή μεταξύ τους επιμέρους μεταβλητότητα. Σχετική </w:t>
      </w:r>
      <w:proofErr w:type="spellStart"/>
      <w:r w:rsidRPr="00713BE1">
        <w:rPr>
          <w:szCs w:val="22"/>
        </w:rPr>
        <w:t>υπερδοσολογία</w:t>
      </w:r>
      <w:proofErr w:type="spellEnd"/>
      <w:r w:rsidRPr="00713BE1">
        <w:rPr>
          <w:szCs w:val="22"/>
        </w:rPr>
        <w:t xml:space="preserve"> μπορεί να συμβεί χορηγώντας δόσεις που συνιστώνται για μεγαλύτερα παιδιά και αυτό να έχει ως αποτέλεσμα σοβαρή καρδιαγγειακή καταστολή.</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 συνιστάται σε παιδιά μικρότερα των 3 ετών, λόγω της δυσκολίας στην </w:t>
      </w:r>
      <w:proofErr w:type="spellStart"/>
      <w:r w:rsidRPr="00713BE1">
        <w:rPr>
          <w:szCs w:val="22"/>
        </w:rPr>
        <w:t>τιτλοποίηση</w:t>
      </w:r>
      <w:proofErr w:type="spellEnd"/>
      <w:r w:rsidRPr="00713BE1">
        <w:rPr>
          <w:szCs w:val="22"/>
        </w:rPr>
        <w:t xml:space="preserve"> μικρών όγκων.</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Η </w:t>
      </w:r>
      <w:proofErr w:type="spellStart"/>
      <w:r w:rsidRPr="00713BE1">
        <w:rPr>
          <w:szCs w:val="22"/>
        </w:rPr>
        <w:t>προποφόλη</w:t>
      </w:r>
      <w:proofErr w:type="spellEnd"/>
      <w:r w:rsidRPr="00713BE1">
        <w:rPr>
          <w:szCs w:val="22"/>
        </w:rPr>
        <w:t xml:space="preserve"> δεν πρέπει να χορηγείται για καταστολή στην εντατική θεραπεία σε παιδιά 16 ετών ή μικρότερα γιατί η ασφάλεια και η αποτελεσματικότητα της </w:t>
      </w:r>
      <w:proofErr w:type="spellStart"/>
      <w:r w:rsidRPr="00713BE1">
        <w:rPr>
          <w:szCs w:val="22"/>
        </w:rPr>
        <w:t>προποφόλης</w:t>
      </w:r>
      <w:proofErr w:type="spellEnd"/>
      <w:r w:rsidRPr="00713BE1">
        <w:rPr>
          <w:szCs w:val="22"/>
        </w:rPr>
        <w:t xml:space="preserve"> για καταστολή σε αυτή την ηλικιακή ομάδα δεν έχει τεκμηριωθεί (βλ. παράγραφο 4.3).</w:t>
      </w:r>
    </w:p>
    <w:p w:rsidR="008F0C25" w:rsidRPr="00713BE1" w:rsidRDefault="008F0C25" w:rsidP="008F0C25">
      <w:pPr>
        <w:rPr>
          <w:szCs w:val="22"/>
        </w:rPr>
      </w:pPr>
    </w:p>
    <w:p w:rsidR="008F0C25" w:rsidRPr="00713BE1" w:rsidRDefault="008F0C25" w:rsidP="008F0C25">
      <w:pPr>
        <w:rPr>
          <w:b/>
          <w:szCs w:val="22"/>
        </w:rPr>
      </w:pPr>
      <w:r w:rsidRPr="00713BE1">
        <w:rPr>
          <w:b/>
          <w:szCs w:val="22"/>
        </w:rPr>
        <w:t>Συμβουλές σχετικά με τη διαχείριση στη Μονάδα Εντατικής Θεραπείας</w:t>
      </w:r>
    </w:p>
    <w:p w:rsidR="008F0C25" w:rsidRPr="00713BE1" w:rsidRDefault="008F0C25" w:rsidP="008F0C25">
      <w:pPr>
        <w:rPr>
          <w:b/>
          <w:szCs w:val="22"/>
        </w:rPr>
      </w:pPr>
    </w:p>
    <w:p w:rsidR="008F0C25" w:rsidRPr="00713BE1" w:rsidRDefault="008F0C25" w:rsidP="008F0C25">
      <w:pPr>
        <w:rPr>
          <w:szCs w:val="22"/>
        </w:rPr>
      </w:pPr>
      <w:r w:rsidRPr="00713BE1">
        <w:rPr>
          <w:szCs w:val="22"/>
        </w:rPr>
        <w:t xml:space="preserve">Η χρήση γαλακτωμάτων έγχυσης </w:t>
      </w:r>
      <w:proofErr w:type="spellStart"/>
      <w:r w:rsidRPr="00713BE1">
        <w:rPr>
          <w:szCs w:val="22"/>
        </w:rPr>
        <w:t>προποφόλης</w:t>
      </w:r>
      <w:proofErr w:type="spellEnd"/>
      <w:r w:rsidRPr="00713BE1">
        <w:rPr>
          <w:szCs w:val="22"/>
        </w:rPr>
        <w:t xml:space="preserve"> για καταστολή στη ΜΕΘ έχει συσχετιστεί με ένα σύνδρομο μεταβολικών διαταραχών και ανεπάρκειας των οργανικών συστημάτων που μπορεί να οδηγήσει σε θάνατο. Έχουν αναφερθεί περιπτώσεις συνδυασμού των ακόλουθων </w:t>
      </w:r>
      <w:proofErr w:type="spellStart"/>
      <w:r w:rsidRPr="00713BE1">
        <w:rPr>
          <w:szCs w:val="22"/>
        </w:rPr>
        <w:t>συμβαμάτων</w:t>
      </w:r>
      <w:proofErr w:type="spellEnd"/>
      <w:r w:rsidRPr="00713BE1">
        <w:rPr>
          <w:szCs w:val="22"/>
        </w:rPr>
        <w:t xml:space="preserve">: Μεταβολική οξέωση, </w:t>
      </w:r>
      <w:proofErr w:type="spellStart"/>
      <w:r w:rsidRPr="00713BE1">
        <w:rPr>
          <w:szCs w:val="22"/>
        </w:rPr>
        <w:t>Ραβδομυόλυση</w:t>
      </w:r>
      <w:proofErr w:type="spellEnd"/>
      <w:r w:rsidRPr="00713BE1">
        <w:rPr>
          <w:szCs w:val="22"/>
        </w:rPr>
        <w:t xml:space="preserve">, </w:t>
      </w:r>
      <w:proofErr w:type="spellStart"/>
      <w:r w:rsidRPr="00713BE1">
        <w:rPr>
          <w:szCs w:val="22"/>
        </w:rPr>
        <w:t>Υπερκαλιαιμία</w:t>
      </w:r>
      <w:proofErr w:type="spellEnd"/>
      <w:r w:rsidRPr="00713BE1">
        <w:rPr>
          <w:szCs w:val="22"/>
        </w:rPr>
        <w:t xml:space="preserve">, Ηπατομεγαλία, Νεφρική ανεπάρκεια, </w:t>
      </w:r>
      <w:proofErr w:type="spellStart"/>
      <w:r w:rsidRPr="00713BE1">
        <w:rPr>
          <w:szCs w:val="22"/>
        </w:rPr>
        <w:t>Υπερλιπιδαιμία</w:t>
      </w:r>
      <w:proofErr w:type="spellEnd"/>
      <w:r w:rsidRPr="00713BE1">
        <w:rPr>
          <w:szCs w:val="22"/>
        </w:rPr>
        <w:t xml:space="preserve">, Καρδιακή αρρυθμία, ηλεκτροκαρδιογράφημα τύπου </w:t>
      </w:r>
      <w:proofErr w:type="spellStart"/>
      <w:r w:rsidRPr="00713BE1">
        <w:rPr>
          <w:szCs w:val="22"/>
        </w:rPr>
        <w:t>Βrugada</w:t>
      </w:r>
      <w:proofErr w:type="spellEnd"/>
      <w:r w:rsidRPr="00713BE1">
        <w:rPr>
          <w:szCs w:val="22"/>
        </w:rPr>
        <w:t xml:space="preserve"> (ανάσπαση ST και αναστροφή του κύματος Τ) και ταχείας εξέλιξης καρδιακή ανεπάρκεια συνήθως μη ανταποκρινόμενη στην υποστηρικτική αγωγή με </w:t>
      </w:r>
      <w:proofErr w:type="spellStart"/>
      <w:r w:rsidRPr="00713BE1">
        <w:rPr>
          <w:szCs w:val="22"/>
        </w:rPr>
        <w:t>ινότροπα</w:t>
      </w:r>
      <w:proofErr w:type="spellEnd"/>
      <w:r w:rsidRPr="00713BE1">
        <w:rPr>
          <w:szCs w:val="22"/>
        </w:rPr>
        <w:t xml:space="preserve">. Ο συνδυασμός αυτών των </w:t>
      </w:r>
      <w:proofErr w:type="spellStart"/>
      <w:r w:rsidRPr="00713BE1">
        <w:rPr>
          <w:szCs w:val="22"/>
        </w:rPr>
        <w:t>συμβαμάτων</w:t>
      </w:r>
      <w:proofErr w:type="spellEnd"/>
      <w:r w:rsidRPr="00713BE1">
        <w:rPr>
          <w:szCs w:val="22"/>
        </w:rPr>
        <w:t xml:space="preserve"> έχει αναφερθεί ως «Σύνδρομο Έγχυσης </w:t>
      </w:r>
      <w:proofErr w:type="spellStart"/>
      <w:r w:rsidRPr="00713BE1">
        <w:rPr>
          <w:szCs w:val="22"/>
        </w:rPr>
        <w:t>Προποφόλης</w:t>
      </w:r>
      <w:proofErr w:type="spellEnd"/>
      <w:r w:rsidRPr="00713BE1">
        <w:rPr>
          <w:szCs w:val="22"/>
        </w:rPr>
        <w:t>». Τα συμβάντα αυτά έχουν παρατηρηθεί συχνότερα σε ασθενείς με σοβαρά τραύματα στο κεφάλι και σε παιδιά με λοιμώξεις του αναπνευστικού συστήματος που έλαβαν δόσεις που υπερβαίνουν εκείνες που συνιστάται σε ενήλικες για καταστολή στη μονάδα εντατικής θεραπείας.</w:t>
      </w:r>
    </w:p>
    <w:p w:rsidR="008F0C25" w:rsidRPr="00713BE1" w:rsidRDefault="008F0C25" w:rsidP="008F0C25">
      <w:pPr>
        <w:rPr>
          <w:szCs w:val="22"/>
        </w:rPr>
      </w:pPr>
      <w:r w:rsidRPr="00713BE1">
        <w:rPr>
          <w:szCs w:val="22"/>
        </w:rPr>
        <w:t xml:space="preserve">Τα ακόλουθα φαίνεται να έχουν τον υψηλότερο παράγοντα κινδύνου για την εμφάνιση αυτών των </w:t>
      </w:r>
      <w:proofErr w:type="spellStart"/>
      <w:r w:rsidRPr="00713BE1">
        <w:rPr>
          <w:szCs w:val="22"/>
        </w:rPr>
        <w:t>συμβαμάτων</w:t>
      </w:r>
      <w:proofErr w:type="spellEnd"/>
      <w:r w:rsidRPr="00713BE1">
        <w:rPr>
          <w:szCs w:val="22"/>
        </w:rPr>
        <w:t xml:space="preserve">: μειωμένη παροχή οξυγόνου στους ιστούς, σοβαρός νευρολογικός τραυματισμός και/ή σηψαιμία, υψηλές δόσεις ενός ή περισσοτέρων από τα ακόλουθα φάρμακα: αγγειοσυσταλτικά, στεροειδή, </w:t>
      </w:r>
      <w:proofErr w:type="spellStart"/>
      <w:r w:rsidRPr="00713BE1">
        <w:rPr>
          <w:szCs w:val="22"/>
        </w:rPr>
        <w:t>ινότροπα</w:t>
      </w:r>
      <w:proofErr w:type="spellEnd"/>
      <w:r w:rsidRPr="00713BE1">
        <w:rPr>
          <w:szCs w:val="22"/>
        </w:rPr>
        <w:t xml:space="preserve"> και/ή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(συνήθως μετά από ρυθμούς δόσεων μεγαλύτερους από 4mg/kg/h πέραν των 48 ωρών).</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Οι </w:t>
      </w:r>
      <w:proofErr w:type="spellStart"/>
      <w:r w:rsidRPr="00713BE1">
        <w:rPr>
          <w:szCs w:val="22"/>
        </w:rPr>
        <w:t>συνταγογράφοι</w:t>
      </w:r>
      <w:proofErr w:type="spellEnd"/>
      <w:r w:rsidRPr="00713BE1">
        <w:rPr>
          <w:szCs w:val="22"/>
        </w:rPr>
        <w:t xml:space="preserve"> πρέπει να είναι σε επιφυλακή για αυτά τα συμβάντα σε ασθενείς που εμφανίζουν τους παραπάνω παράγοντες κινδύνου και να σκέφτονται τη μείωση ή τη διακοπή της δόσης του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όταν τα παραπάνω συμπτώματα αναπτύσσονται. Όλοι οι κατασταλτικοί και θεραπευτικοί παράγοντες που χορηγούνται στη μονάδα εντατικής θεραπείας (ΜΕΘ) θα πρέπει να </w:t>
      </w:r>
      <w:proofErr w:type="spellStart"/>
      <w:r w:rsidRPr="00713BE1">
        <w:rPr>
          <w:szCs w:val="22"/>
        </w:rPr>
        <w:t>τιτλοποιούνται</w:t>
      </w:r>
      <w:proofErr w:type="spellEnd"/>
      <w:r w:rsidRPr="00713BE1">
        <w:rPr>
          <w:szCs w:val="22"/>
        </w:rPr>
        <w:t xml:space="preserve"> ώστε να διατηρείται η βέλτιστη παροχή οξυγόνου και οι </w:t>
      </w:r>
      <w:proofErr w:type="spellStart"/>
      <w:r w:rsidRPr="00713BE1">
        <w:rPr>
          <w:szCs w:val="22"/>
        </w:rPr>
        <w:t>αιμοδυναμικοί</w:t>
      </w:r>
      <w:proofErr w:type="spellEnd"/>
      <w:r w:rsidRPr="00713BE1">
        <w:rPr>
          <w:szCs w:val="22"/>
        </w:rPr>
        <w:t xml:space="preserve"> παράμετροι. Στους ασθενείς με αυξημένη </w:t>
      </w:r>
      <w:proofErr w:type="spellStart"/>
      <w:r w:rsidRPr="00713BE1">
        <w:rPr>
          <w:szCs w:val="22"/>
        </w:rPr>
        <w:t>ενδοκρανιακή</w:t>
      </w:r>
      <w:proofErr w:type="spellEnd"/>
      <w:r w:rsidRPr="00713BE1">
        <w:rPr>
          <w:szCs w:val="22"/>
        </w:rPr>
        <w:t xml:space="preserve"> πίεση (ΕΠ) πρέπει να δίδεται η κατάλληλη θεραπεία για την υποστήριξη της πίεσης έγχυσης στον εγκέφαλο κατά την διάρκεια των τροποποιήσεων της θεραπευτικής αγωγής.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Στους θεράποντες ιατρούς υπενθυμίζεται να μην υπερβαίνουν τη δοσολογία των 4 </w:t>
      </w:r>
      <w:r w:rsidRPr="00713BE1">
        <w:rPr>
          <w:szCs w:val="22"/>
          <w:lang w:val="en-US"/>
        </w:rPr>
        <w:t>mg</w:t>
      </w:r>
      <w:r w:rsidRPr="00713BE1">
        <w:rPr>
          <w:szCs w:val="22"/>
        </w:rPr>
        <w:t>/</w:t>
      </w:r>
      <w:r w:rsidRPr="00713BE1">
        <w:rPr>
          <w:szCs w:val="22"/>
          <w:lang w:val="en-US"/>
        </w:rPr>
        <w:t>kg</w:t>
      </w:r>
      <w:r w:rsidRPr="00713BE1">
        <w:rPr>
          <w:szCs w:val="22"/>
        </w:rPr>
        <w:t>/</w:t>
      </w:r>
      <w:r w:rsidRPr="00713BE1">
        <w:rPr>
          <w:szCs w:val="22"/>
          <w:lang w:val="en-US"/>
        </w:rPr>
        <w:t>h</w:t>
      </w:r>
      <w:r w:rsidRPr="00713BE1">
        <w:rPr>
          <w:szCs w:val="22"/>
        </w:rPr>
        <w:t>.</w:t>
      </w:r>
    </w:p>
    <w:p w:rsidR="008F0C25" w:rsidRPr="00713BE1" w:rsidRDefault="008F0C25" w:rsidP="008F0C25">
      <w:pPr>
        <w:rPr>
          <w:szCs w:val="22"/>
        </w:rPr>
      </w:pPr>
    </w:p>
    <w:p w:rsidR="008F0C25" w:rsidRPr="00713BE1" w:rsidRDefault="008F0C25" w:rsidP="008F0C25">
      <w:pPr>
        <w:rPr>
          <w:szCs w:val="22"/>
        </w:rPr>
      </w:pPr>
      <w:r w:rsidRPr="00713BE1">
        <w:rPr>
          <w:szCs w:val="22"/>
        </w:rPr>
        <w:t>Δέουσα προσοχή πρέπει να εφαρμόζεται σε ασθενείς με διαταραχές του μεταβολισμού των λιπιδίων και σε άλλες περιπτώσεις που τα εναιωρήματα λιπιδίων πρέπει να χορηγούνται με προσοχή.</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Συνιστάται να παρακολουθούνται τα επίπεδα λιπιδίων του αίματος ασθενών που εμφανίζουν ιδιαίτερο κίνδυνο επιβάρυνσης του φορτίου λίπους, εάν χορηγείται </w:t>
      </w:r>
      <w:proofErr w:type="spellStart"/>
      <w:r w:rsidRPr="00713BE1">
        <w:rPr>
          <w:szCs w:val="22"/>
        </w:rPr>
        <w:t>προποφόλη</w:t>
      </w:r>
      <w:proofErr w:type="spellEnd"/>
      <w:r w:rsidRPr="00713BE1">
        <w:rPr>
          <w:szCs w:val="22"/>
        </w:rPr>
        <w:t xml:space="preserve">. Η χορήγηση </w:t>
      </w:r>
      <w:proofErr w:type="spellStart"/>
      <w:r w:rsidRPr="00713BE1">
        <w:rPr>
          <w:szCs w:val="22"/>
        </w:rPr>
        <w:t>προποφόλης</w:t>
      </w:r>
      <w:proofErr w:type="spellEnd"/>
      <w:r w:rsidRPr="00713BE1">
        <w:rPr>
          <w:szCs w:val="22"/>
        </w:rPr>
        <w:t xml:space="preserve"> πρέπει να ρυθμίζεται κατάλληλα όταν η παρακολούθηση υποδεικνύει ότι το λίπος δεν αποβάλλεται επαρκώς από τον οργανισμό. Εάν ο ασθενής λαμβάνει ταυτόχρονα και άλλα λιπίδια ενδοφλέβια, πρέπει η ποσότητα αυτή των λιπιδίων να συνυπολογίζεται με την ποσότητα των λιπιδίων της σύνθεσης της </w:t>
      </w:r>
      <w:proofErr w:type="spellStart"/>
      <w:r w:rsidRPr="00713BE1">
        <w:rPr>
          <w:szCs w:val="22"/>
        </w:rPr>
        <w:t>προποφόλης</w:t>
      </w:r>
      <w:proofErr w:type="spellEnd"/>
      <w:r w:rsidRPr="00713BE1">
        <w:rPr>
          <w:szCs w:val="22"/>
        </w:rPr>
        <w:t xml:space="preserve"> και να ελαττώνεται αναλόγως η ποσότητά τους, λαμβάνοντας υπόψη ότι 1,0</w:t>
      </w:r>
      <w:r>
        <w:rPr>
          <w:szCs w:val="22"/>
        </w:rPr>
        <w:t> </w:t>
      </w:r>
      <w:r w:rsidRPr="00713BE1">
        <w:rPr>
          <w:szCs w:val="22"/>
        </w:rPr>
        <w:t>m</w:t>
      </w:r>
      <w:r w:rsidRPr="00713BE1">
        <w:rPr>
          <w:szCs w:val="22"/>
          <w:lang w:val="en-US"/>
        </w:rPr>
        <w:t>L</w:t>
      </w:r>
      <w:r w:rsidRPr="00713BE1">
        <w:rPr>
          <w:szCs w:val="22"/>
        </w:rPr>
        <w:t xml:space="preserve"> HI</w:t>
      </w:r>
      <w:r w:rsidRPr="00713BE1">
        <w:rPr>
          <w:szCs w:val="22"/>
          <w:lang w:val="en-US"/>
        </w:rPr>
        <w:t>REM</w:t>
      </w:r>
      <w:r w:rsidRPr="00713BE1">
        <w:rPr>
          <w:szCs w:val="22"/>
        </w:rPr>
        <w:t xml:space="preserve">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περιέχει περίπου 0,1g λίπους.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περιέχει 0,0018 </w:t>
      </w:r>
      <w:proofErr w:type="spellStart"/>
      <w:r w:rsidRPr="00713BE1">
        <w:rPr>
          <w:szCs w:val="22"/>
        </w:rPr>
        <w:t>mmol</w:t>
      </w:r>
      <w:proofErr w:type="spellEnd"/>
      <w:r w:rsidRPr="00713BE1">
        <w:rPr>
          <w:szCs w:val="22"/>
        </w:rPr>
        <w:t xml:space="preserve"> (0,0414 </w:t>
      </w:r>
      <w:proofErr w:type="spellStart"/>
      <w:r w:rsidRPr="00713BE1">
        <w:rPr>
          <w:szCs w:val="22"/>
        </w:rPr>
        <w:t>mg</w:t>
      </w:r>
      <w:proofErr w:type="spellEnd"/>
      <w:r w:rsidRPr="00713BE1">
        <w:rPr>
          <w:szCs w:val="22"/>
        </w:rPr>
        <w:t>) νατρίου ανά m</w:t>
      </w:r>
      <w:r w:rsidRPr="00713BE1">
        <w:rPr>
          <w:szCs w:val="22"/>
          <w:lang w:val="en-US"/>
        </w:rPr>
        <w:t>L</w:t>
      </w:r>
      <w:r w:rsidRPr="00713BE1">
        <w:rPr>
          <w:szCs w:val="22"/>
        </w:rPr>
        <w:t>. Να λαμβάνεται υπόψη από ασθενείς που υπόκεινται σε ελεγχόμενη δίαιτα άλατος.</w:t>
      </w:r>
    </w:p>
    <w:p w:rsidR="008F0C25" w:rsidRPr="00713BE1" w:rsidRDefault="008F0C25" w:rsidP="008F0C25">
      <w:pPr>
        <w:rPr>
          <w:szCs w:val="22"/>
        </w:rPr>
      </w:pPr>
    </w:p>
    <w:p w:rsidR="008F0C25" w:rsidRPr="00713BE1" w:rsidRDefault="008F0C25" w:rsidP="008F0C25">
      <w:pPr>
        <w:rPr>
          <w:b/>
          <w:szCs w:val="22"/>
        </w:rPr>
      </w:pPr>
      <w:r w:rsidRPr="00713BE1">
        <w:rPr>
          <w:b/>
          <w:szCs w:val="22"/>
        </w:rPr>
        <w:t>Πρόσθετες προφυλάξεις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Προσοχή θα πρέπει να λαμβάνεται κατά τη θεραπεία ασθενών με </w:t>
      </w:r>
      <w:proofErr w:type="spellStart"/>
      <w:r w:rsidRPr="00713BE1">
        <w:rPr>
          <w:szCs w:val="22"/>
        </w:rPr>
        <w:t>μιτοχονδριακά</w:t>
      </w:r>
      <w:proofErr w:type="spellEnd"/>
      <w:r w:rsidRPr="00713BE1">
        <w:rPr>
          <w:szCs w:val="22"/>
        </w:rPr>
        <w:t xml:space="preserve"> νοσήματα. Αυτοί οι ασθενείς μπορεί να είναι επιρρεπείς σε εξάρσεις της διαταραχής τους, όταν υποβάλλονται σε αναισθησία, χειρουργική επέμβαση και φροντίδα στη ΜΕΘ. Διατήρηση της </w:t>
      </w:r>
      <w:proofErr w:type="spellStart"/>
      <w:r w:rsidRPr="00713BE1">
        <w:rPr>
          <w:szCs w:val="22"/>
        </w:rPr>
        <w:t>νορμοθερμίας</w:t>
      </w:r>
      <w:proofErr w:type="spellEnd"/>
      <w:r w:rsidRPr="00713BE1">
        <w:rPr>
          <w:szCs w:val="22"/>
        </w:rPr>
        <w:t xml:space="preserve">, παροχή υδατανθράκων και καλή ενυδάτωση συνιστάται στους ασθενείς αυτούς. Τα πρώτα σημεία της επιδείνωσης των </w:t>
      </w:r>
      <w:proofErr w:type="spellStart"/>
      <w:r w:rsidRPr="00713BE1">
        <w:rPr>
          <w:szCs w:val="22"/>
        </w:rPr>
        <w:t>μιτοχονδριακών</w:t>
      </w:r>
      <w:proofErr w:type="spellEnd"/>
      <w:r w:rsidRPr="00713BE1">
        <w:rPr>
          <w:szCs w:val="22"/>
        </w:rPr>
        <w:t xml:space="preserve"> νοσημάτων και του «Συνδρόμου της Έγχυσης </w:t>
      </w:r>
      <w:proofErr w:type="spellStart"/>
      <w:r w:rsidRPr="00713BE1">
        <w:rPr>
          <w:szCs w:val="22"/>
        </w:rPr>
        <w:t>Προποφόλης</w:t>
      </w:r>
      <w:proofErr w:type="spellEnd"/>
      <w:r w:rsidRPr="00713BE1">
        <w:rPr>
          <w:szCs w:val="22"/>
        </w:rPr>
        <w:t>» μπορεί να είναι παρόμοια.</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περιέχει </w:t>
      </w:r>
      <w:proofErr w:type="spellStart"/>
      <w:r w:rsidRPr="00713BE1">
        <w:rPr>
          <w:szCs w:val="22"/>
        </w:rPr>
        <w:t>αντιμικροβιακά</w:t>
      </w:r>
      <w:proofErr w:type="spellEnd"/>
      <w:r w:rsidRPr="00713BE1">
        <w:rPr>
          <w:szCs w:val="22"/>
        </w:rPr>
        <w:t xml:space="preserve"> συντηρητικά και ευνοεί την ανάπτυξη </w:t>
      </w:r>
      <w:r w:rsidRPr="00713BE1">
        <w:rPr>
          <w:szCs w:val="22"/>
        </w:rPr>
        <w:lastRenderedPageBreak/>
        <w:t>μικροοργανισμών.</w:t>
      </w:r>
    </w:p>
    <w:p w:rsidR="008F0C25" w:rsidRPr="00713BE1" w:rsidRDefault="008F0C25" w:rsidP="008F0C25">
      <w:pPr>
        <w:rPr>
          <w:szCs w:val="22"/>
        </w:rPr>
      </w:pPr>
    </w:p>
    <w:p w:rsidR="008F0C25" w:rsidRPr="00713BE1" w:rsidRDefault="008F0C25" w:rsidP="008F0C25">
      <w:pPr>
        <w:rPr>
          <w:szCs w:val="22"/>
        </w:rPr>
      </w:pPr>
      <w:proofErr w:type="gramStart"/>
      <w:r w:rsidRPr="00713BE1">
        <w:rPr>
          <w:szCs w:val="22"/>
          <w:lang w:val="en-US"/>
        </w:rPr>
        <w:t>To</w:t>
      </w:r>
      <w:r w:rsidRPr="00713BE1">
        <w:rPr>
          <w:szCs w:val="22"/>
        </w:rPr>
        <w:t xml:space="preserve"> </w:t>
      </w:r>
      <w:proofErr w:type="spellStart"/>
      <w:r w:rsidRPr="00713BE1">
        <w:rPr>
          <w:szCs w:val="22"/>
        </w:rPr>
        <w:t>αιθυλενοδιαμινοτετραοξικό</w:t>
      </w:r>
      <w:proofErr w:type="spellEnd"/>
      <w:r w:rsidRPr="00713BE1">
        <w:rPr>
          <w:szCs w:val="22"/>
        </w:rPr>
        <w:t xml:space="preserve"> οξύ </w:t>
      </w:r>
      <w:proofErr w:type="spellStart"/>
      <w:r w:rsidRPr="00713BE1">
        <w:rPr>
          <w:szCs w:val="22"/>
        </w:rPr>
        <w:t>συμπλοκοποιεί</w:t>
      </w:r>
      <w:proofErr w:type="spellEnd"/>
      <w:r w:rsidRPr="00713BE1">
        <w:rPr>
          <w:szCs w:val="22"/>
        </w:rPr>
        <w:t xml:space="preserve"> τα ιόντα μετάλλων, συμπεριλαμβανομένου του ψευδαργύρου και μειώνει τα ποσοστά της μικροβιακής ανάπτυξης.</w:t>
      </w:r>
      <w:proofErr w:type="gramEnd"/>
      <w:r w:rsidRPr="00713BE1">
        <w:rPr>
          <w:szCs w:val="22"/>
        </w:rPr>
        <w:t xml:space="preserve"> Η ανάγκη για συμπληρωματικό ψευδάργυρο θα πρέπει να λαμβάνεται υπόψη κατά τη διάρκεια παρατεταμένης χορήγησης του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ιδιαίτερα σε ασθενείς που έχουν προδιάθεση για ανεπάρκεια ψευδαργύρου, όπως εκείνοι με εγκαύματα, διάρροια και / ή μείζονα σήψη.</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Όταν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πρόκειται να αναρροφηθεί, πρέπει να μεταφέρεται αμέσως μετά το άνοιγμα του </w:t>
      </w:r>
      <w:proofErr w:type="spellStart"/>
      <w:r w:rsidRPr="00713BE1">
        <w:rPr>
          <w:szCs w:val="22"/>
        </w:rPr>
        <w:t>περιέκτη</w:t>
      </w:r>
      <w:proofErr w:type="spellEnd"/>
      <w:r w:rsidRPr="00713BE1">
        <w:rPr>
          <w:szCs w:val="22"/>
        </w:rPr>
        <w:t xml:space="preserve"> σε στείρα σύριγγα ή συσκευή χορήγησης. Η χορήγηση πρέπει να αρχίζει χωρίς καθυστέρηση. Η ασηψία πρέπει να διατηρείται τόσο για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όσο και για τη συσκευή έγχυσης καθ’ όλη τη διάρκεια της έγχυσης. Οποιαδήποτε υγρά εγχύσεως προστίθενται στη γραμμή εγχύσεως του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πρέπει να χορηγούνται κοντά στον καθετήρα. 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πρέπει να χορηγείται μέσω μικροβιολογικών φίλτρων.</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και κάθε σύριγγα που περιέχει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προορίζεται για μία χρήση σε έναν  μοναδικό ασθενή. Σύμφωνα με τις ισχύουσες κατευθυντήριες οδηγίες για άλλα γαλακτώματα λιπιδίων, η διάρκεια μίας έγχυσης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πρέπει να υπερβαίνει τις 12 ώρες. Η γραμμή έγχυσης και κάθε ποσότητα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που δεν χρησιμοποιήθηκε, στο τέλος της διαδικασίας ή εντός 12 ωρών, όποιο είναι πιο γρήγορο,  πρέπει να απορρίπτεται και να αντικαθίσταται κατάλληλα.</w:t>
      </w:r>
    </w:p>
    <w:p w:rsidR="008F0C25" w:rsidRPr="00713BE1" w:rsidRDefault="008F0C25" w:rsidP="008F0C25">
      <w:pPr>
        <w:rPr>
          <w:szCs w:val="22"/>
        </w:rPr>
      </w:pPr>
    </w:p>
    <w:p w:rsidR="008F0C25" w:rsidRPr="00713BE1" w:rsidRDefault="008F0C25" w:rsidP="008F0C25">
      <w:pPr>
        <w:rPr>
          <w:szCs w:val="22"/>
        </w:rPr>
      </w:pPr>
      <w:r w:rsidRPr="00713BE1">
        <w:rPr>
          <w:b/>
          <w:szCs w:val="22"/>
        </w:rPr>
        <w:t>4.5</w:t>
      </w:r>
      <w:r w:rsidRPr="00713BE1">
        <w:rPr>
          <w:b/>
          <w:szCs w:val="22"/>
        </w:rPr>
        <w:tab/>
        <w:t>Αλληλεπιδράσεις με άλλα φαρμακευτικά προϊόντα και άλλες μορφές αλληλεπίδρασης</w:t>
      </w:r>
    </w:p>
    <w:p w:rsidR="008F0C25" w:rsidRPr="00713BE1" w:rsidRDefault="008F0C25" w:rsidP="008F0C25">
      <w:pPr>
        <w:rPr>
          <w:szCs w:val="22"/>
        </w:rPr>
      </w:pPr>
    </w:p>
    <w:p w:rsidR="008F0C25" w:rsidRPr="00713BE1" w:rsidRDefault="008F0C25" w:rsidP="008F0C25">
      <w:pPr>
        <w:rPr>
          <w:noProof/>
          <w:szCs w:val="22"/>
        </w:rPr>
      </w:pPr>
      <w:r w:rsidRPr="00713BE1">
        <w:rPr>
          <w:noProof/>
          <w:szCs w:val="22"/>
        </w:rPr>
        <w:t>Βλέπε παράγραφο 4.2 Χορήγηση</w:t>
      </w:r>
    </w:p>
    <w:p w:rsidR="008F0C25" w:rsidRPr="00713BE1" w:rsidRDefault="008F0C25" w:rsidP="008F0C25">
      <w:pPr>
        <w:rPr>
          <w:szCs w:val="22"/>
        </w:rPr>
      </w:pPr>
    </w:p>
    <w:p w:rsidR="008F0C25" w:rsidRPr="00713BE1" w:rsidRDefault="008F0C25" w:rsidP="008F0C25">
      <w:pPr>
        <w:rPr>
          <w:szCs w:val="22"/>
        </w:rPr>
      </w:pPr>
      <w:r w:rsidRPr="00713BE1">
        <w:rPr>
          <w:b/>
          <w:szCs w:val="22"/>
        </w:rPr>
        <w:t>4.6</w:t>
      </w:r>
      <w:r w:rsidRPr="00713BE1">
        <w:rPr>
          <w:b/>
          <w:szCs w:val="22"/>
        </w:rPr>
        <w:tab/>
      </w:r>
      <w:r w:rsidRPr="00713BE1">
        <w:rPr>
          <w:b/>
          <w:noProof/>
          <w:szCs w:val="22"/>
        </w:rPr>
        <w:t>Γονιμότητα, κ</w:t>
      </w:r>
      <w:r w:rsidRPr="00713BE1">
        <w:rPr>
          <w:b/>
          <w:szCs w:val="22"/>
        </w:rPr>
        <w:t>ύηση και γαλουχία</w:t>
      </w:r>
    </w:p>
    <w:p w:rsidR="008F0C25" w:rsidRPr="00713BE1" w:rsidRDefault="008F0C25" w:rsidP="008F0C25">
      <w:pPr>
        <w:rPr>
          <w:i/>
          <w:color w:val="008000"/>
          <w:szCs w:val="22"/>
        </w:rPr>
      </w:pPr>
    </w:p>
    <w:p w:rsidR="008F0C25" w:rsidRPr="00713BE1" w:rsidRDefault="008F0C25" w:rsidP="008F0C25">
      <w:pPr>
        <w:rPr>
          <w:noProof/>
          <w:szCs w:val="22"/>
          <w:u w:val="single"/>
        </w:rPr>
      </w:pPr>
      <w:r w:rsidRPr="00713BE1">
        <w:rPr>
          <w:noProof/>
          <w:szCs w:val="22"/>
          <w:u w:val="single"/>
        </w:rPr>
        <w:t>Κύηση</w:t>
      </w:r>
    </w:p>
    <w:p w:rsidR="008F0C25" w:rsidRPr="008D4F9E" w:rsidRDefault="008F0C25" w:rsidP="008F0C25">
      <w:pPr>
        <w:rPr>
          <w:noProof/>
          <w:szCs w:val="22"/>
        </w:rPr>
      </w:pPr>
    </w:p>
    <w:p w:rsidR="008F0C25" w:rsidRPr="00713BE1" w:rsidRDefault="008F0C25" w:rsidP="008F0C25">
      <w:pPr>
        <w:rPr>
          <w:noProof/>
          <w:szCs w:val="22"/>
        </w:rPr>
      </w:pPr>
      <w:r w:rsidRPr="00713BE1">
        <w:rPr>
          <w:noProof/>
          <w:szCs w:val="22"/>
        </w:rPr>
        <w:t>Μελέτες τερατογένεσης σε αρουραίους και κουνέλια δεν έδειξαν τερατογόνο επίδραση.</w:t>
      </w:r>
    </w:p>
    <w:p w:rsidR="008F0C25" w:rsidRPr="00713BE1" w:rsidRDefault="008F0C25" w:rsidP="008F0C25">
      <w:pPr>
        <w:rPr>
          <w:noProof/>
          <w:szCs w:val="22"/>
        </w:rPr>
      </w:pPr>
      <w:r w:rsidRPr="00713BE1">
        <w:rPr>
          <w:noProof/>
          <w:szCs w:val="22"/>
        </w:rPr>
        <w:t xml:space="preserve">Η ασφάλεια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κατά τη διάρκεια της εγκυμοσύνης δεν έχει τεκμηριωθεί. To HIREMON </w:t>
      </w:r>
      <w:r>
        <w:rPr>
          <w:noProof/>
          <w:szCs w:val="22"/>
        </w:rPr>
        <w:t>20 mg/mL</w:t>
      </w:r>
      <w:r w:rsidRPr="00713BE1">
        <w:rPr>
          <w:noProof/>
          <w:szCs w:val="22"/>
        </w:rPr>
        <w:t xml:space="preserve"> δεν πρέπει να χορηγηθεί σε εγκύους εκτός εάν υπάρχει απόλυτη ανάγκη. Το HIREMON </w:t>
      </w:r>
      <w:r>
        <w:rPr>
          <w:noProof/>
          <w:szCs w:val="22"/>
        </w:rPr>
        <w:t>20 mg/mL</w:t>
      </w:r>
      <w:r w:rsidRPr="00713BE1">
        <w:rPr>
          <w:noProof/>
          <w:szCs w:val="22"/>
        </w:rPr>
        <w:t xml:space="preserve"> μπορεί, παρ’ όλα αυτά να χρησιμοποιηθεί σε άμβλωση.</w:t>
      </w:r>
    </w:p>
    <w:p w:rsidR="008F0C25" w:rsidRPr="00713BE1" w:rsidRDefault="008F0C25" w:rsidP="008F0C25">
      <w:pPr>
        <w:rPr>
          <w:noProof/>
          <w:szCs w:val="22"/>
        </w:rPr>
      </w:pPr>
    </w:p>
    <w:p w:rsidR="008F0C25" w:rsidRPr="00713BE1" w:rsidRDefault="008F0C25" w:rsidP="008F0C25">
      <w:pPr>
        <w:rPr>
          <w:noProof/>
          <w:szCs w:val="22"/>
          <w:u w:val="single"/>
        </w:rPr>
      </w:pPr>
      <w:r w:rsidRPr="00713BE1">
        <w:rPr>
          <w:noProof/>
          <w:szCs w:val="22"/>
          <w:u w:val="single"/>
        </w:rPr>
        <w:t>Μαιευτική</w:t>
      </w:r>
    </w:p>
    <w:p w:rsidR="008F0C25" w:rsidRPr="00713BE1" w:rsidRDefault="008F0C25" w:rsidP="008F0C25">
      <w:pPr>
        <w:rPr>
          <w:noProof/>
          <w:szCs w:val="22"/>
          <w:u w:val="single"/>
        </w:rPr>
      </w:pPr>
    </w:p>
    <w:p w:rsidR="008F0C25" w:rsidRPr="00713BE1" w:rsidRDefault="008F0C25" w:rsidP="008F0C25">
      <w:pPr>
        <w:rPr>
          <w:noProof/>
          <w:szCs w:val="22"/>
        </w:rPr>
      </w:pPr>
      <w:r w:rsidRPr="00713BE1">
        <w:rPr>
          <w:noProof/>
          <w:szCs w:val="22"/>
        </w:rPr>
        <w:t>Η προποφόλη διέρχεται από τον πλακούντα και μπορεί να προκαλέσει καταστολή στο νεογνό.</w:t>
      </w:r>
    </w:p>
    <w:p w:rsidR="008F0C25" w:rsidRPr="00713BE1" w:rsidRDefault="008F0C25" w:rsidP="008F0C25">
      <w:pPr>
        <w:rPr>
          <w:noProof/>
          <w:szCs w:val="22"/>
          <w:u w:val="single"/>
        </w:rPr>
      </w:pPr>
      <w:r w:rsidRPr="00713BE1">
        <w:rPr>
          <w:noProof/>
          <w:szCs w:val="22"/>
          <w:u w:val="single"/>
        </w:rPr>
        <w:t>Δεν θα πρέπει να χρησιμοποιείται για την μαιευτική αναισθησία.</w:t>
      </w:r>
    </w:p>
    <w:p w:rsidR="008F0C25" w:rsidRPr="00713BE1" w:rsidRDefault="008F0C25" w:rsidP="008F0C25">
      <w:pPr>
        <w:rPr>
          <w:noProof/>
          <w:szCs w:val="22"/>
          <w:u w:val="single"/>
        </w:rPr>
      </w:pPr>
    </w:p>
    <w:p w:rsidR="008F0C25" w:rsidRPr="00713BE1" w:rsidRDefault="008F0C25" w:rsidP="008F0C25">
      <w:pPr>
        <w:rPr>
          <w:noProof/>
          <w:szCs w:val="22"/>
          <w:u w:val="single"/>
        </w:rPr>
      </w:pPr>
      <w:r w:rsidRPr="00713BE1">
        <w:rPr>
          <w:noProof/>
          <w:szCs w:val="22"/>
          <w:u w:val="single"/>
        </w:rPr>
        <w:t>Θηλασμός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Μελέτες σε θηλάζουσες μητέρες έδειξαν ότι μικρές ποσότητες </w:t>
      </w:r>
      <w:proofErr w:type="spellStart"/>
      <w:r w:rsidRPr="00713BE1">
        <w:rPr>
          <w:szCs w:val="22"/>
        </w:rPr>
        <w:t>προποφόλης</w:t>
      </w:r>
      <w:proofErr w:type="spellEnd"/>
      <w:r w:rsidRPr="00713BE1">
        <w:rPr>
          <w:szCs w:val="22"/>
        </w:rPr>
        <w:t xml:space="preserve">, αποβάλλονται στο ανθρώπινο γάλα. Για αυτό το λόγο οι γυναίκες δεν πρέπει να θηλάζουν για 24 ώρες μετά τη χορήγηση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 Το γάλα που παράγεται κατά τη διάρκεια αυτής της περιόδου πρέπει να απορρίπτεται.</w:t>
      </w:r>
    </w:p>
    <w:p w:rsidR="008F0C25" w:rsidRPr="00713BE1" w:rsidRDefault="008F0C25" w:rsidP="008F0C25">
      <w:pPr>
        <w:rPr>
          <w:szCs w:val="22"/>
        </w:rPr>
      </w:pPr>
    </w:p>
    <w:p w:rsidR="008F0C25" w:rsidRPr="00713BE1" w:rsidRDefault="008F0C25" w:rsidP="008F0C25">
      <w:pPr>
        <w:rPr>
          <w:szCs w:val="22"/>
        </w:rPr>
      </w:pPr>
      <w:r w:rsidRPr="00713BE1">
        <w:rPr>
          <w:b/>
          <w:szCs w:val="22"/>
        </w:rPr>
        <w:t>4.7</w:t>
      </w:r>
      <w:r w:rsidRPr="00713BE1">
        <w:rPr>
          <w:b/>
          <w:szCs w:val="22"/>
        </w:rPr>
        <w:tab/>
        <w:t>Επιδράσεις στην ικανότητα οδήγησης και χειρισμού μηχανημάτων</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έχει μέτρια επίδραση στην ικανότητα οδήγησης και χειρισμού </w:t>
      </w:r>
      <w:r w:rsidRPr="00713BE1">
        <w:rPr>
          <w:szCs w:val="22"/>
        </w:rPr>
        <w:lastRenderedPageBreak/>
        <w:t>μηχανημάτων. Οι ασθενείς πρέπει να γνωρίζουν ότι η επίδοσή τους σε εξειδικευμένες εργασίες όπως η οδήγηση και ο χειρισμός μηχανημάτων, μπορεί να μειωθεί για κάποιο χρονικό διάστημα μετά τη γενική αναισθησία.</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Η προκληθείσα διαταραχή από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γενικά δεν είναι ανιχνεύσιμη πέραν των 12 ωρών (Παράγραφος 4.4).</w:t>
      </w:r>
    </w:p>
    <w:p w:rsidR="008F0C25" w:rsidRPr="00713BE1" w:rsidRDefault="008F0C25" w:rsidP="008F0C25">
      <w:pPr>
        <w:rPr>
          <w:szCs w:val="22"/>
        </w:rPr>
      </w:pPr>
    </w:p>
    <w:p w:rsidR="008F0C25" w:rsidRPr="00713BE1" w:rsidRDefault="008F0C25" w:rsidP="008F0C25">
      <w:pPr>
        <w:rPr>
          <w:b/>
          <w:szCs w:val="22"/>
        </w:rPr>
      </w:pPr>
      <w:r w:rsidRPr="00713BE1">
        <w:rPr>
          <w:b/>
          <w:szCs w:val="22"/>
        </w:rPr>
        <w:t>4.8</w:t>
      </w:r>
      <w:r w:rsidRPr="00713BE1">
        <w:rPr>
          <w:b/>
          <w:szCs w:val="22"/>
        </w:rPr>
        <w:tab/>
        <w:t>Ανεπιθύμητες ενέργειες</w:t>
      </w:r>
    </w:p>
    <w:p w:rsidR="008F0C25" w:rsidRPr="00713BE1" w:rsidRDefault="008F0C25" w:rsidP="008F0C25">
      <w:pPr>
        <w:rPr>
          <w:b/>
          <w:szCs w:val="22"/>
        </w:rPr>
      </w:pPr>
    </w:p>
    <w:p w:rsidR="008F0C25" w:rsidRPr="00713BE1" w:rsidRDefault="008F0C25" w:rsidP="008F0C25">
      <w:pPr>
        <w:rPr>
          <w:b/>
          <w:szCs w:val="22"/>
        </w:rPr>
      </w:pPr>
      <w:r w:rsidRPr="00713BE1">
        <w:rPr>
          <w:b/>
          <w:szCs w:val="22"/>
        </w:rPr>
        <w:t>Γενικές</w:t>
      </w:r>
    </w:p>
    <w:p w:rsidR="008F0C25" w:rsidRPr="00713BE1" w:rsidRDefault="008F0C25" w:rsidP="008F0C25">
      <w:pPr>
        <w:rPr>
          <w:bCs/>
          <w:szCs w:val="22"/>
        </w:rPr>
      </w:pP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Η εισαγωγή και η διατήρηση της αναισθησίας ή της καταστολής είναι γενικά ομαλή με ελάχιστα σημάδια διέγερσης. Οι πιο συχνά αναφερόμενες ανεπιθύμητες ενέργειες είναι </w:t>
      </w:r>
      <w:proofErr w:type="spellStart"/>
      <w:r w:rsidRPr="00713BE1">
        <w:rPr>
          <w:color w:val="000000"/>
          <w:szCs w:val="22"/>
        </w:rPr>
        <w:t>φαρμακολογικώς</w:t>
      </w:r>
      <w:proofErr w:type="spellEnd"/>
      <w:r w:rsidRPr="00713BE1">
        <w:rPr>
          <w:color w:val="000000"/>
          <w:szCs w:val="22"/>
        </w:rPr>
        <w:t xml:space="preserve"> οι αναμενόμενες της κατηγορίας των αναισθητικών/κατασταλτικών φαρμάκων, όπως η υπόταση. Η φύση, η σοβαρότητα και η συχνότητα των ανεπιθύμητων ενεργειών που παρατηρούνται στους ασθενείς που χορηγείται </w:t>
      </w:r>
      <w:proofErr w:type="spellStart"/>
      <w:r w:rsidRPr="00713BE1">
        <w:rPr>
          <w:color w:val="000000"/>
          <w:szCs w:val="22"/>
        </w:rPr>
        <w:t>προποφόλη</w:t>
      </w:r>
      <w:proofErr w:type="spellEnd"/>
      <w:r w:rsidRPr="00713BE1">
        <w:rPr>
          <w:color w:val="000000"/>
          <w:szCs w:val="22"/>
        </w:rPr>
        <w:t xml:space="preserve"> μπορεί να σχετίζονται με την κατάσταση των ασθενών και τις επεμβατικές ή θεραπευτικές παρεμβάσεις στις οποίες υπόκεινται.</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260"/>
        <w:jc w:val="both"/>
        <w:rPr>
          <w:color w:val="000000"/>
          <w:szCs w:val="22"/>
        </w:rPr>
      </w:pP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Οι παρακάτω ορισμοί για τις συχνότητες έχουν χρησιμοποιηθεί:</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συχνές (≥1/10), συχνές (≥1/100 έως &lt;1/10), όχι συχνές (≥1/1.000 έως &lt;1/100), σπάνιες (≥1/10.000 έως &lt;1/1.000), πολύ σπάνιες (&lt;1/10.000) και μη γνωστές (η συχνότητά τους δεν μπορεί να εκτιμηθεί από τα διαθέσιμα δεδομένα).</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strike/>
          <w:color w:val="000000"/>
          <w:szCs w:val="22"/>
        </w:rPr>
      </w:pP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color w:val="000000"/>
          <w:szCs w:val="22"/>
        </w:rPr>
      </w:pPr>
      <w:r w:rsidRPr="00713BE1">
        <w:rPr>
          <w:b/>
          <w:color w:val="000000"/>
          <w:szCs w:val="22"/>
        </w:rPr>
        <w:t>Πίνακας Ανεπιθύμητων Ενεργειών</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260"/>
        <w:jc w:val="both"/>
        <w:rPr>
          <w:color w:val="000000"/>
          <w:szCs w:val="22"/>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313"/>
        <w:gridCol w:w="3270"/>
      </w:tblGrid>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color w:val="000000"/>
                <w:szCs w:val="22"/>
              </w:rPr>
            </w:pPr>
            <w:r w:rsidRPr="00713BE1">
              <w:rPr>
                <w:b/>
                <w:color w:val="000000"/>
                <w:szCs w:val="22"/>
              </w:rPr>
              <w:t>Οργανικό σύστημα</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color w:val="000000"/>
                <w:szCs w:val="22"/>
              </w:rPr>
            </w:pPr>
            <w:r w:rsidRPr="00713BE1">
              <w:rPr>
                <w:b/>
                <w:color w:val="000000"/>
                <w:szCs w:val="22"/>
              </w:rPr>
              <w:t>Συχνότητα</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color w:val="000000"/>
                <w:szCs w:val="22"/>
              </w:rPr>
            </w:pPr>
            <w:r w:rsidRPr="00713BE1">
              <w:rPr>
                <w:b/>
                <w:color w:val="000000"/>
                <w:szCs w:val="22"/>
              </w:rPr>
              <w:t>Ανεπιθύμητες Ενέργειες</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i/>
                <w:color w:val="000000"/>
                <w:szCs w:val="22"/>
              </w:rPr>
            </w:pPr>
            <w:r w:rsidRPr="00713BE1">
              <w:rPr>
                <w:i/>
                <w:color w:val="000000"/>
                <w:szCs w:val="22"/>
              </w:rPr>
              <w:t>Διαταραχές ανοσοποιητικού</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color w:val="000000"/>
                <w:szCs w:val="22"/>
              </w:rPr>
            </w:pPr>
            <w:r w:rsidRPr="00713BE1">
              <w:rPr>
                <w:color w:val="000000"/>
                <w:szCs w:val="22"/>
              </w:rPr>
              <w:t xml:space="preserve">Αναφυλαξία - μπορεί να περιλαμβάνει </w:t>
            </w:r>
            <w:proofErr w:type="spellStart"/>
            <w:r w:rsidRPr="00713BE1">
              <w:rPr>
                <w:color w:val="000000"/>
                <w:szCs w:val="22"/>
              </w:rPr>
              <w:t>αγγειοοίδημα</w:t>
            </w:r>
            <w:proofErr w:type="spellEnd"/>
            <w:r w:rsidRPr="00713BE1">
              <w:rPr>
                <w:color w:val="000000"/>
                <w:szCs w:val="22"/>
              </w:rPr>
              <w:t xml:space="preserve">, </w:t>
            </w:r>
            <w:proofErr w:type="spellStart"/>
            <w:r w:rsidRPr="00713BE1">
              <w:rPr>
                <w:color w:val="000000"/>
                <w:szCs w:val="22"/>
              </w:rPr>
              <w:t>βρογχόσπασμ</w:t>
            </w:r>
            <w:proofErr w:type="spellEnd"/>
            <w:r w:rsidRPr="00713BE1">
              <w:rPr>
                <w:color w:val="000000"/>
                <w:szCs w:val="22"/>
                <w:lang w:val="en-US"/>
              </w:rPr>
              <w:t>o</w:t>
            </w:r>
            <w:r w:rsidRPr="00713BE1">
              <w:rPr>
                <w:color w:val="000000"/>
                <w:szCs w:val="22"/>
              </w:rPr>
              <w:t>, ερύθημα και υπόταση</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rPr>
                <w:i/>
                <w:color w:val="000000"/>
                <w:szCs w:val="22"/>
              </w:rPr>
            </w:pPr>
            <w:r w:rsidRPr="00713BE1">
              <w:rPr>
                <w:i/>
                <w:color w:val="000000"/>
                <w:szCs w:val="22"/>
              </w:rPr>
              <w:t>Μεταβολικές και διατροφικές διαταραχές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jc w:val="both"/>
              <w:rPr>
                <w:color w:val="000000"/>
                <w:szCs w:val="22"/>
              </w:rPr>
            </w:pPr>
            <w:r w:rsidRPr="00713BE1">
              <w:rPr>
                <w:color w:val="000000"/>
                <w:szCs w:val="22"/>
              </w:rPr>
              <w:t xml:space="preserve">Μεταβολική οξέωση </w:t>
            </w:r>
            <w:r w:rsidRPr="00713BE1">
              <w:rPr>
                <w:color w:val="000000"/>
                <w:szCs w:val="22"/>
                <w:vertAlign w:val="superscript"/>
              </w:rPr>
              <w:t>(5)</w:t>
            </w:r>
            <w:r w:rsidRPr="00713BE1">
              <w:rPr>
                <w:color w:val="000000"/>
                <w:szCs w:val="22"/>
              </w:rPr>
              <w:t>,</w:t>
            </w:r>
          </w:p>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jc w:val="both"/>
              <w:rPr>
                <w:color w:val="000000"/>
                <w:szCs w:val="22"/>
              </w:rPr>
            </w:pPr>
            <w:proofErr w:type="spellStart"/>
            <w:r w:rsidRPr="00713BE1">
              <w:rPr>
                <w:color w:val="000000"/>
                <w:szCs w:val="22"/>
              </w:rPr>
              <w:t>Υπερκαλιαιμία</w:t>
            </w:r>
            <w:proofErr w:type="spellEnd"/>
            <w:r w:rsidRPr="00713BE1">
              <w:rPr>
                <w:color w:val="000000"/>
                <w:szCs w:val="22"/>
              </w:rPr>
              <w:t xml:space="preserve"> </w:t>
            </w:r>
            <w:r w:rsidRPr="00713BE1">
              <w:rPr>
                <w:color w:val="000000"/>
                <w:szCs w:val="22"/>
                <w:vertAlign w:val="superscript"/>
              </w:rPr>
              <w:t>(5)</w:t>
            </w:r>
            <w:r w:rsidRPr="00713BE1">
              <w:rPr>
                <w:color w:val="000000"/>
                <w:szCs w:val="22"/>
              </w:rPr>
              <w:t>,</w:t>
            </w:r>
          </w:p>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jc w:val="both"/>
              <w:rPr>
                <w:color w:val="000000"/>
                <w:szCs w:val="22"/>
              </w:rPr>
            </w:pPr>
            <w:proofErr w:type="spellStart"/>
            <w:r w:rsidRPr="00713BE1">
              <w:rPr>
                <w:color w:val="000000"/>
                <w:szCs w:val="22"/>
              </w:rPr>
              <w:t>Υπερλιπιδαιμία</w:t>
            </w:r>
            <w:proofErr w:type="spellEnd"/>
            <w:r w:rsidRPr="00713BE1">
              <w:rPr>
                <w:color w:val="000000"/>
                <w:szCs w:val="22"/>
              </w:rPr>
              <w:t xml:space="preserve"> </w:t>
            </w:r>
            <w:r w:rsidRPr="00713BE1">
              <w:rPr>
                <w:color w:val="000000"/>
                <w:szCs w:val="22"/>
                <w:vertAlign w:val="superscript"/>
              </w:rPr>
              <w:t>(5)</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jc w:val="both"/>
              <w:rPr>
                <w:i/>
                <w:color w:val="000000"/>
                <w:szCs w:val="22"/>
              </w:rPr>
            </w:pPr>
            <w:r w:rsidRPr="00713BE1">
              <w:rPr>
                <w:i/>
                <w:color w:val="000000"/>
                <w:szCs w:val="22"/>
              </w:rPr>
              <w:t>Ψυχιατρικές διαταραχές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1"/>
              <w:rPr>
                <w:color w:val="000000"/>
                <w:szCs w:val="22"/>
              </w:rPr>
            </w:pPr>
            <w:r w:rsidRPr="00713BE1">
              <w:rPr>
                <w:color w:val="000000"/>
                <w:szCs w:val="22"/>
              </w:rPr>
              <w:t xml:space="preserve">Αίσθημα ευφορίας. Κατάχρηση φαρμάκου και τοξικομανία </w:t>
            </w:r>
            <w:r w:rsidRPr="00713BE1">
              <w:rPr>
                <w:color w:val="000000"/>
                <w:szCs w:val="22"/>
                <w:vertAlign w:val="superscript"/>
              </w:rPr>
              <w:t>(8)</w:t>
            </w:r>
          </w:p>
        </w:tc>
      </w:tr>
      <w:tr w:rsidR="008F0C25" w:rsidRPr="00713BE1" w:rsidTr="00D228FF">
        <w:tc>
          <w:tcPr>
            <w:tcW w:w="3042" w:type="dxa"/>
            <w:tcBorders>
              <w:top w:val="single" w:sz="4" w:space="0" w:color="auto"/>
              <w:left w:val="single" w:sz="4" w:space="0" w:color="auto"/>
              <w:bottom w:val="nil"/>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i/>
                <w:color w:val="000000"/>
                <w:szCs w:val="22"/>
              </w:rPr>
            </w:pPr>
            <w:r w:rsidRPr="00713BE1">
              <w:rPr>
                <w:i/>
                <w:color w:val="000000"/>
                <w:szCs w:val="22"/>
              </w:rPr>
              <w:t>Διαταραχές νευρικού συστήματος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Κεφαλαλγία κατά τη διάρκεια της ανάνηψης</w:t>
            </w:r>
          </w:p>
        </w:tc>
      </w:tr>
      <w:tr w:rsidR="008F0C25" w:rsidRPr="00713BE1" w:rsidTr="00D228FF">
        <w:tc>
          <w:tcPr>
            <w:tcW w:w="3042" w:type="dxa"/>
            <w:tcBorders>
              <w:top w:val="nil"/>
              <w:left w:val="single" w:sz="4" w:space="0" w:color="auto"/>
              <w:bottom w:val="nil"/>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i/>
                <w:color w:val="000000"/>
                <w:szCs w:val="22"/>
              </w:rPr>
            </w:pPr>
            <w:r w:rsidRPr="00713BE1">
              <w:rPr>
                <w:i/>
                <w:color w:val="000000"/>
                <w:szCs w:val="22"/>
              </w:rPr>
              <w:t xml:space="preserve"> </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proofErr w:type="spellStart"/>
            <w:r w:rsidRPr="00713BE1">
              <w:rPr>
                <w:color w:val="000000"/>
                <w:szCs w:val="22"/>
              </w:rPr>
              <w:t>Επιληπτοειδείς</w:t>
            </w:r>
            <w:proofErr w:type="spellEnd"/>
            <w:r w:rsidRPr="00713BE1">
              <w:rPr>
                <w:color w:val="000000"/>
                <w:szCs w:val="22"/>
              </w:rPr>
              <w:t xml:space="preserve"> κινήσεις συμπεριλαμβανομένων σπασμών και </w:t>
            </w:r>
            <w:proofErr w:type="spellStart"/>
            <w:r w:rsidRPr="00713BE1">
              <w:rPr>
                <w:color w:val="000000"/>
                <w:szCs w:val="22"/>
              </w:rPr>
              <w:t>οπισθότονου</w:t>
            </w:r>
            <w:proofErr w:type="spellEnd"/>
            <w:r w:rsidRPr="00713BE1">
              <w:rPr>
                <w:color w:val="000000"/>
                <w:szCs w:val="22"/>
              </w:rPr>
              <w:t xml:space="preserve"> κατά την εισαγωγή, τη διατήρηση της αναισθησίας και την ανάνηψη</w:t>
            </w:r>
          </w:p>
        </w:tc>
      </w:tr>
      <w:tr w:rsidR="008F0C25" w:rsidRPr="00713BE1" w:rsidTr="00D228FF">
        <w:tc>
          <w:tcPr>
            <w:tcW w:w="3042" w:type="dxa"/>
            <w:tcBorders>
              <w:top w:val="nil"/>
              <w:left w:val="single" w:sz="4" w:space="0" w:color="auto"/>
              <w:bottom w:val="nil"/>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b/>
                <w:i/>
                <w:color w:val="000000"/>
                <w:szCs w:val="22"/>
              </w:rPr>
            </w:pPr>
            <w:r w:rsidRPr="00713BE1">
              <w:rPr>
                <w:i/>
                <w:color w:val="000000"/>
                <w:szCs w:val="22"/>
              </w:rPr>
              <w:t xml:space="preserve"> </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Μετεγχειρητική απώλεια συνείδησης</w:t>
            </w:r>
          </w:p>
        </w:tc>
      </w:tr>
      <w:tr w:rsidR="008F0C25" w:rsidRPr="00713BE1" w:rsidTr="00D228FF">
        <w:tc>
          <w:tcPr>
            <w:tcW w:w="3042" w:type="dxa"/>
            <w:tcBorders>
              <w:top w:val="nil"/>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i/>
                <w:color w:val="000000"/>
                <w:szCs w:val="22"/>
              </w:rPr>
            </w:pP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Ακούσιες κινήσεις</w:t>
            </w:r>
          </w:p>
        </w:tc>
      </w:tr>
      <w:tr w:rsidR="008F0C25" w:rsidRPr="00713BE1" w:rsidTr="00D228FF">
        <w:tc>
          <w:tcPr>
            <w:tcW w:w="3042" w:type="dxa"/>
            <w:tcBorders>
              <w:top w:val="single" w:sz="4" w:space="0" w:color="auto"/>
              <w:left w:val="single" w:sz="4" w:space="0" w:color="auto"/>
              <w:bottom w:val="nil"/>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Καρδιακές διαταραχές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Βραδυκαρδία </w:t>
            </w:r>
            <w:r w:rsidRPr="00713BE1">
              <w:rPr>
                <w:color w:val="000000"/>
                <w:szCs w:val="22"/>
                <w:vertAlign w:val="superscript"/>
              </w:rPr>
              <w:t>(1)</w:t>
            </w:r>
          </w:p>
        </w:tc>
      </w:tr>
      <w:tr w:rsidR="008F0C25" w:rsidRPr="00713BE1" w:rsidTr="00D228FF">
        <w:tc>
          <w:tcPr>
            <w:tcW w:w="3042" w:type="dxa"/>
            <w:tcBorders>
              <w:top w:val="nil"/>
              <w:left w:val="single" w:sz="4" w:space="0" w:color="auto"/>
              <w:bottom w:val="nil"/>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Πνευμονικό οίδημα</w:t>
            </w:r>
          </w:p>
        </w:tc>
      </w:tr>
      <w:tr w:rsidR="008F0C25" w:rsidRPr="00713BE1" w:rsidTr="00D228FF">
        <w:tc>
          <w:tcPr>
            <w:tcW w:w="3042" w:type="dxa"/>
            <w:tcBorders>
              <w:top w:val="nil"/>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Καρδιακή αρρυθμία </w:t>
            </w:r>
            <w:r w:rsidRPr="00713BE1">
              <w:rPr>
                <w:color w:val="000000"/>
                <w:szCs w:val="22"/>
                <w:vertAlign w:val="superscript"/>
              </w:rPr>
              <w:t>(5)</w:t>
            </w:r>
            <w:r w:rsidRPr="00713BE1">
              <w:rPr>
                <w:color w:val="000000"/>
                <w:szCs w:val="22"/>
              </w:rPr>
              <w:t xml:space="preserve">, καρδιακή ανεπάρκεια </w:t>
            </w:r>
            <w:r w:rsidRPr="00713BE1">
              <w:rPr>
                <w:color w:val="000000"/>
                <w:szCs w:val="22"/>
                <w:vertAlign w:val="superscript"/>
              </w:rPr>
              <w:t>(5), (7)</w:t>
            </w:r>
          </w:p>
        </w:tc>
      </w:tr>
      <w:tr w:rsidR="008F0C25" w:rsidRPr="00713BE1" w:rsidTr="00D228FF">
        <w:tc>
          <w:tcPr>
            <w:tcW w:w="3042" w:type="dxa"/>
            <w:tcBorders>
              <w:top w:val="single" w:sz="4" w:space="0" w:color="auto"/>
              <w:left w:val="single" w:sz="4" w:space="0" w:color="auto"/>
              <w:bottom w:val="nil"/>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Αγγειακές διαταραχές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Υπόταση </w:t>
            </w:r>
            <w:r w:rsidRPr="00713BE1">
              <w:rPr>
                <w:color w:val="000000"/>
                <w:szCs w:val="22"/>
                <w:vertAlign w:val="superscript"/>
              </w:rPr>
              <w:t>(2)</w:t>
            </w:r>
          </w:p>
        </w:tc>
      </w:tr>
      <w:tr w:rsidR="008F0C25" w:rsidRPr="00713BE1" w:rsidTr="00D228FF">
        <w:tc>
          <w:tcPr>
            <w:tcW w:w="3042" w:type="dxa"/>
            <w:tcBorders>
              <w:top w:val="nil"/>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Όχι 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Θρόμβωση και φλεβίτιδα</w:t>
            </w:r>
          </w:p>
        </w:tc>
      </w:tr>
      <w:tr w:rsidR="008F0C25" w:rsidRPr="00713BE1" w:rsidTr="00D228FF">
        <w:trPr>
          <w:trHeight w:val="338"/>
        </w:trPr>
        <w:tc>
          <w:tcPr>
            <w:tcW w:w="3042" w:type="dxa"/>
            <w:vMerge w:val="restart"/>
            <w:tcBorders>
              <w:top w:val="single" w:sz="4" w:space="0" w:color="auto"/>
              <w:left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 xml:space="preserve">Αναπνευστικές, θωρακικές και </w:t>
            </w:r>
            <w:proofErr w:type="spellStart"/>
            <w:r w:rsidRPr="00713BE1">
              <w:rPr>
                <w:i/>
                <w:color w:val="000000"/>
                <w:szCs w:val="22"/>
              </w:rPr>
              <w:t>μεσοθωρακικές</w:t>
            </w:r>
            <w:proofErr w:type="spellEnd"/>
            <w:r w:rsidRPr="00713BE1">
              <w:rPr>
                <w:i/>
                <w:color w:val="000000"/>
                <w:szCs w:val="22"/>
              </w:rPr>
              <w:t xml:space="preserve"> διαταραχές</w:t>
            </w:r>
          </w:p>
        </w:tc>
        <w:tc>
          <w:tcPr>
            <w:tcW w:w="2576" w:type="dxa"/>
            <w:tcBorders>
              <w:top w:val="single" w:sz="4" w:space="0" w:color="auto"/>
              <w:left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Άπνοια μικρής διάρκειας κατά την εισαγωγή</w:t>
            </w:r>
          </w:p>
        </w:tc>
      </w:tr>
      <w:tr w:rsidR="008F0C25" w:rsidRPr="00713BE1" w:rsidTr="00D228FF">
        <w:trPr>
          <w:trHeight w:val="337"/>
        </w:trPr>
        <w:tc>
          <w:tcPr>
            <w:tcW w:w="3042" w:type="dxa"/>
            <w:vMerge/>
            <w:tcBorders>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Μη γνωστές</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Καταστολή της αναπνοής (</w:t>
            </w:r>
            <w:proofErr w:type="spellStart"/>
            <w:r w:rsidRPr="00713BE1">
              <w:rPr>
                <w:color w:val="000000"/>
                <w:szCs w:val="22"/>
              </w:rPr>
              <w:t>δοσοεξαρτώμενη</w:t>
            </w:r>
            <w:proofErr w:type="spellEnd"/>
            <w:r w:rsidRPr="00713BE1">
              <w:rPr>
                <w:color w:val="000000"/>
                <w:szCs w:val="22"/>
              </w:rPr>
              <w:t>)</w:t>
            </w:r>
          </w:p>
        </w:tc>
      </w:tr>
      <w:tr w:rsidR="008F0C25" w:rsidRPr="00713BE1" w:rsidTr="00D228FF">
        <w:tc>
          <w:tcPr>
            <w:tcW w:w="3042" w:type="dxa"/>
            <w:vMerge w:val="restart"/>
            <w:tcBorders>
              <w:top w:val="single" w:sz="4" w:space="0" w:color="auto"/>
              <w:left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Γαστρεντερικές διαταραχές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Ναυτία και έμετος κατά την διάρκεια της ανάνηψης</w:t>
            </w:r>
          </w:p>
        </w:tc>
      </w:tr>
      <w:tr w:rsidR="008F0C25" w:rsidRPr="00713BE1" w:rsidTr="00D228FF">
        <w:tc>
          <w:tcPr>
            <w:tcW w:w="3042" w:type="dxa"/>
            <w:vMerge/>
            <w:tcBorders>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Παγκρεατίτιδα</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Διαταραχές του ήπατος και των χοληφόρων</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Ηπατομεγαλία </w:t>
            </w:r>
            <w:r w:rsidRPr="00713BE1">
              <w:rPr>
                <w:color w:val="000000"/>
                <w:szCs w:val="22"/>
                <w:vertAlign w:val="superscript"/>
              </w:rPr>
              <w:t>(5)</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 xml:space="preserve">Διαταραχές του </w:t>
            </w:r>
            <w:proofErr w:type="spellStart"/>
            <w:r w:rsidRPr="00713BE1">
              <w:rPr>
                <w:i/>
                <w:color w:val="000000"/>
                <w:szCs w:val="22"/>
              </w:rPr>
              <w:t>μυοσκελετικού</w:t>
            </w:r>
            <w:proofErr w:type="spellEnd"/>
            <w:r w:rsidRPr="00713BE1">
              <w:rPr>
                <w:i/>
                <w:color w:val="000000"/>
                <w:szCs w:val="22"/>
              </w:rPr>
              <w:t xml:space="preserve"> και συνδετικού ιστού</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proofErr w:type="spellStart"/>
            <w:r w:rsidRPr="00713BE1">
              <w:rPr>
                <w:color w:val="000000"/>
                <w:szCs w:val="22"/>
              </w:rPr>
              <w:t>Ραβδομυόλυση</w:t>
            </w:r>
            <w:proofErr w:type="spellEnd"/>
            <w:r w:rsidRPr="00713BE1">
              <w:rPr>
                <w:color w:val="000000"/>
                <w:szCs w:val="22"/>
              </w:rPr>
              <w:t xml:space="preserve"> </w:t>
            </w:r>
            <w:r w:rsidRPr="00713BE1">
              <w:rPr>
                <w:color w:val="000000"/>
                <w:szCs w:val="22"/>
                <w:vertAlign w:val="superscript"/>
              </w:rPr>
              <w:t>(3), (5)</w:t>
            </w:r>
          </w:p>
        </w:tc>
      </w:tr>
      <w:tr w:rsidR="008F0C25" w:rsidRPr="00713BE1" w:rsidTr="00D228FF">
        <w:tc>
          <w:tcPr>
            <w:tcW w:w="3042" w:type="dxa"/>
            <w:vMerge w:val="restart"/>
            <w:tcBorders>
              <w:top w:val="single" w:sz="4" w:space="0" w:color="auto"/>
              <w:left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Διαταραχές των νεφρών και του ουροποιητικού συστήματος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Αποχρωματισμός των ούρων ως συνέπεια παρατεταμένης χορήγησης</w:t>
            </w:r>
          </w:p>
        </w:tc>
      </w:tr>
      <w:tr w:rsidR="008F0C25" w:rsidRPr="00713BE1" w:rsidTr="00D228FF">
        <w:tc>
          <w:tcPr>
            <w:tcW w:w="3042" w:type="dxa"/>
            <w:vMerge/>
            <w:tcBorders>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Νεφρική ανεπάρκεια </w:t>
            </w:r>
            <w:r w:rsidRPr="00713BE1">
              <w:rPr>
                <w:color w:val="000000"/>
                <w:szCs w:val="22"/>
                <w:vertAlign w:val="superscript"/>
              </w:rPr>
              <w:t>(5)</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Διαταραχές αναπαραγωγικού συστήματος και του μαστού</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Άρση σεξουαλικής αναστολής</w:t>
            </w:r>
          </w:p>
        </w:tc>
      </w:tr>
      <w:tr w:rsidR="008F0C25" w:rsidRPr="00713BE1" w:rsidTr="00D228FF">
        <w:tc>
          <w:tcPr>
            <w:tcW w:w="3042" w:type="dxa"/>
            <w:vMerge w:val="restart"/>
            <w:tcBorders>
              <w:top w:val="single" w:sz="4" w:space="0" w:color="auto"/>
              <w:left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Γενικές διαταραχές και καταστάσεις στο σημείο της ένεσης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συχνές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Άλγος στο σημείο της ένεσης </w:t>
            </w:r>
            <w:r w:rsidRPr="00713BE1">
              <w:rPr>
                <w:color w:val="000000"/>
                <w:szCs w:val="22"/>
                <w:vertAlign w:val="superscript"/>
              </w:rPr>
              <w:t>(4)</w:t>
            </w:r>
          </w:p>
        </w:tc>
      </w:tr>
      <w:tr w:rsidR="008F0C25" w:rsidRPr="00713BE1" w:rsidTr="00D228FF">
        <w:tc>
          <w:tcPr>
            <w:tcW w:w="3042" w:type="dxa"/>
            <w:vMerge/>
            <w:tcBorders>
              <w:left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Νέκρωση του ιστού </w:t>
            </w:r>
            <w:r w:rsidRPr="00713BE1">
              <w:rPr>
                <w:color w:val="000000"/>
                <w:szCs w:val="22"/>
                <w:vertAlign w:val="superscript"/>
              </w:rPr>
              <w:t xml:space="preserve">(10) </w:t>
            </w:r>
            <w:r w:rsidRPr="00713BE1">
              <w:rPr>
                <w:color w:val="000000"/>
                <w:szCs w:val="22"/>
              </w:rPr>
              <w:t xml:space="preserve">μετά από τυχαία </w:t>
            </w:r>
            <w:proofErr w:type="spellStart"/>
            <w:r w:rsidRPr="00713BE1">
              <w:rPr>
                <w:color w:val="000000"/>
                <w:szCs w:val="22"/>
              </w:rPr>
              <w:t>εξωαγγειακή</w:t>
            </w:r>
            <w:proofErr w:type="spellEnd"/>
            <w:r w:rsidRPr="00713BE1">
              <w:rPr>
                <w:color w:val="000000"/>
                <w:szCs w:val="22"/>
              </w:rPr>
              <w:t xml:space="preserve"> χορήγηση</w:t>
            </w:r>
          </w:p>
        </w:tc>
      </w:tr>
      <w:tr w:rsidR="008F0C25" w:rsidRPr="00713BE1" w:rsidTr="00D228FF">
        <w:tc>
          <w:tcPr>
            <w:tcW w:w="3042" w:type="dxa"/>
            <w:vMerge/>
            <w:tcBorders>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p>
        </w:tc>
        <w:tc>
          <w:tcPr>
            <w:tcW w:w="2576" w:type="dxa"/>
            <w:tcBorders>
              <w:top w:val="single" w:sz="4" w:space="0" w:color="auto"/>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w:t>
            </w:r>
            <w:proofErr w:type="spellStart"/>
            <w:r w:rsidRPr="00713BE1">
              <w:rPr>
                <w:color w:val="000000"/>
                <w:szCs w:val="22"/>
              </w:rPr>
              <w:t>γωστές</w:t>
            </w:r>
            <w:proofErr w:type="spellEnd"/>
            <w:r w:rsidRPr="00713BE1">
              <w:rPr>
                <w:color w:val="000000"/>
                <w:szCs w:val="22"/>
              </w:rPr>
              <w:t xml:space="preserve">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Τοπικό άλγος, οίδημα μετά από τυχαία </w:t>
            </w:r>
            <w:proofErr w:type="spellStart"/>
            <w:r w:rsidRPr="00713BE1">
              <w:rPr>
                <w:color w:val="000000"/>
                <w:szCs w:val="22"/>
              </w:rPr>
              <w:t>εξωαγγειακή</w:t>
            </w:r>
            <w:proofErr w:type="spellEnd"/>
            <w:r w:rsidRPr="00713BE1">
              <w:rPr>
                <w:color w:val="000000"/>
                <w:szCs w:val="22"/>
              </w:rPr>
              <w:t xml:space="preserve"> χορήγηση</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Έρευνες</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 xml:space="preserve">Μη γνωστές </w:t>
            </w:r>
            <w:r w:rsidRPr="00713BE1">
              <w:rPr>
                <w:color w:val="000000"/>
                <w:szCs w:val="22"/>
                <w:vertAlign w:val="superscript"/>
              </w:rPr>
              <w:t>(9)</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 xml:space="preserve">ΗΚΓ διαταραχές τύπου συνδρόμου </w:t>
            </w:r>
            <w:proofErr w:type="spellStart"/>
            <w:r w:rsidRPr="00713BE1">
              <w:rPr>
                <w:color w:val="000000"/>
                <w:szCs w:val="22"/>
              </w:rPr>
              <w:t>Brugada</w:t>
            </w:r>
            <w:proofErr w:type="spellEnd"/>
            <w:r w:rsidRPr="00713BE1">
              <w:rPr>
                <w:color w:val="000000"/>
                <w:szCs w:val="22"/>
              </w:rPr>
              <w:t xml:space="preserve"> </w:t>
            </w:r>
            <w:r w:rsidRPr="00713BE1">
              <w:rPr>
                <w:color w:val="000000"/>
                <w:szCs w:val="22"/>
                <w:vertAlign w:val="superscript"/>
              </w:rPr>
              <w:t>(5), (6)</w:t>
            </w:r>
          </w:p>
        </w:tc>
      </w:tr>
      <w:tr w:rsidR="008F0C25" w:rsidRPr="00713BE1" w:rsidTr="00D228FF">
        <w:tc>
          <w:tcPr>
            <w:tcW w:w="3042"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i/>
                <w:color w:val="000000"/>
                <w:szCs w:val="22"/>
              </w:rPr>
            </w:pPr>
            <w:r w:rsidRPr="00713BE1">
              <w:rPr>
                <w:i/>
                <w:color w:val="000000"/>
                <w:szCs w:val="22"/>
              </w:rPr>
              <w:t>Τραυματισμός, δηλητηρίαση και επιπλοκές στη διαδικασία</w:t>
            </w:r>
          </w:p>
        </w:tc>
        <w:tc>
          <w:tcPr>
            <w:tcW w:w="2576"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jc w:val="both"/>
              <w:rPr>
                <w:color w:val="000000"/>
                <w:szCs w:val="22"/>
              </w:rPr>
            </w:pPr>
            <w:r w:rsidRPr="00713BE1">
              <w:rPr>
                <w:color w:val="000000"/>
                <w:szCs w:val="22"/>
              </w:rPr>
              <w:t>Πολύ σπάνιες</w:t>
            </w:r>
          </w:p>
        </w:tc>
        <w:tc>
          <w:tcPr>
            <w:tcW w:w="3509" w:type="dxa"/>
            <w:tcBorders>
              <w:top w:val="single" w:sz="4" w:space="0" w:color="auto"/>
              <w:left w:val="single" w:sz="4" w:space="0" w:color="auto"/>
              <w:bottom w:val="single" w:sz="4" w:space="0" w:color="auto"/>
              <w:right w:val="single" w:sz="4" w:space="0" w:color="auto"/>
            </w:tcBorders>
            <w:hideMark/>
          </w:tcPr>
          <w:p w:rsidR="008F0C25" w:rsidRPr="00713BE1" w:rsidRDefault="008F0C25" w:rsidP="00D228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60"/>
              <w:rPr>
                <w:color w:val="000000"/>
                <w:szCs w:val="22"/>
              </w:rPr>
            </w:pPr>
            <w:r w:rsidRPr="00713BE1">
              <w:rPr>
                <w:color w:val="000000"/>
                <w:szCs w:val="22"/>
              </w:rPr>
              <w:t>Μετεγχειρητικός πυρετός</w:t>
            </w:r>
          </w:p>
        </w:tc>
      </w:tr>
    </w:tbl>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(1)</w:t>
      </w:r>
      <w:r w:rsidRPr="00713BE1">
        <w:rPr>
          <w:color w:val="000000"/>
          <w:szCs w:val="22"/>
        </w:rPr>
        <w:t xml:space="preserve"> </w:t>
      </w:r>
      <w:r w:rsidRPr="00713BE1">
        <w:rPr>
          <w:color w:val="000000"/>
          <w:szCs w:val="22"/>
        </w:rPr>
        <w:tab/>
      </w:r>
      <w:r w:rsidRPr="00713BE1">
        <w:rPr>
          <w:color w:val="000000"/>
          <w:szCs w:val="22"/>
        </w:rPr>
        <w:tab/>
        <w:t xml:space="preserve">Σοβαρές βραδυκαρδίες είναι σπάνιες. Σε μεμονωμένες περιπτώσεις αναφέρεται εξέλιξη σε </w:t>
      </w:r>
      <w:proofErr w:type="spellStart"/>
      <w:r w:rsidRPr="00713BE1">
        <w:rPr>
          <w:color w:val="000000"/>
          <w:szCs w:val="22"/>
        </w:rPr>
        <w:t>ασυστολία</w:t>
      </w:r>
      <w:proofErr w:type="spellEnd"/>
      <w:r w:rsidRPr="00713BE1">
        <w:rPr>
          <w:color w:val="000000"/>
          <w:szCs w:val="22"/>
        </w:rPr>
        <w:t>.</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(2)</w:t>
      </w:r>
      <w:r w:rsidRPr="00713BE1">
        <w:rPr>
          <w:color w:val="000000"/>
          <w:szCs w:val="22"/>
        </w:rPr>
        <w:t xml:space="preserve"> </w:t>
      </w:r>
      <w:r w:rsidRPr="00713BE1">
        <w:rPr>
          <w:color w:val="000000"/>
          <w:szCs w:val="22"/>
        </w:rPr>
        <w:tab/>
      </w:r>
      <w:r w:rsidRPr="00713BE1">
        <w:rPr>
          <w:color w:val="000000"/>
          <w:szCs w:val="22"/>
        </w:rPr>
        <w:tab/>
        <w:t xml:space="preserve">Περιστασιακά η υπόταση μπορεί να απαιτεί χορήγηση υγρών ενδοφλεβίως και μείωση του ρυθμού χορήγησης </w:t>
      </w:r>
      <w:r w:rsidRPr="00713BE1">
        <w:rPr>
          <w:color w:val="000000"/>
          <w:szCs w:val="22"/>
          <w:lang w:val="en-US"/>
        </w:rPr>
        <w:t>HIREMON</w:t>
      </w:r>
      <w:r w:rsidRPr="00713BE1">
        <w:rPr>
          <w:color w:val="000000"/>
          <w:szCs w:val="22"/>
        </w:rPr>
        <w:t xml:space="preserve">. </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 xml:space="preserve">(3) </w:t>
      </w:r>
      <w:r w:rsidRPr="00713BE1">
        <w:rPr>
          <w:color w:val="000000"/>
          <w:szCs w:val="22"/>
          <w:vertAlign w:val="superscript"/>
        </w:rPr>
        <w:tab/>
      </w:r>
      <w:r w:rsidRPr="00713BE1">
        <w:rPr>
          <w:color w:val="000000"/>
          <w:szCs w:val="22"/>
        </w:rPr>
        <w:tab/>
        <w:t xml:space="preserve">Πολύ σπάνιες περιπτώσεις </w:t>
      </w:r>
      <w:proofErr w:type="spellStart"/>
      <w:r w:rsidRPr="00713BE1">
        <w:rPr>
          <w:color w:val="000000"/>
          <w:szCs w:val="22"/>
        </w:rPr>
        <w:t>ραβδομυόλυσης</w:t>
      </w:r>
      <w:proofErr w:type="spellEnd"/>
      <w:r w:rsidRPr="00713BE1">
        <w:rPr>
          <w:color w:val="000000"/>
          <w:szCs w:val="22"/>
        </w:rPr>
        <w:t xml:space="preserve"> έχουν αναφερθεί όταν η </w:t>
      </w:r>
      <w:proofErr w:type="spellStart"/>
      <w:r w:rsidRPr="00713BE1">
        <w:rPr>
          <w:color w:val="000000"/>
          <w:szCs w:val="22"/>
        </w:rPr>
        <w:t>προποφόλη</w:t>
      </w:r>
      <w:proofErr w:type="spellEnd"/>
      <w:r w:rsidRPr="00713BE1">
        <w:rPr>
          <w:color w:val="000000"/>
          <w:szCs w:val="22"/>
        </w:rPr>
        <w:t xml:space="preserve"> χορηγήθηκε για καταστολή στη Μονάδα Εντατικής Θεραπείας σε δοσολογίες υψηλότερες των 4</w:t>
      </w:r>
      <w:r w:rsidRPr="00713BE1">
        <w:rPr>
          <w:color w:val="000000"/>
          <w:szCs w:val="22"/>
          <w:lang w:val="en-US"/>
        </w:rPr>
        <w:t>mg</w:t>
      </w:r>
      <w:r w:rsidRPr="00713BE1">
        <w:rPr>
          <w:color w:val="000000"/>
          <w:szCs w:val="22"/>
        </w:rPr>
        <w:t>/</w:t>
      </w:r>
      <w:r w:rsidRPr="00713BE1">
        <w:rPr>
          <w:color w:val="000000"/>
          <w:szCs w:val="22"/>
          <w:lang w:val="en-US"/>
        </w:rPr>
        <w:t>kg</w:t>
      </w:r>
      <w:r w:rsidRPr="00713BE1">
        <w:rPr>
          <w:color w:val="000000"/>
          <w:szCs w:val="22"/>
        </w:rPr>
        <w:t>/</w:t>
      </w:r>
      <w:r w:rsidRPr="00713BE1">
        <w:rPr>
          <w:color w:val="000000"/>
          <w:szCs w:val="22"/>
          <w:lang w:val="en-US"/>
        </w:rPr>
        <w:t>h</w:t>
      </w:r>
      <w:r w:rsidRPr="00713BE1">
        <w:rPr>
          <w:color w:val="000000"/>
          <w:szCs w:val="22"/>
        </w:rPr>
        <w:t>.</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(4)</w:t>
      </w:r>
      <w:r w:rsidRPr="00713BE1">
        <w:rPr>
          <w:color w:val="000000"/>
          <w:szCs w:val="22"/>
        </w:rPr>
        <w:t xml:space="preserve"> </w:t>
      </w:r>
      <w:r w:rsidRPr="00713BE1">
        <w:rPr>
          <w:color w:val="000000"/>
          <w:szCs w:val="22"/>
        </w:rPr>
        <w:tab/>
      </w:r>
      <w:r w:rsidRPr="00713BE1">
        <w:rPr>
          <w:color w:val="000000"/>
          <w:szCs w:val="22"/>
        </w:rPr>
        <w:tab/>
        <w:t xml:space="preserve">Μπορεί να ελαχιστοποιηθεί με τη χρήση μεγαλύτερων φλεβών του </w:t>
      </w:r>
      <w:proofErr w:type="spellStart"/>
      <w:r w:rsidRPr="00713BE1">
        <w:rPr>
          <w:color w:val="000000"/>
          <w:szCs w:val="22"/>
        </w:rPr>
        <w:t>αντιβραχίονα</w:t>
      </w:r>
      <w:proofErr w:type="spellEnd"/>
      <w:r w:rsidRPr="00713BE1">
        <w:rPr>
          <w:color w:val="000000"/>
          <w:szCs w:val="22"/>
        </w:rPr>
        <w:t xml:space="preserve"> και της </w:t>
      </w:r>
      <w:proofErr w:type="spellStart"/>
      <w:r w:rsidRPr="00713BE1">
        <w:rPr>
          <w:color w:val="000000"/>
          <w:szCs w:val="22"/>
        </w:rPr>
        <w:t>προωλένιας</w:t>
      </w:r>
      <w:proofErr w:type="spellEnd"/>
      <w:r w:rsidRPr="00713BE1">
        <w:rPr>
          <w:color w:val="000000"/>
          <w:szCs w:val="22"/>
        </w:rPr>
        <w:t xml:space="preserve"> αύλακας. Με το </w:t>
      </w:r>
      <w:r w:rsidRPr="00713BE1">
        <w:rPr>
          <w:color w:val="000000"/>
          <w:szCs w:val="22"/>
          <w:lang w:val="en-US"/>
        </w:rPr>
        <w:t>HIREMON</w:t>
      </w:r>
      <w:r w:rsidRPr="00713BE1">
        <w:rPr>
          <w:color w:val="000000"/>
          <w:szCs w:val="22"/>
        </w:rPr>
        <w:t xml:space="preserve"> </w:t>
      </w:r>
      <w:r>
        <w:rPr>
          <w:color w:val="000000"/>
          <w:szCs w:val="22"/>
        </w:rPr>
        <w:t>20 </w:t>
      </w:r>
      <w:proofErr w:type="spellStart"/>
      <w:r>
        <w:rPr>
          <w:color w:val="000000"/>
          <w:szCs w:val="22"/>
        </w:rPr>
        <w:t>mg</w:t>
      </w:r>
      <w:proofErr w:type="spellEnd"/>
      <w:r>
        <w:rPr>
          <w:color w:val="000000"/>
          <w:szCs w:val="22"/>
        </w:rPr>
        <w:t>/</w:t>
      </w:r>
      <w:proofErr w:type="spellStart"/>
      <w:r>
        <w:rPr>
          <w:color w:val="000000"/>
          <w:szCs w:val="22"/>
        </w:rPr>
        <w:t>mL</w:t>
      </w:r>
      <w:proofErr w:type="spellEnd"/>
      <w:r w:rsidRPr="00713BE1">
        <w:rPr>
          <w:color w:val="000000"/>
          <w:szCs w:val="22"/>
        </w:rPr>
        <w:t xml:space="preserve"> ο τοπικός πόνος μπορεί επίσης να περιοριστεί με τη σύγχρονη χορήγηση </w:t>
      </w:r>
      <w:proofErr w:type="spellStart"/>
      <w:r w:rsidRPr="00713BE1">
        <w:rPr>
          <w:color w:val="000000"/>
          <w:szCs w:val="22"/>
        </w:rPr>
        <w:t>λιδοκαΐνης</w:t>
      </w:r>
      <w:proofErr w:type="spellEnd"/>
      <w:r w:rsidRPr="00713BE1">
        <w:rPr>
          <w:color w:val="000000"/>
          <w:szCs w:val="22"/>
        </w:rPr>
        <w:t>.</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(5)</w:t>
      </w:r>
      <w:r w:rsidRPr="00713BE1">
        <w:rPr>
          <w:color w:val="000000"/>
          <w:szCs w:val="22"/>
        </w:rPr>
        <w:t xml:space="preserve"> </w:t>
      </w:r>
      <w:r w:rsidRPr="00713BE1">
        <w:rPr>
          <w:color w:val="000000"/>
          <w:szCs w:val="22"/>
        </w:rPr>
        <w:tab/>
      </w:r>
      <w:r w:rsidRPr="00713BE1">
        <w:rPr>
          <w:color w:val="000000"/>
          <w:szCs w:val="22"/>
        </w:rPr>
        <w:tab/>
      </w:r>
      <w:r w:rsidRPr="00713BE1">
        <w:rPr>
          <w:color w:val="000000"/>
          <w:szCs w:val="22"/>
          <w:lang w:val="en-US"/>
        </w:rPr>
        <w:t>O</w:t>
      </w:r>
      <w:r w:rsidRPr="00713BE1">
        <w:rPr>
          <w:color w:val="000000"/>
          <w:szCs w:val="22"/>
        </w:rPr>
        <w:t xml:space="preserve"> συνδυασμός αυτών των </w:t>
      </w:r>
      <w:proofErr w:type="spellStart"/>
      <w:r w:rsidRPr="00713BE1">
        <w:rPr>
          <w:color w:val="000000"/>
          <w:szCs w:val="22"/>
        </w:rPr>
        <w:t>συμβαμάτων</w:t>
      </w:r>
      <w:proofErr w:type="spellEnd"/>
      <w:r w:rsidRPr="00713BE1">
        <w:rPr>
          <w:color w:val="000000"/>
          <w:szCs w:val="22"/>
        </w:rPr>
        <w:t xml:space="preserve">, που αναφέρεται ως «Σύνδρομο Έγχυσης </w:t>
      </w:r>
      <w:proofErr w:type="spellStart"/>
      <w:r w:rsidRPr="00713BE1">
        <w:rPr>
          <w:color w:val="000000"/>
          <w:szCs w:val="22"/>
        </w:rPr>
        <w:t>Προποφόλης</w:t>
      </w:r>
      <w:proofErr w:type="spellEnd"/>
      <w:r w:rsidRPr="00713BE1">
        <w:rPr>
          <w:color w:val="000000"/>
          <w:szCs w:val="22"/>
        </w:rPr>
        <w:t xml:space="preserve">», μπορεί να εμφανισθεί σε πολύ άρρωστους ασθενείς που συχνά έχουν πολλαπλούς παράγοντες επικινδυνότητας, για την εμφάνιση αυτών των </w:t>
      </w:r>
      <w:proofErr w:type="spellStart"/>
      <w:r w:rsidRPr="00713BE1">
        <w:rPr>
          <w:color w:val="000000"/>
          <w:szCs w:val="22"/>
        </w:rPr>
        <w:t>συμβαμάτων</w:t>
      </w:r>
      <w:proofErr w:type="spellEnd"/>
      <w:r w:rsidRPr="00713BE1">
        <w:rPr>
          <w:color w:val="000000"/>
          <w:szCs w:val="22"/>
        </w:rPr>
        <w:t>, βλ. παράγραφο 4.4.</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(6)</w:t>
      </w:r>
      <w:r w:rsidRPr="00713BE1">
        <w:rPr>
          <w:color w:val="000000"/>
          <w:szCs w:val="22"/>
        </w:rPr>
        <w:t xml:space="preserve"> </w:t>
      </w:r>
      <w:r w:rsidRPr="00713BE1">
        <w:rPr>
          <w:color w:val="000000"/>
          <w:szCs w:val="22"/>
        </w:rPr>
        <w:tab/>
      </w:r>
      <w:r w:rsidRPr="00713BE1">
        <w:rPr>
          <w:color w:val="000000"/>
          <w:szCs w:val="22"/>
        </w:rPr>
        <w:tab/>
        <w:t>Ηλεκτροκαρδιογράφημα τύπου Β</w:t>
      </w:r>
      <w:proofErr w:type="spellStart"/>
      <w:r w:rsidRPr="00713BE1">
        <w:rPr>
          <w:color w:val="000000"/>
          <w:szCs w:val="22"/>
          <w:lang w:val="en-US"/>
        </w:rPr>
        <w:t>rugada</w:t>
      </w:r>
      <w:proofErr w:type="spellEnd"/>
      <w:r w:rsidRPr="00713BE1">
        <w:rPr>
          <w:color w:val="000000"/>
          <w:szCs w:val="22"/>
        </w:rPr>
        <w:t xml:space="preserve"> - ανάσπαση </w:t>
      </w:r>
      <w:r w:rsidRPr="00713BE1">
        <w:rPr>
          <w:color w:val="000000"/>
          <w:szCs w:val="22"/>
          <w:lang w:val="en-US"/>
        </w:rPr>
        <w:t>ST</w:t>
      </w:r>
      <w:r w:rsidRPr="00713BE1">
        <w:rPr>
          <w:color w:val="000000"/>
          <w:szCs w:val="22"/>
        </w:rPr>
        <w:t>- και αναστροφή του κύματος Τ.</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(7)</w:t>
      </w:r>
      <w:r w:rsidRPr="00713BE1">
        <w:rPr>
          <w:color w:val="000000"/>
          <w:szCs w:val="22"/>
        </w:rPr>
        <w:t xml:space="preserve"> </w:t>
      </w:r>
      <w:r w:rsidRPr="00713BE1">
        <w:rPr>
          <w:color w:val="000000"/>
          <w:szCs w:val="22"/>
        </w:rPr>
        <w:tab/>
      </w:r>
      <w:r w:rsidRPr="00713BE1">
        <w:rPr>
          <w:color w:val="000000"/>
          <w:szCs w:val="22"/>
        </w:rPr>
        <w:tab/>
        <w:t xml:space="preserve">Ταχέως εξελισσόμενη καρδιακή ανεπάρκεια (σε μερικές περιπτώσεις με θανατηφόρα έκβαση) στους ενήλικες. Η καρδιακή ανεπάρκεια σε αυτές τις περιπτώσεις δεν ανταποκρίνεται στην υποστηρικτική θεραπεία με </w:t>
      </w:r>
      <w:proofErr w:type="spellStart"/>
      <w:r w:rsidRPr="00713BE1">
        <w:rPr>
          <w:color w:val="000000"/>
          <w:szCs w:val="22"/>
        </w:rPr>
        <w:t>ινότροπα</w:t>
      </w:r>
      <w:proofErr w:type="spellEnd"/>
      <w:r w:rsidRPr="00713BE1">
        <w:rPr>
          <w:color w:val="000000"/>
          <w:szCs w:val="22"/>
        </w:rPr>
        <w:t>.</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lastRenderedPageBreak/>
        <w:t>(8)</w:t>
      </w:r>
      <w:r w:rsidRPr="00713BE1">
        <w:rPr>
          <w:color w:val="000000"/>
          <w:szCs w:val="22"/>
        </w:rPr>
        <w:t xml:space="preserve"> </w:t>
      </w:r>
      <w:r w:rsidRPr="00713BE1">
        <w:rPr>
          <w:color w:val="000000"/>
          <w:szCs w:val="22"/>
        </w:rPr>
        <w:tab/>
      </w:r>
      <w:r w:rsidRPr="00713BE1">
        <w:rPr>
          <w:color w:val="000000"/>
          <w:szCs w:val="22"/>
        </w:rPr>
        <w:tab/>
        <w:t xml:space="preserve">Κατάχρηση φαρμάκου και εθισμός στην </w:t>
      </w:r>
      <w:proofErr w:type="spellStart"/>
      <w:r w:rsidRPr="00713BE1">
        <w:rPr>
          <w:color w:val="000000"/>
          <w:szCs w:val="22"/>
        </w:rPr>
        <w:t>προποφόλη</w:t>
      </w:r>
      <w:proofErr w:type="spellEnd"/>
      <w:r w:rsidRPr="00713BE1">
        <w:rPr>
          <w:color w:val="000000"/>
          <w:szCs w:val="22"/>
        </w:rPr>
        <w:t xml:space="preserve"> πρωταρχικά από τους επαγγελματίες υγείας.</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(9)</w:t>
      </w:r>
      <w:r w:rsidRPr="00713BE1">
        <w:rPr>
          <w:color w:val="000000"/>
          <w:szCs w:val="22"/>
        </w:rPr>
        <w:t xml:space="preserve"> </w:t>
      </w:r>
      <w:r w:rsidRPr="00713BE1">
        <w:rPr>
          <w:color w:val="000000"/>
          <w:szCs w:val="22"/>
        </w:rPr>
        <w:tab/>
      </w:r>
      <w:r w:rsidRPr="00713BE1">
        <w:rPr>
          <w:color w:val="000000"/>
          <w:szCs w:val="22"/>
        </w:rPr>
        <w:tab/>
        <w:t>Μη γνωστή συχνότητα καθώς δεν μπορεί να υπολογιστεί από τα διαθέσιμα στοιχεία από κλινικές μελέτες.</w:t>
      </w:r>
    </w:p>
    <w:p w:rsidR="008F0C25" w:rsidRPr="00713BE1" w:rsidRDefault="008F0C25" w:rsidP="008F0C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right="260" w:hanging="560"/>
        <w:jc w:val="both"/>
        <w:rPr>
          <w:color w:val="000000"/>
          <w:szCs w:val="22"/>
        </w:rPr>
      </w:pPr>
      <w:r w:rsidRPr="00713BE1">
        <w:rPr>
          <w:color w:val="000000"/>
          <w:szCs w:val="22"/>
          <w:vertAlign w:val="superscript"/>
        </w:rPr>
        <w:t>(10)</w:t>
      </w:r>
      <w:r w:rsidRPr="00713BE1">
        <w:rPr>
          <w:color w:val="000000"/>
          <w:szCs w:val="22"/>
          <w:vertAlign w:val="superscript"/>
        </w:rPr>
        <w:tab/>
      </w:r>
      <w:r w:rsidRPr="00713BE1">
        <w:rPr>
          <w:color w:val="000000"/>
          <w:szCs w:val="22"/>
        </w:rPr>
        <w:tab/>
        <w:t>Η νέκρωση έχει αναφερθεί, όπου έχει διαταραχθεί η βιωσιμότητα του ιστού.</w:t>
      </w:r>
    </w:p>
    <w:p w:rsidR="008F0C25" w:rsidRPr="00713BE1" w:rsidRDefault="008F0C25" w:rsidP="008F0C25">
      <w:pPr>
        <w:autoSpaceDE w:val="0"/>
        <w:autoSpaceDN w:val="0"/>
        <w:adjustRightInd w:val="0"/>
        <w:jc w:val="both"/>
        <w:rPr>
          <w:noProof/>
          <w:szCs w:val="22"/>
          <w:u w:val="single"/>
        </w:rPr>
      </w:pPr>
    </w:p>
    <w:p w:rsidR="008F0C25" w:rsidRPr="00713BE1" w:rsidRDefault="008F0C25" w:rsidP="008F0C25">
      <w:pPr>
        <w:autoSpaceDE w:val="0"/>
        <w:autoSpaceDN w:val="0"/>
        <w:adjustRightInd w:val="0"/>
        <w:jc w:val="both"/>
        <w:rPr>
          <w:noProof/>
          <w:szCs w:val="22"/>
        </w:rPr>
      </w:pPr>
      <w:r w:rsidRPr="00713BE1">
        <w:rPr>
          <w:noProof/>
          <w:szCs w:val="22"/>
        </w:rPr>
        <w:t>Δυστονία / δυσκινησία έχουν αναφερθεί.</w:t>
      </w:r>
    </w:p>
    <w:p w:rsidR="008F0C25" w:rsidRPr="00713BE1" w:rsidRDefault="008F0C25" w:rsidP="008F0C25">
      <w:pPr>
        <w:autoSpaceDE w:val="0"/>
        <w:autoSpaceDN w:val="0"/>
        <w:adjustRightInd w:val="0"/>
        <w:jc w:val="both"/>
        <w:rPr>
          <w:noProof/>
          <w:szCs w:val="22"/>
          <w:u w:val="single"/>
        </w:rPr>
      </w:pPr>
    </w:p>
    <w:p w:rsidR="008F0C25" w:rsidRPr="00713BE1" w:rsidRDefault="008F0C25" w:rsidP="008F0C25">
      <w:pPr>
        <w:autoSpaceDE w:val="0"/>
        <w:autoSpaceDN w:val="0"/>
        <w:adjustRightInd w:val="0"/>
        <w:jc w:val="both"/>
        <w:rPr>
          <w:b/>
          <w:noProof/>
          <w:szCs w:val="22"/>
        </w:rPr>
      </w:pPr>
      <w:r w:rsidRPr="00713BE1">
        <w:rPr>
          <w:b/>
          <w:noProof/>
          <w:szCs w:val="22"/>
        </w:rPr>
        <w:t>Τοπικές</w:t>
      </w:r>
    </w:p>
    <w:p w:rsidR="008F0C25" w:rsidRPr="00713BE1" w:rsidRDefault="008F0C25" w:rsidP="008F0C25">
      <w:pPr>
        <w:autoSpaceDE w:val="0"/>
        <w:autoSpaceDN w:val="0"/>
        <w:adjustRightInd w:val="0"/>
        <w:jc w:val="both"/>
        <w:rPr>
          <w:noProof/>
          <w:szCs w:val="22"/>
          <w:u w:val="single"/>
        </w:rPr>
      </w:pPr>
    </w:p>
    <w:p w:rsidR="008F0C25" w:rsidRPr="00713BE1" w:rsidRDefault="008F0C25" w:rsidP="008F0C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2"/>
        </w:rPr>
      </w:pPr>
      <w:r w:rsidRPr="00713BE1">
        <w:rPr>
          <w:color w:val="212121"/>
          <w:szCs w:val="22"/>
        </w:rPr>
        <w:t xml:space="preserve">Το τοπικό άλγος που μπορεί να συμβεί κατά τη διάρκεια της φάσης επαγωγής αναισθησίας μπορεί να ελαχιστοποιηθεί με χρήση των μεγαλύτερων φλεβών του </w:t>
      </w:r>
      <w:proofErr w:type="spellStart"/>
      <w:r w:rsidRPr="00713BE1">
        <w:rPr>
          <w:color w:val="212121"/>
          <w:szCs w:val="22"/>
        </w:rPr>
        <w:t>αντιβραχίονα</w:t>
      </w:r>
      <w:proofErr w:type="spellEnd"/>
      <w:r w:rsidRPr="00713BE1">
        <w:rPr>
          <w:color w:val="212121"/>
          <w:szCs w:val="22"/>
        </w:rPr>
        <w:t xml:space="preserve"> και της </w:t>
      </w:r>
      <w:proofErr w:type="spellStart"/>
      <w:r w:rsidRPr="00713BE1">
        <w:rPr>
          <w:color w:val="212121"/>
          <w:szCs w:val="22"/>
        </w:rPr>
        <w:t>προωλένιας</w:t>
      </w:r>
      <w:proofErr w:type="spellEnd"/>
      <w:r w:rsidRPr="00713BE1">
        <w:rPr>
          <w:color w:val="212121"/>
          <w:szCs w:val="22"/>
        </w:rPr>
        <w:t xml:space="preserve"> αύλακας. Η θρόμβωση και η φλεβίτιδα είναι σπάνιες. Τυχαία κλινική </w:t>
      </w:r>
      <w:proofErr w:type="spellStart"/>
      <w:r w:rsidRPr="00713BE1">
        <w:rPr>
          <w:color w:val="212121"/>
          <w:szCs w:val="22"/>
        </w:rPr>
        <w:t>εξαγγείωση</w:t>
      </w:r>
      <w:proofErr w:type="spellEnd"/>
      <w:r w:rsidRPr="00713BE1">
        <w:rPr>
          <w:color w:val="212121"/>
          <w:szCs w:val="22"/>
        </w:rPr>
        <w:t xml:space="preserve"> και μελέτες πειραματόζωων έδειξαν ελάχιστη αντίδραση του ιστού . </w:t>
      </w:r>
      <w:proofErr w:type="spellStart"/>
      <w:r w:rsidRPr="00713BE1">
        <w:rPr>
          <w:color w:val="212121"/>
          <w:szCs w:val="22"/>
        </w:rPr>
        <w:t>Ενδο</w:t>
      </w:r>
      <w:proofErr w:type="spellEnd"/>
      <w:r w:rsidRPr="00713BE1">
        <w:rPr>
          <w:color w:val="212121"/>
          <w:szCs w:val="22"/>
        </w:rPr>
        <w:t>-αρτηριακή ένεση σε ζώα δεν προκάλεσε τοπικές επιδράσεις ιστού.</w:t>
      </w:r>
    </w:p>
    <w:p w:rsidR="008F0C25" w:rsidRPr="00713BE1" w:rsidRDefault="008F0C25" w:rsidP="008F0C25">
      <w:pPr>
        <w:autoSpaceDE w:val="0"/>
        <w:autoSpaceDN w:val="0"/>
        <w:adjustRightInd w:val="0"/>
        <w:jc w:val="both"/>
        <w:rPr>
          <w:noProof/>
          <w:szCs w:val="22"/>
          <w:u w:val="single"/>
        </w:rPr>
      </w:pPr>
    </w:p>
    <w:p w:rsidR="008F0C25" w:rsidRPr="00713BE1" w:rsidRDefault="008F0C25" w:rsidP="008F0C25">
      <w:pPr>
        <w:autoSpaceDE w:val="0"/>
        <w:autoSpaceDN w:val="0"/>
        <w:adjustRightInd w:val="0"/>
        <w:jc w:val="both"/>
        <w:rPr>
          <w:szCs w:val="22"/>
          <w:u w:val="single"/>
        </w:rPr>
      </w:pPr>
      <w:r w:rsidRPr="00713BE1">
        <w:rPr>
          <w:noProof/>
          <w:szCs w:val="22"/>
          <w:u w:val="single"/>
        </w:rPr>
        <w:t>Αναφορά πιθανολογούμενων ανεπιθύμητων ενεργειών</w:t>
      </w:r>
    </w:p>
    <w:p w:rsidR="008F0C25" w:rsidRPr="00713BE1" w:rsidRDefault="008F0C25" w:rsidP="008F0C25">
      <w:pPr>
        <w:rPr>
          <w:szCs w:val="22"/>
        </w:rPr>
      </w:pPr>
      <w:r w:rsidRPr="00713BE1">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713BE1">
        <w:rPr>
          <w:noProof/>
          <w:szCs w:val="22"/>
        </w:rPr>
        <w:t>.</w:t>
      </w:r>
      <w:r w:rsidRPr="00713BE1">
        <w:rPr>
          <w:szCs w:val="22"/>
        </w:rPr>
        <w:t xml:space="preserve"> Επιτρέπει τη συνεχή παρακολούθηση της σχέσης οφέλους-κινδύνου του φαρμακευτικού προϊόντος</w:t>
      </w:r>
      <w:r w:rsidRPr="00713BE1">
        <w:rPr>
          <w:noProof/>
          <w:szCs w:val="22"/>
        </w:rPr>
        <w:t>.</w:t>
      </w:r>
      <w:r w:rsidRPr="00713BE1">
        <w:rPr>
          <w:szCs w:val="22"/>
        </w:rPr>
        <w:t xml:space="preserve"> Ζητείται από τους επαγγελματίες υγείας να αναφέρουν οποιεσδήποτε πιθανολογούμενες ανεπιθύμητες ενέργειες </w:t>
      </w:r>
    </w:p>
    <w:p w:rsidR="008F0C25" w:rsidRPr="00713BE1" w:rsidRDefault="008F0C25" w:rsidP="008F0C25">
      <w:pPr>
        <w:widowControl/>
        <w:rPr>
          <w:szCs w:val="22"/>
        </w:rPr>
      </w:pPr>
      <w:r w:rsidRPr="00713BE1">
        <w:rPr>
          <w:b/>
          <w:szCs w:val="22"/>
        </w:rPr>
        <w:t>Για την Ελλάδα:</w:t>
      </w:r>
      <w:r w:rsidRPr="00713BE1">
        <w:rPr>
          <w:szCs w:val="22"/>
        </w:rPr>
        <w:t xml:space="preserve"> μέσω του Εθνικού Οργανισμού Φαρμάκων, Μεσογείων 284 ΤΚ 15562 Χολαργός, Αθήνα, </w:t>
      </w:r>
      <w:proofErr w:type="spellStart"/>
      <w:r w:rsidRPr="00713BE1">
        <w:rPr>
          <w:szCs w:val="22"/>
        </w:rPr>
        <w:t>Τηλ</w:t>
      </w:r>
      <w:proofErr w:type="spellEnd"/>
      <w:r w:rsidRPr="00713BE1">
        <w:rPr>
          <w:szCs w:val="22"/>
        </w:rPr>
        <w:t xml:space="preserve">: + 30 21 32040380/337, Φαξ: + 30 21 06549585, </w:t>
      </w:r>
      <w:proofErr w:type="spellStart"/>
      <w:r w:rsidRPr="00713BE1">
        <w:rPr>
          <w:szCs w:val="22"/>
        </w:rPr>
        <w:t>Ιστότοπος</w:t>
      </w:r>
      <w:proofErr w:type="spellEnd"/>
      <w:r w:rsidRPr="00713BE1">
        <w:rPr>
          <w:szCs w:val="22"/>
        </w:rPr>
        <w:t xml:space="preserve">: </w:t>
      </w:r>
      <w:hyperlink r:id="rId6" w:history="1">
        <w:r w:rsidRPr="00713BE1">
          <w:rPr>
            <w:color w:val="0000FF"/>
            <w:szCs w:val="22"/>
            <w:u w:val="single"/>
          </w:rPr>
          <w:t>http://www.eof.gr</w:t>
        </w:r>
      </w:hyperlink>
      <w:r w:rsidRPr="00713BE1">
        <w:rPr>
          <w:szCs w:val="22"/>
        </w:rPr>
        <w:t xml:space="preserve">. </w:t>
      </w:r>
    </w:p>
    <w:p w:rsidR="008F0C25" w:rsidRPr="00713BE1" w:rsidRDefault="008F0C25" w:rsidP="008F0C25">
      <w:pPr>
        <w:widowControl/>
        <w:rPr>
          <w:szCs w:val="22"/>
        </w:rPr>
      </w:pPr>
      <w:r w:rsidRPr="00713BE1">
        <w:rPr>
          <w:b/>
          <w:szCs w:val="22"/>
        </w:rPr>
        <w:t>Για την Κύπρο:</w:t>
      </w:r>
      <w:r w:rsidRPr="00713BE1">
        <w:rPr>
          <w:szCs w:val="22"/>
        </w:rPr>
        <w:t xml:space="preserve"> μέσω του εθνικού συστήματος αναφοράς που αναγράφεται στις Φαρμακευτικές Υπηρεσίες, Υπουργείο Υγείας, CY-1475 Λευκωσία, Φαξ: + 357 22608649,</w:t>
      </w:r>
    </w:p>
    <w:p w:rsidR="008F0C25" w:rsidRPr="00713BE1" w:rsidRDefault="008F0C25" w:rsidP="008F0C25">
      <w:pPr>
        <w:widowControl/>
        <w:rPr>
          <w:szCs w:val="22"/>
        </w:rPr>
      </w:pPr>
      <w:proofErr w:type="spellStart"/>
      <w:r w:rsidRPr="00713BE1">
        <w:rPr>
          <w:szCs w:val="22"/>
        </w:rPr>
        <w:t>Ιστότοπος</w:t>
      </w:r>
      <w:proofErr w:type="spellEnd"/>
      <w:r w:rsidRPr="00713BE1">
        <w:rPr>
          <w:szCs w:val="22"/>
        </w:rPr>
        <w:t xml:space="preserve">: </w:t>
      </w:r>
      <w:hyperlink r:id="rId7" w:history="1">
        <w:r w:rsidRPr="00713BE1">
          <w:rPr>
            <w:color w:val="0000FF"/>
            <w:szCs w:val="22"/>
            <w:u w:val="single"/>
          </w:rPr>
          <w:t>www.moh.gov.cy/phs</w:t>
        </w:r>
      </w:hyperlink>
      <w:r w:rsidRPr="00713BE1">
        <w:rPr>
          <w:szCs w:val="22"/>
        </w:rPr>
        <w:t xml:space="preserve">. </w:t>
      </w:r>
    </w:p>
    <w:p w:rsidR="008F0C25" w:rsidRPr="00713BE1" w:rsidRDefault="008F0C25" w:rsidP="008F0C25">
      <w:pPr>
        <w:autoSpaceDE w:val="0"/>
        <w:autoSpaceDN w:val="0"/>
        <w:adjustRightInd w:val="0"/>
        <w:jc w:val="both"/>
        <w:rPr>
          <w:szCs w:val="22"/>
        </w:rPr>
      </w:pPr>
      <w:r w:rsidRPr="00713BE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F0C25" w:rsidRPr="00713BE1" w:rsidRDefault="008F0C25" w:rsidP="008F0C25">
      <w:pPr>
        <w:rPr>
          <w:i/>
          <w:noProof/>
          <w:szCs w:val="22"/>
        </w:rPr>
      </w:pPr>
    </w:p>
    <w:p w:rsidR="008F0C25" w:rsidRPr="00713BE1" w:rsidRDefault="008F0C25" w:rsidP="008F0C25">
      <w:pPr>
        <w:rPr>
          <w:szCs w:val="22"/>
        </w:rPr>
      </w:pPr>
      <w:r w:rsidRPr="00713BE1">
        <w:rPr>
          <w:b/>
          <w:szCs w:val="22"/>
        </w:rPr>
        <w:t>4.9</w:t>
      </w:r>
      <w:r w:rsidRPr="00713BE1">
        <w:rPr>
          <w:b/>
          <w:szCs w:val="22"/>
        </w:rPr>
        <w:tab/>
      </w:r>
      <w:proofErr w:type="spellStart"/>
      <w:r w:rsidRPr="00713BE1">
        <w:rPr>
          <w:b/>
          <w:szCs w:val="22"/>
        </w:rPr>
        <w:t>Υπερδοσολογία</w:t>
      </w:r>
      <w:proofErr w:type="spellEnd"/>
    </w:p>
    <w:p w:rsidR="008F0C25" w:rsidRPr="00713BE1" w:rsidRDefault="008F0C25" w:rsidP="008F0C25">
      <w:pPr>
        <w:rPr>
          <w:szCs w:val="22"/>
        </w:rPr>
      </w:pPr>
    </w:p>
    <w:p w:rsidR="008F0C25" w:rsidRPr="00713BE1" w:rsidRDefault="008F0C25" w:rsidP="008F0C25">
      <w:pPr>
        <w:rPr>
          <w:szCs w:val="22"/>
        </w:rPr>
      </w:pPr>
      <w:r w:rsidRPr="00713BE1">
        <w:rPr>
          <w:noProof/>
          <w:szCs w:val="22"/>
        </w:rPr>
        <w:t>Τυχαία υπερδοσολογία πιθανόν να προκαλέσει καρδιοαναπνευστική καταστολή. Η αναπνευστική καταστολή πρέπει να αντιμετωπισθεί με τεχνητό αερισμό με οξυγόνο. Η καρδιαγγειακή καταστολή απαιτεί την παραμονή του ασθενή σε ύπτια θέση με το κεφάλι χαμηλότερα και σε σοβαρές περιπτώσεις να χρησιμοποιούνται υποκατάστατα πλάσματος και υπερτασικά φάρμακα.</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5.</w:t>
      </w:r>
      <w:r w:rsidRPr="00713BE1">
        <w:rPr>
          <w:b/>
          <w:szCs w:val="22"/>
        </w:rPr>
        <w:tab/>
        <w:t>ΦΑΡΜΑΚΟΛΟΓΙΚΕΣ ΙΔΙΟΤΗΤΕΣ</w:t>
      </w:r>
    </w:p>
    <w:p w:rsidR="008F0C25" w:rsidRPr="00713BE1" w:rsidRDefault="008F0C25" w:rsidP="008F0C25">
      <w:pPr>
        <w:rPr>
          <w:szCs w:val="22"/>
        </w:rPr>
      </w:pPr>
    </w:p>
    <w:p w:rsidR="008F0C25" w:rsidRPr="00713BE1" w:rsidRDefault="008F0C25" w:rsidP="008F0C25">
      <w:pPr>
        <w:rPr>
          <w:szCs w:val="22"/>
        </w:rPr>
      </w:pPr>
      <w:r w:rsidRPr="00713BE1">
        <w:rPr>
          <w:b/>
          <w:szCs w:val="22"/>
        </w:rPr>
        <w:t>5.1</w:t>
      </w:r>
      <w:r w:rsidRPr="00713BE1">
        <w:rPr>
          <w:b/>
          <w:szCs w:val="22"/>
        </w:rPr>
        <w:tab/>
        <w:t>Φαρμακοδυναμικές ιδιότητες</w:t>
      </w:r>
    </w:p>
    <w:p w:rsidR="008F0C25" w:rsidRPr="00713BE1" w:rsidRDefault="008F0C25" w:rsidP="008F0C25">
      <w:pPr>
        <w:rPr>
          <w:szCs w:val="22"/>
        </w:rPr>
      </w:pPr>
    </w:p>
    <w:p w:rsidR="008F0C25" w:rsidRPr="00713BE1" w:rsidRDefault="008F0C25" w:rsidP="008F0C25">
      <w:pPr>
        <w:rPr>
          <w:szCs w:val="22"/>
        </w:rPr>
      </w:pPr>
      <w:proofErr w:type="spellStart"/>
      <w:r w:rsidRPr="00713BE1">
        <w:rPr>
          <w:szCs w:val="22"/>
        </w:rPr>
        <w:t>Φαρμακοθεραπευτική</w:t>
      </w:r>
      <w:proofErr w:type="spellEnd"/>
      <w:r w:rsidRPr="00713BE1">
        <w:rPr>
          <w:szCs w:val="22"/>
        </w:rPr>
        <w:t xml:space="preserve"> κατηγορία: Άλλα γενικά αναισθητικά, κωδικός ATC: Ν01ΑΧ10</w:t>
      </w:r>
    </w:p>
    <w:p w:rsidR="008F0C25" w:rsidRPr="00713BE1" w:rsidRDefault="008F0C25" w:rsidP="008F0C25">
      <w:pPr>
        <w:rPr>
          <w:szCs w:val="22"/>
        </w:rPr>
      </w:pPr>
    </w:p>
    <w:p w:rsidR="008F0C25" w:rsidRPr="00713BE1" w:rsidRDefault="008F0C25" w:rsidP="008F0C25">
      <w:pPr>
        <w:rPr>
          <w:b/>
          <w:noProof/>
          <w:szCs w:val="22"/>
        </w:rPr>
      </w:pPr>
      <w:r w:rsidRPr="00713BE1">
        <w:rPr>
          <w:b/>
          <w:noProof/>
          <w:szCs w:val="22"/>
        </w:rPr>
        <w:t>Μηχανισμός δράσης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H προποφόλη (2,6-diisopropylphenol) είναι ένα γενικό αναισθητικό βραχείας δράσης που χαρακτηρίζεται από ταχεία έναρξη δράσης, περίπου 30 δευτερολέπτων. Η ανάνηψη από την αναισθησία είναι συνήθως ταχεία. Ο μηχανισμός δράσης, όπως συμβαίνει με όλα τα γενικά αναισθητικά, είναι σε μικρό βαθμό κατανοητός. Ωστόσο, η προποφόλη πιστεύεται ότι προκαλεί τις ηρεμιστικές / αναισθητικές επιδράσεις της μέσω της θετικής ρύθμισης της ανασταλτικής λειτουργίας του νευροδιαβιβαστή γ-αμινοβουτυρικού οξέος (GABA) στους διάυλους των GABA</w:t>
      </w:r>
      <w:r w:rsidRPr="00713BE1">
        <w:rPr>
          <w:noProof/>
          <w:szCs w:val="22"/>
          <w:vertAlign w:val="subscript"/>
        </w:rPr>
        <w:t>A</w:t>
      </w:r>
      <w:r w:rsidRPr="00713BE1">
        <w:rPr>
          <w:noProof/>
          <w:szCs w:val="22"/>
        </w:rPr>
        <w:t xml:space="preserve"> υποδοχέων που ελέγχονται από τον προσδέτη.</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Φαρμακοδυναμικές επιδράσεις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Γενικά, κατά τη χορήγηση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για εισαγωγή και διατήρηση της αναισθησίας παρατηρείται πτώση της μέσης αρτηριακής πίεσης και μικρές αλλαγές στον καρδιακό ρυθμό. </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Ωστόσο, οι αιμοδυναμικές παράμετροι συνήθως παραμένουν σχετικά σταθερές κατά τη διάρκεια της διατήρησης της αναισθησίας και η συχνότητα εμφάνισης δυσάρεστων αιμοδυναμικών αλλαγών είναι μικρή.</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Παρόλο που μετά τη χορήγηση του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μπορεί να παρατηρηθεί αναπνευστική καταστολή, οι επιδράσεις είναι ποιοτικά παρόμοιες με αυτές των άλλων ενδοφλέβιων αναισθητικών και αντιμετωπίζονται εύκολα με την συνήθη κλινική πρακτική.</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ελαττώνει την εγκεφαλική  ροή του αίματος, την ενδοκρανιακή πίεση και τον εγκεφαλικό μεταβολισμό. Η ελάττωση της ενδοκρανιακής πίεσης είναι μεγαλύτερη σε ασθενείς με προϋπάρχουσα αυξημένη ενδοκρανιακή πίεση.</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Κλινική αποτελεσματικότητα και ασφάλεια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Η ανάνηψη από την αναισθησία είναι συνήθως ταχεία και χαρακτηρίζεται από πνευματική διαύγεια, με μικρή συχνότητα εμφάνισης πονοκεφάλου και μετεγχειρητικής ναυτίας και εμέτου.</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Γενικά, η συχνότητα εμφάνισης μετεγχειρητικής ναυτίας και εμέτου που επακολουθεί μετά από αναισθησία με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είναι μικρότερη από ότι μετά από χρήση εισπνεόμενων παραγόντων. Υπάρχουν στοιχεία ότι αυτό μπορεί να οφείλεται σε ένα μειωμένο εμμετικό δυναμικό της προποφόλης.</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στις συγκεντρώσεις που είναι πιθανό να επιτευχθούν κλινικά δεν αναστέλλει τη σύνθεση των ορμονών του φλοιού των επινεφριδίων.</w:t>
      </w:r>
    </w:p>
    <w:p w:rsidR="008F0C25" w:rsidRPr="00713BE1" w:rsidRDefault="008F0C25" w:rsidP="008F0C25">
      <w:pPr>
        <w:rPr>
          <w:noProof/>
          <w:szCs w:val="22"/>
        </w:rPr>
      </w:pPr>
    </w:p>
    <w:p w:rsidR="008F0C25" w:rsidRPr="00713BE1" w:rsidRDefault="008F0C25" w:rsidP="008F0C25">
      <w:pPr>
        <w:rPr>
          <w:b/>
          <w:noProof/>
          <w:szCs w:val="22"/>
        </w:rPr>
      </w:pPr>
      <w:r w:rsidRPr="00713BE1">
        <w:rPr>
          <w:b/>
          <w:noProof/>
          <w:szCs w:val="22"/>
        </w:rPr>
        <w:t>Παιδιατρικός πληθυσμός</w:t>
      </w:r>
    </w:p>
    <w:p w:rsidR="008F0C25" w:rsidRPr="00713BE1" w:rsidRDefault="008F0C25" w:rsidP="008F0C25">
      <w:pPr>
        <w:rPr>
          <w:b/>
          <w:noProof/>
          <w:szCs w:val="22"/>
        </w:rPr>
      </w:pPr>
    </w:p>
    <w:p w:rsidR="008F0C25" w:rsidRPr="00713BE1" w:rsidRDefault="008F0C25" w:rsidP="008F0C25">
      <w:pPr>
        <w:rPr>
          <w:noProof/>
          <w:szCs w:val="22"/>
        </w:rPr>
      </w:pPr>
      <w:r w:rsidRPr="00713BE1">
        <w:rPr>
          <w:noProof/>
          <w:szCs w:val="22"/>
        </w:rPr>
        <w:t>Περιορισμένης έκτασης μελέτες σχετικά με τη διάρκεια της αναισθησίας με βάση την προποφόλη σε παιδιά, υποδηλώνουν ότι η ασφάλεια και η αποτελεσματικότητα παραμένουν αμετάβλητες έως τις 4 ώρες.</w:t>
      </w:r>
      <w:r w:rsidRPr="00713BE1">
        <w:rPr>
          <w:szCs w:val="22"/>
        </w:rPr>
        <w:t xml:space="preserve"> </w:t>
      </w:r>
      <w:r w:rsidRPr="00713BE1">
        <w:rPr>
          <w:noProof/>
          <w:szCs w:val="22"/>
        </w:rPr>
        <w:t>Οι βιβλιογραφικές αναφορές της χρήσης της σε παιδιά επιβεβαιώνουν την αποτελεσματικότητα και την ασφάλειά της σε παρατεταμένες επεμβάσεις.</w:t>
      </w:r>
    </w:p>
    <w:p w:rsidR="008F0C25" w:rsidRPr="00713BE1" w:rsidRDefault="008F0C25" w:rsidP="008F0C25">
      <w:pPr>
        <w:rPr>
          <w:szCs w:val="22"/>
        </w:rPr>
      </w:pPr>
    </w:p>
    <w:p w:rsidR="008F0C25" w:rsidRPr="00713BE1" w:rsidRDefault="008F0C25" w:rsidP="008F0C25">
      <w:pPr>
        <w:rPr>
          <w:b/>
          <w:szCs w:val="22"/>
        </w:rPr>
      </w:pPr>
      <w:r w:rsidRPr="00713BE1">
        <w:rPr>
          <w:b/>
          <w:szCs w:val="22"/>
        </w:rPr>
        <w:t>5.2</w:t>
      </w:r>
      <w:r w:rsidRPr="00713BE1">
        <w:rPr>
          <w:b/>
          <w:szCs w:val="22"/>
        </w:rPr>
        <w:tab/>
      </w:r>
      <w:proofErr w:type="spellStart"/>
      <w:r w:rsidRPr="00713BE1">
        <w:rPr>
          <w:b/>
          <w:szCs w:val="22"/>
        </w:rPr>
        <w:t>Φαρμακοκινητικές</w:t>
      </w:r>
      <w:proofErr w:type="spellEnd"/>
      <w:r w:rsidRPr="00713BE1">
        <w:rPr>
          <w:b/>
          <w:szCs w:val="22"/>
        </w:rPr>
        <w:t xml:space="preserve"> ιδιότητες</w:t>
      </w:r>
    </w:p>
    <w:p w:rsidR="008F0C25" w:rsidRPr="00713BE1" w:rsidRDefault="008F0C25" w:rsidP="008F0C25">
      <w:pPr>
        <w:rPr>
          <w:szCs w:val="22"/>
        </w:rPr>
      </w:pPr>
    </w:p>
    <w:p w:rsidR="008F0C25" w:rsidRPr="00713BE1" w:rsidRDefault="008F0C25" w:rsidP="008F0C25">
      <w:pPr>
        <w:rPr>
          <w:noProof/>
          <w:szCs w:val="22"/>
          <w:u w:val="single"/>
        </w:rPr>
      </w:pPr>
      <w:r w:rsidRPr="00713BE1">
        <w:rPr>
          <w:noProof/>
          <w:szCs w:val="22"/>
          <w:u w:val="single"/>
        </w:rPr>
        <w:t>Απορρόφηση</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Όταν το </w:t>
      </w:r>
      <w:r w:rsidRPr="00713BE1">
        <w:rPr>
          <w:noProof/>
          <w:szCs w:val="22"/>
          <w:lang w:val="en-US"/>
        </w:rPr>
        <w:t>HIREMON</w:t>
      </w:r>
      <w:r w:rsidRPr="00713BE1">
        <w:rPr>
          <w:noProof/>
          <w:szCs w:val="22"/>
        </w:rPr>
        <w:t xml:space="preserve"> </w:t>
      </w:r>
      <w:r>
        <w:rPr>
          <w:noProof/>
          <w:szCs w:val="22"/>
        </w:rPr>
        <w:t>20 mg/mL</w:t>
      </w:r>
      <w:r w:rsidRPr="00713BE1">
        <w:rPr>
          <w:noProof/>
          <w:szCs w:val="22"/>
        </w:rPr>
        <w:t xml:space="preserve"> χρησιμοποιείται για τη διατήρηση της αναισθησίας, οι συγκεντρώσεις στο αίμα προσεγγίζουν ασυμπτωτικά την τιμή της σταθερής κατάστασης για τον δεδομένο ρυθμό χορήγησης.</w:t>
      </w:r>
    </w:p>
    <w:p w:rsidR="008F0C25" w:rsidRPr="00713BE1" w:rsidRDefault="008F0C25" w:rsidP="008F0C25">
      <w:pPr>
        <w:rPr>
          <w:noProof/>
          <w:szCs w:val="22"/>
        </w:rPr>
      </w:pPr>
    </w:p>
    <w:p w:rsidR="008F0C25" w:rsidRPr="00713BE1" w:rsidRDefault="008F0C25" w:rsidP="008F0C25">
      <w:pPr>
        <w:rPr>
          <w:noProof/>
          <w:szCs w:val="22"/>
          <w:u w:val="single"/>
        </w:rPr>
      </w:pPr>
      <w:r w:rsidRPr="00713BE1">
        <w:rPr>
          <w:noProof/>
          <w:szCs w:val="22"/>
          <w:u w:val="single"/>
        </w:rPr>
        <w:t>Κατανομή</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Η προποφόλη κατανέμεται ευρέως και απομακρύνεται γρήγορα από το σώμα (ολική σωματική κάθαρση 1,5-2 λίτρα/λεπτό).</w:t>
      </w:r>
    </w:p>
    <w:p w:rsidR="008F0C25" w:rsidRPr="00713BE1" w:rsidRDefault="008F0C25" w:rsidP="008F0C25">
      <w:pPr>
        <w:rPr>
          <w:noProof/>
          <w:szCs w:val="22"/>
        </w:rPr>
      </w:pPr>
    </w:p>
    <w:p w:rsidR="008F0C25" w:rsidRPr="00713BE1" w:rsidRDefault="008F0C25" w:rsidP="008F0C25">
      <w:pPr>
        <w:rPr>
          <w:noProof/>
          <w:szCs w:val="22"/>
          <w:u w:val="single"/>
        </w:rPr>
      </w:pPr>
      <w:r w:rsidRPr="00713BE1">
        <w:rPr>
          <w:noProof/>
          <w:szCs w:val="22"/>
          <w:u w:val="single"/>
        </w:rPr>
        <w:t>Αποβολή</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lastRenderedPageBreak/>
        <w:t>Η ελάττωση των συγκεντρώσεων της προποφόλης που ακολουθεί μία εφάπαξ (</w:t>
      </w:r>
      <w:r w:rsidRPr="00713BE1">
        <w:rPr>
          <w:noProof/>
          <w:szCs w:val="22"/>
          <w:lang w:val="en-US"/>
        </w:rPr>
        <w:t>bolus</w:t>
      </w:r>
      <w:r w:rsidRPr="00713BE1">
        <w:rPr>
          <w:noProof/>
          <w:szCs w:val="22"/>
        </w:rPr>
        <w:t>) δόση ή μετά το τέλος μίας έγχυσης μπορεί να περιγραφεί από ένα ανοικτό τριδιαμερισματικό μοντέλο με πολύ ταχεία κατανομή (χρόνος ημιζωής 2 – 4 λεπτά), ταχεία αποβολή (χρόνος ημιζωής 30 – 60 λεπτά) και μία πιο αργή τελική φάση που αντιστοιχεί στην ανακατανομή της προποφόλης από τους ιστούς περιορισμένου διαποτισμού.</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Η κάθαρση πραγματοποιείται μέσω μεταβολικών διαδικασιών, κυρίως στο ήπαρ, όπου εξαρτάται από τη ροή του αίματος, ώστε να σχηματίστουν ανενεργά συζεύγματα προποφόλης και της αντίστοιχης κινόλης της, τα οποία απεκκρίνονται με τα ούρα.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Μετά από μία δόση 3 mg/kg ενδοφλεβίως, η κάθαρση της προποφόλης/kg βάρους σώματος αυξάνεται με την ηλικία ως εξής: Η μέση κάθαρση ήταν σημαντικά χαμηλότερη σε νεογνά μικρότερα του 1 μηνός (n=25) (20 m</w:t>
      </w:r>
      <w:r w:rsidRPr="00713BE1">
        <w:rPr>
          <w:noProof/>
          <w:szCs w:val="22"/>
          <w:lang w:val="en-US"/>
        </w:rPr>
        <w:t>L</w:t>
      </w:r>
      <w:r w:rsidRPr="00713BE1">
        <w:rPr>
          <w:noProof/>
          <w:szCs w:val="22"/>
        </w:rPr>
        <w:t>/min/</w:t>
      </w:r>
      <w:r>
        <w:rPr>
          <w:noProof/>
          <w:szCs w:val="22"/>
        </w:rPr>
        <w:t>kg</w:t>
      </w:r>
      <w:r w:rsidRPr="00713BE1">
        <w:rPr>
          <w:noProof/>
          <w:szCs w:val="22"/>
        </w:rPr>
        <w:t>) σε σύγκριση με μεγαλύτερα παιδιά (n=36, ηλικίας 4 μηνών έως 7 ετών). Επιπλέον η ατομική μεταβλητότητα ήταν σημαντική στα νεογνά (εύρος 3,7 – 78 m</w:t>
      </w:r>
      <w:r w:rsidRPr="00713BE1">
        <w:rPr>
          <w:noProof/>
          <w:szCs w:val="22"/>
          <w:lang w:val="en-US"/>
        </w:rPr>
        <w:t>L</w:t>
      </w:r>
      <w:r w:rsidRPr="00713BE1">
        <w:rPr>
          <w:noProof/>
          <w:szCs w:val="22"/>
        </w:rPr>
        <w:t>/min/kg). Λόγω των περιορισμένων πειραματικών δεδομένων που δείχνουν μεγάλη μεταβλητότητα, δεν μπορούν να δοθούν δοσολογικές συστάσεις γι’ αυτή την ηλικιακή ομάδα.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Η μέση κάθαρση προποφόλης σε μεγαλύτερα παιδιά μετά από μία εφάπαξ (</w:t>
      </w:r>
      <w:r w:rsidRPr="00713BE1">
        <w:rPr>
          <w:noProof/>
          <w:szCs w:val="22"/>
          <w:lang w:val="en-US"/>
        </w:rPr>
        <w:t>bolus</w:t>
      </w:r>
      <w:r w:rsidRPr="00713BE1">
        <w:rPr>
          <w:noProof/>
          <w:szCs w:val="22"/>
        </w:rPr>
        <w:t>) δόση 3</w:t>
      </w:r>
      <w:r>
        <w:rPr>
          <w:noProof/>
          <w:szCs w:val="22"/>
        </w:rPr>
        <w:t> </w:t>
      </w:r>
      <w:r w:rsidRPr="00713BE1">
        <w:rPr>
          <w:noProof/>
          <w:szCs w:val="22"/>
          <w:lang w:val="en-US"/>
        </w:rPr>
        <w:t>mg</w:t>
      </w:r>
      <w:r w:rsidRPr="00713BE1">
        <w:rPr>
          <w:noProof/>
          <w:szCs w:val="22"/>
        </w:rPr>
        <w:t>/</w:t>
      </w:r>
      <w:r w:rsidRPr="00713BE1">
        <w:rPr>
          <w:noProof/>
          <w:szCs w:val="22"/>
          <w:lang w:val="en-US"/>
        </w:rPr>
        <w:t>kg</w:t>
      </w:r>
      <w:r w:rsidRPr="00713BE1">
        <w:rPr>
          <w:noProof/>
          <w:szCs w:val="22"/>
        </w:rPr>
        <w:t xml:space="preserve"> ήταν 37,5 </w:t>
      </w:r>
      <w:r w:rsidRPr="00713BE1">
        <w:rPr>
          <w:noProof/>
          <w:szCs w:val="22"/>
          <w:lang w:val="en-US"/>
        </w:rPr>
        <w:t>mL</w:t>
      </w:r>
      <w:r w:rsidRPr="00713BE1">
        <w:rPr>
          <w:noProof/>
          <w:szCs w:val="22"/>
        </w:rPr>
        <w:t>/</w:t>
      </w:r>
      <w:r w:rsidRPr="00713BE1">
        <w:rPr>
          <w:noProof/>
          <w:szCs w:val="22"/>
          <w:lang w:val="en-US"/>
        </w:rPr>
        <w:t>min</w:t>
      </w:r>
      <w:r w:rsidRPr="00713BE1">
        <w:rPr>
          <w:noProof/>
          <w:szCs w:val="22"/>
        </w:rPr>
        <w:t>/</w:t>
      </w:r>
      <w:r w:rsidRPr="00713BE1">
        <w:rPr>
          <w:noProof/>
          <w:szCs w:val="22"/>
          <w:lang w:val="en-US"/>
        </w:rPr>
        <w:t>kg</w:t>
      </w:r>
      <w:r>
        <w:rPr>
          <w:noProof/>
          <w:szCs w:val="22"/>
        </w:rPr>
        <w:t>)</w:t>
      </w:r>
      <w:r w:rsidRPr="00713BE1">
        <w:rPr>
          <w:noProof/>
          <w:szCs w:val="22"/>
        </w:rPr>
        <w:t xml:space="preserve"> (4 – 24 μηνών) (</w:t>
      </w:r>
      <w:r w:rsidRPr="00713BE1">
        <w:rPr>
          <w:noProof/>
          <w:szCs w:val="22"/>
          <w:lang w:val="en-US"/>
        </w:rPr>
        <w:t>n</w:t>
      </w:r>
      <w:r w:rsidRPr="00713BE1">
        <w:rPr>
          <w:noProof/>
          <w:szCs w:val="22"/>
        </w:rPr>
        <w:t xml:space="preserve">=8), 38,7 </w:t>
      </w:r>
      <w:r w:rsidRPr="00713BE1">
        <w:rPr>
          <w:noProof/>
          <w:szCs w:val="22"/>
          <w:lang w:val="en-US"/>
        </w:rPr>
        <w:t>mL</w:t>
      </w:r>
      <w:r w:rsidRPr="00713BE1">
        <w:rPr>
          <w:noProof/>
          <w:szCs w:val="22"/>
        </w:rPr>
        <w:t>/</w:t>
      </w:r>
      <w:r w:rsidRPr="00713BE1">
        <w:rPr>
          <w:noProof/>
          <w:szCs w:val="22"/>
          <w:lang w:val="en-US"/>
        </w:rPr>
        <w:t>min</w:t>
      </w:r>
      <w:r w:rsidRPr="00713BE1">
        <w:rPr>
          <w:noProof/>
          <w:szCs w:val="22"/>
        </w:rPr>
        <w:t>/</w:t>
      </w:r>
      <w:r w:rsidRPr="00713BE1">
        <w:rPr>
          <w:noProof/>
          <w:szCs w:val="22"/>
          <w:lang w:val="en-US"/>
        </w:rPr>
        <w:t>kg</w:t>
      </w:r>
      <w:r w:rsidRPr="00713BE1">
        <w:rPr>
          <w:noProof/>
          <w:szCs w:val="22"/>
        </w:rPr>
        <w:t xml:space="preserve"> (11 – 43 μηνών) (</w:t>
      </w:r>
      <w:r w:rsidRPr="00713BE1">
        <w:rPr>
          <w:noProof/>
          <w:szCs w:val="22"/>
          <w:lang w:val="en-US"/>
        </w:rPr>
        <w:t>n</w:t>
      </w:r>
      <w:r w:rsidRPr="00713BE1">
        <w:rPr>
          <w:noProof/>
          <w:szCs w:val="22"/>
        </w:rPr>
        <w:t xml:space="preserve">=6), 48 </w:t>
      </w:r>
      <w:r w:rsidRPr="00713BE1">
        <w:rPr>
          <w:noProof/>
          <w:szCs w:val="22"/>
          <w:lang w:val="en-US"/>
        </w:rPr>
        <w:t>mL</w:t>
      </w:r>
      <w:r w:rsidRPr="00713BE1">
        <w:rPr>
          <w:noProof/>
          <w:szCs w:val="22"/>
        </w:rPr>
        <w:t>/</w:t>
      </w:r>
      <w:r w:rsidRPr="00713BE1">
        <w:rPr>
          <w:noProof/>
          <w:szCs w:val="22"/>
          <w:lang w:val="en-US"/>
        </w:rPr>
        <w:t>min</w:t>
      </w:r>
      <w:r w:rsidRPr="00713BE1">
        <w:rPr>
          <w:noProof/>
          <w:szCs w:val="22"/>
        </w:rPr>
        <w:t>/</w:t>
      </w:r>
      <w:r w:rsidRPr="00713BE1">
        <w:rPr>
          <w:noProof/>
          <w:szCs w:val="22"/>
          <w:lang w:val="en-US"/>
        </w:rPr>
        <w:t>kg</w:t>
      </w:r>
      <w:r w:rsidRPr="00713BE1">
        <w:rPr>
          <w:noProof/>
          <w:szCs w:val="22"/>
        </w:rPr>
        <w:t xml:space="preserve"> (1 – 3 ετών) (</w:t>
      </w:r>
      <w:r w:rsidRPr="00713BE1">
        <w:rPr>
          <w:noProof/>
          <w:szCs w:val="22"/>
          <w:lang w:val="en-US"/>
        </w:rPr>
        <w:t>n</w:t>
      </w:r>
      <w:r w:rsidRPr="00713BE1">
        <w:rPr>
          <w:noProof/>
          <w:szCs w:val="22"/>
        </w:rPr>
        <w:t xml:space="preserve">=12), 28,2 </w:t>
      </w:r>
      <w:r w:rsidRPr="00713BE1">
        <w:rPr>
          <w:noProof/>
          <w:szCs w:val="22"/>
          <w:lang w:val="en-US"/>
        </w:rPr>
        <w:t>mL</w:t>
      </w:r>
      <w:r w:rsidRPr="00713BE1">
        <w:rPr>
          <w:noProof/>
          <w:szCs w:val="22"/>
        </w:rPr>
        <w:t>/</w:t>
      </w:r>
      <w:r w:rsidRPr="00713BE1">
        <w:rPr>
          <w:noProof/>
          <w:szCs w:val="22"/>
          <w:lang w:val="en-US"/>
        </w:rPr>
        <w:t>min</w:t>
      </w:r>
      <w:r w:rsidRPr="00713BE1">
        <w:rPr>
          <w:noProof/>
          <w:szCs w:val="22"/>
        </w:rPr>
        <w:t>/</w:t>
      </w:r>
      <w:r w:rsidRPr="00713BE1">
        <w:rPr>
          <w:noProof/>
          <w:szCs w:val="22"/>
          <w:lang w:val="en-US"/>
        </w:rPr>
        <w:t>kg</w:t>
      </w:r>
      <w:r w:rsidRPr="00713BE1">
        <w:rPr>
          <w:noProof/>
          <w:szCs w:val="22"/>
        </w:rPr>
        <w:t xml:space="preserve"> (4 – 7 ετών) (</w:t>
      </w:r>
      <w:r w:rsidRPr="00713BE1">
        <w:rPr>
          <w:noProof/>
          <w:szCs w:val="22"/>
          <w:lang w:val="en-US"/>
        </w:rPr>
        <w:t>n</w:t>
      </w:r>
      <w:r w:rsidRPr="00713BE1">
        <w:rPr>
          <w:noProof/>
          <w:szCs w:val="22"/>
        </w:rPr>
        <w:t xml:space="preserve">=10) σε σύγκριση με 23,6 </w:t>
      </w:r>
      <w:r w:rsidRPr="00713BE1">
        <w:rPr>
          <w:noProof/>
          <w:szCs w:val="22"/>
          <w:lang w:val="en-US"/>
        </w:rPr>
        <w:t>mL</w:t>
      </w:r>
      <w:r w:rsidRPr="00713BE1">
        <w:rPr>
          <w:noProof/>
          <w:szCs w:val="22"/>
        </w:rPr>
        <w:t>/</w:t>
      </w:r>
      <w:r w:rsidRPr="00713BE1">
        <w:rPr>
          <w:noProof/>
          <w:szCs w:val="22"/>
          <w:lang w:val="en-US"/>
        </w:rPr>
        <w:t>min</w:t>
      </w:r>
      <w:r w:rsidRPr="00713BE1">
        <w:rPr>
          <w:noProof/>
          <w:szCs w:val="22"/>
        </w:rPr>
        <w:t>/</w:t>
      </w:r>
      <w:r w:rsidRPr="00713BE1">
        <w:rPr>
          <w:noProof/>
          <w:szCs w:val="22"/>
          <w:lang w:val="en-US"/>
        </w:rPr>
        <w:t>kg</w:t>
      </w:r>
      <w:r w:rsidRPr="00713BE1">
        <w:rPr>
          <w:noProof/>
          <w:szCs w:val="22"/>
        </w:rPr>
        <w:t xml:space="preserve"> στους ενήλικες (</w:t>
      </w:r>
      <w:r w:rsidRPr="00713BE1">
        <w:rPr>
          <w:noProof/>
          <w:szCs w:val="22"/>
          <w:lang w:val="en-US"/>
        </w:rPr>
        <w:t>n</w:t>
      </w:r>
      <w:r w:rsidRPr="00713BE1">
        <w:rPr>
          <w:noProof/>
          <w:szCs w:val="22"/>
        </w:rPr>
        <w:t>=6).</w:t>
      </w:r>
    </w:p>
    <w:p w:rsidR="008F0C25" w:rsidRPr="00713BE1" w:rsidRDefault="008F0C25" w:rsidP="008F0C25">
      <w:pPr>
        <w:rPr>
          <w:noProof/>
          <w:szCs w:val="22"/>
        </w:rPr>
      </w:pPr>
    </w:p>
    <w:p w:rsidR="008F0C25" w:rsidRPr="00713BE1" w:rsidRDefault="008F0C25" w:rsidP="008F0C25">
      <w:pPr>
        <w:rPr>
          <w:noProof/>
          <w:szCs w:val="22"/>
          <w:u w:val="single"/>
        </w:rPr>
      </w:pPr>
      <w:r w:rsidRPr="00713BE1">
        <w:rPr>
          <w:noProof/>
          <w:szCs w:val="22"/>
          <w:u w:val="single"/>
        </w:rPr>
        <w:t>Γραμμικότητα</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 xml:space="preserve">Η φαρμακοκινητική έχει γραμμική σχέση προς το συνιστώμενο εύρος των ρυθμών έγχυσης του </w:t>
      </w:r>
      <w:r w:rsidRPr="00713BE1">
        <w:rPr>
          <w:noProof/>
          <w:szCs w:val="22"/>
          <w:lang w:val="en-US"/>
        </w:rPr>
        <w:t>HIREMON</w:t>
      </w:r>
      <w:r w:rsidRPr="00713BE1">
        <w:rPr>
          <w:noProof/>
          <w:szCs w:val="22"/>
        </w:rPr>
        <w:t xml:space="preserve"> </w:t>
      </w:r>
      <w:r>
        <w:rPr>
          <w:noProof/>
          <w:szCs w:val="22"/>
        </w:rPr>
        <w:t>20 mg/mL</w:t>
      </w:r>
      <w:r w:rsidRPr="00713BE1">
        <w:rPr>
          <w:noProof/>
          <w:szCs w:val="22"/>
        </w:rPr>
        <w:t>.</w:t>
      </w:r>
    </w:p>
    <w:p w:rsidR="008F0C25" w:rsidRPr="00713BE1" w:rsidRDefault="008F0C25" w:rsidP="008F0C25">
      <w:pPr>
        <w:rPr>
          <w:noProof/>
          <w:szCs w:val="22"/>
        </w:rPr>
      </w:pPr>
    </w:p>
    <w:p w:rsidR="008F0C25" w:rsidRPr="00713BE1" w:rsidRDefault="008F0C25" w:rsidP="008F0C25">
      <w:pPr>
        <w:rPr>
          <w:szCs w:val="22"/>
        </w:rPr>
      </w:pPr>
      <w:r w:rsidRPr="00713BE1">
        <w:rPr>
          <w:b/>
          <w:szCs w:val="22"/>
        </w:rPr>
        <w:t>5.3</w:t>
      </w:r>
      <w:r w:rsidRPr="00713BE1">
        <w:rPr>
          <w:b/>
          <w:szCs w:val="22"/>
        </w:rPr>
        <w:tab/>
      </w:r>
      <w:proofErr w:type="spellStart"/>
      <w:r w:rsidRPr="00713BE1">
        <w:rPr>
          <w:b/>
          <w:szCs w:val="22"/>
        </w:rPr>
        <w:t>Προκλινικά</w:t>
      </w:r>
      <w:proofErr w:type="spellEnd"/>
      <w:r w:rsidRPr="00713BE1">
        <w:rPr>
          <w:b/>
          <w:szCs w:val="22"/>
        </w:rPr>
        <w:t xml:space="preserve"> δεδομένα για την ασφάλεια</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Η </w:t>
      </w:r>
      <w:proofErr w:type="spellStart"/>
      <w:r w:rsidRPr="00713BE1">
        <w:rPr>
          <w:szCs w:val="22"/>
        </w:rPr>
        <w:t>προποφόλη</w:t>
      </w:r>
      <w:proofErr w:type="spellEnd"/>
      <w:r w:rsidRPr="00713BE1">
        <w:rPr>
          <w:szCs w:val="22"/>
        </w:rPr>
        <w:t xml:space="preserve"> είναι ένα φάρμακο για το οποίο έχει προκύψει εκτεταμένη κλινική εμπειρία. Όλες οι σχετικές πληροφορίες για τον </w:t>
      </w:r>
      <w:proofErr w:type="spellStart"/>
      <w:r w:rsidRPr="00713BE1">
        <w:rPr>
          <w:szCs w:val="22"/>
        </w:rPr>
        <w:t>συνταγογράφο</w:t>
      </w:r>
      <w:proofErr w:type="spellEnd"/>
      <w:r w:rsidRPr="00713BE1">
        <w:rPr>
          <w:szCs w:val="22"/>
        </w:rPr>
        <w:t xml:space="preserve"> παρέχονται αλλού σε αυτό το αρχείο.</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6.</w:t>
      </w:r>
      <w:r w:rsidRPr="00713BE1">
        <w:rPr>
          <w:b/>
          <w:szCs w:val="22"/>
        </w:rPr>
        <w:tab/>
        <w:t>ΦΑΡΜΑΚΕΥΤΙΚΕΣ ΠΛΗΡΟΦΟΡΙΕΣ</w:t>
      </w:r>
    </w:p>
    <w:p w:rsidR="008F0C25" w:rsidRPr="00713BE1" w:rsidRDefault="008F0C25" w:rsidP="008F0C25">
      <w:pPr>
        <w:pStyle w:val="a3"/>
        <w:tabs>
          <w:tab w:val="clear" w:pos="4153"/>
          <w:tab w:val="clear" w:pos="8306"/>
        </w:tabs>
        <w:rPr>
          <w:szCs w:val="22"/>
        </w:rPr>
      </w:pPr>
    </w:p>
    <w:p w:rsidR="008F0C25" w:rsidRPr="00713BE1" w:rsidRDefault="008F0C25" w:rsidP="008F0C25">
      <w:pPr>
        <w:rPr>
          <w:szCs w:val="22"/>
        </w:rPr>
      </w:pPr>
      <w:r w:rsidRPr="00713BE1">
        <w:rPr>
          <w:b/>
          <w:szCs w:val="22"/>
        </w:rPr>
        <w:t>6.1</w:t>
      </w:r>
      <w:r w:rsidRPr="00713BE1">
        <w:rPr>
          <w:b/>
          <w:szCs w:val="22"/>
        </w:rPr>
        <w:tab/>
        <w:t>Κατάλογος εκδόχων</w:t>
      </w:r>
    </w:p>
    <w:p w:rsidR="008F0C25" w:rsidRPr="00713BE1" w:rsidRDefault="008F0C25" w:rsidP="008F0C25">
      <w:pPr>
        <w:rPr>
          <w:szCs w:val="22"/>
        </w:rPr>
      </w:pPr>
    </w:p>
    <w:p w:rsidR="008F0C25" w:rsidRPr="00713BE1" w:rsidRDefault="008F0C25" w:rsidP="008F0C25">
      <w:pPr>
        <w:rPr>
          <w:noProof/>
          <w:szCs w:val="22"/>
        </w:rPr>
      </w:pPr>
      <w:r w:rsidRPr="00713BE1">
        <w:rPr>
          <w:noProof/>
          <w:szCs w:val="22"/>
        </w:rPr>
        <w:t>Γλυκερόλη,</w:t>
      </w:r>
    </w:p>
    <w:p w:rsidR="008F0C25" w:rsidRPr="00713BE1" w:rsidRDefault="008F0C25" w:rsidP="008F0C25">
      <w:pPr>
        <w:rPr>
          <w:noProof/>
          <w:szCs w:val="22"/>
        </w:rPr>
      </w:pPr>
      <w:r w:rsidRPr="00713BE1">
        <w:rPr>
          <w:noProof/>
          <w:szCs w:val="22"/>
        </w:rPr>
        <w:t>Φωσφολιπίδια αυγού,</w:t>
      </w:r>
    </w:p>
    <w:p w:rsidR="008F0C25" w:rsidRPr="00713BE1" w:rsidRDefault="008F0C25" w:rsidP="008F0C25">
      <w:pPr>
        <w:rPr>
          <w:noProof/>
          <w:szCs w:val="22"/>
        </w:rPr>
      </w:pPr>
      <w:r w:rsidRPr="00713BE1">
        <w:rPr>
          <w:noProof/>
          <w:szCs w:val="22"/>
        </w:rPr>
        <w:t>Υδροξείδιο Νατρίου,</w:t>
      </w:r>
    </w:p>
    <w:p w:rsidR="008F0C25" w:rsidRPr="00713BE1" w:rsidRDefault="008F0C25" w:rsidP="008F0C25">
      <w:pPr>
        <w:rPr>
          <w:noProof/>
          <w:szCs w:val="22"/>
        </w:rPr>
      </w:pPr>
      <w:r w:rsidRPr="00713BE1">
        <w:rPr>
          <w:noProof/>
          <w:szCs w:val="22"/>
        </w:rPr>
        <w:t>Έλαιο σόγιας,</w:t>
      </w:r>
    </w:p>
    <w:p w:rsidR="008F0C25" w:rsidRPr="00713BE1" w:rsidRDefault="008F0C25" w:rsidP="008F0C25">
      <w:pPr>
        <w:rPr>
          <w:noProof/>
          <w:szCs w:val="22"/>
        </w:rPr>
      </w:pPr>
      <w:r w:rsidRPr="00713BE1">
        <w:rPr>
          <w:noProof/>
          <w:szCs w:val="22"/>
        </w:rPr>
        <w:t>Ενέσιμο ύδωρ,</w:t>
      </w:r>
    </w:p>
    <w:p w:rsidR="008F0C25" w:rsidRPr="00713BE1" w:rsidRDefault="008F0C25" w:rsidP="008F0C25">
      <w:pPr>
        <w:rPr>
          <w:noProof/>
          <w:szCs w:val="22"/>
        </w:rPr>
      </w:pPr>
      <w:r w:rsidRPr="00713BE1">
        <w:rPr>
          <w:noProof/>
          <w:szCs w:val="22"/>
        </w:rPr>
        <w:t xml:space="preserve">Δινάτριο άλας του αιθυλενοδιάμινο τετραοξεϊκού οξέος, </w:t>
      </w:r>
    </w:p>
    <w:p w:rsidR="008F0C25" w:rsidRPr="00713BE1" w:rsidRDefault="008F0C25" w:rsidP="008F0C25">
      <w:pPr>
        <w:rPr>
          <w:szCs w:val="22"/>
        </w:rPr>
      </w:pPr>
    </w:p>
    <w:p w:rsidR="008F0C25" w:rsidRPr="00713BE1" w:rsidRDefault="008F0C25" w:rsidP="008F0C25">
      <w:pPr>
        <w:rPr>
          <w:szCs w:val="22"/>
        </w:rPr>
      </w:pPr>
      <w:r w:rsidRPr="00713BE1">
        <w:rPr>
          <w:b/>
          <w:szCs w:val="22"/>
        </w:rPr>
        <w:t>6.2</w:t>
      </w:r>
      <w:r w:rsidRPr="00713BE1">
        <w:rPr>
          <w:b/>
          <w:szCs w:val="22"/>
        </w:rPr>
        <w:tab/>
        <w:t>Ασυμβατότητες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πρέπει να αναμιγνύεται πριν την χορήγηση με ενέσιμα ή υγρά έγχυσης.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Ωστόσο,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μπορεί να </w:t>
      </w:r>
      <w:proofErr w:type="spellStart"/>
      <w:r w:rsidRPr="00713BE1">
        <w:rPr>
          <w:szCs w:val="22"/>
        </w:rPr>
        <w:t>συγχορηγηθεί</w:t>
      </w:r>
      <w:proofErr w:type="spellEnd"/>
      <w:r w:rsidRPr="00713BE1">
        <w:rPr>
          <w:szCs w:val="22"/>
        </w:rPr>
        <w:t xml:space="preserve"> μέσω συσκευής τύπου Υ κοντά στο σημείο της ένεσης με εγχύσεις των ακόλουθων:</w:t>
      </w:r>
    </w:p>
    <w:p w:rsidR="008F0C25" w:rsidRPr="00713BE1" w:rsidRDefault="008F0C25" w:rsidP="008F0C25">
      <w:pPr>
        <w:rPr>
          <w:szCs w:val="22"/>
        </w:rPr>
      </w:pPr>
    </w:p>
    <w:p w:rsidR="008F0C25" w:rsidRPr="00713BE1" w:rsidRDefault="008F0C25" w:rsidP="008F0C25">
      <w:pPr>
        <w:rPr>
          <w:szCs w:val="22"/>
        </w:rPr>
      </w:pPr>
      <w:r w:rsidRPr="00713BE1">
        <w:rPr>
          <w:szCs w:val="22"/>
        </w:rPr>
        <w:t>•</w:t>
      </w:r>
      <w:r w:rsidRPr="00713BE1">
        <w:rPr>
          <w:szCs w:val="22"/>
        </w:rPr>
        <w:tab/>
      </w:r>
      <w:proofErr w:type="spellStart"/>
      <w:r w:rsidRPr="00713BE1">
        <w:rPr>
          <w:szCs w:val="22"/>
        </w:rPr>
        <w:t>Δεξτρόζη</w:t>
      </w:r>
      <w:proofErr w:type="spellEnd"/>
      <w:r w:rsidRPr="00713BE1">
        <w:rPr>
          <w:szCs w:val="22"/>
        </w:rPr>
        <w:t xml:space="preserve"> 5%, Ενδοφλέβιας Έγχυσης Β.Ρ.</w:t>
      </w:r>
    </w:p>
    <w:p w:rsidR="008F0C25" w:rsidRPr="00713BE1" w:rsidRDefault="008F0C25" w:rsidP="008F0C25">
      <w:pPr>
        <w:rPr>
          <w:szCs w:val="22"/>
        </w:rPr>
      </w:pPr>
      <w:r w:rsidRPr="00713BE1">
        <w:rPr>
          <w:szCs w:val="22"/>
        </w:rPr>
        <w:t>•</w:t>
      </w:r>
      <w:r w:rsidRPr="00713BE1">
        <w:rPr>
          <w:szCs w:val="22"/>
        </w:rPr>
        <w:tab/>
        <w:t>Χλωριούχο Νάτριο  0,9% Β.Ρ.</w:t>
      </w:r>
    </w:p>
    <w:p w:rsidR="008F0C25" w:rsidRPr="008D4F9E" w:rsidRDefault="008F0C25" w:rsidP="008F0C25">
      <w:pPr>
        <w:rPr>
          <w:szCs w:val="22"/>
        </w:rPr>
      </w:pPr>
      <w:r w:rsidRPr="00713BE1">
        <w:rPr>
          <w:szCs w:val="22"/>
        </w:rPr>
        <w:lastRenderedPageBreak/>
        <w:t>•</w:t>
      </w:r>
      <w:r w:rsidRPr="00713BE1">
        <w:rPr>
          <w:szCs w:val="22"/>
        </w:rPr>
        <w:tab/>
      </w:r>
      <w:proofErr w:type="spellStart"/>
      <w:r w:rsidRPr="00713BE1">
        <w:rPr>
          <w:szCs w:val="22"/>
        </w:rPr>
        <w:t>Δεξτρόζη</w:t>
      </w:r>
      <w:proofErr w:type="spellEnd"/>
      <w:r w:rsidRPr="00713BE1">
        <w:rPr>
          <w:szCs w:val="22"/>
        </w:rPr>
        <w:t xml:space="preserve"> 4% με Χλωριούχο Νάτριο 0,18%, Ενδοφλέβιας Έγχυσης Β.Ρ.</w:t>
      </w:r>
    </w:p>
    <w:p w:rsidR="008F0C25" w:rsidRPr="008D4F9E" w:rsidRDefault="008F0C25" w:rsidP="008F0C25">
      <w:pPr>
        <w:rPr>
          <w:szCs w:val="22"/>
        </w:rPr>
      </w:pPr>
    </w:p>
    <w:p w:rsidR="008F0C25" w:rsidRPr="00713BE1" w:rsidRDefault="008F0C25" w:rsidP="008F0C25">
      <w:pPr>
        <w:rPr>
          <w:szCs w:val="22"/>
        </w:rPr>
      </w:pPr>
      <w:r w:rsidRPr="00713BE1">
        <w:rPr>
          <w:szCs w:val="22"/>
        </w:rPr>
        <w:t xml:space="preserve">Οι </w:t>
      </w:r>
      <w:proofErr w:type="spellStart"/>
      <w:r w:rsidRPr="00713BE1">
        <w:rPr>
          <w:szCs w:val="22"/>
        </w:rPr>
        <w:t>νευρομυϊκοί</w:t>
      </w:r>
      <w:proofErr w:type="spellEnd"/>
      <w:r w:rsidRPr="00713BE1">
        <w:rPr>
          <w:szCs w:val="22"/>
        </w:rPr>
        <w:t xml:space="preserve"> </w:t>
      </w:r>
      <w:proofErr w:type="spellStart"/>
      <w:r w:rsidRPr="00713BE1">
        <w:rPr>
          <w:szCs w:val="22"/>
        </w:rPr>
        <w:t>αποκλειστές</w:t>
      </w:r>
      <w:proofErr w:type="spellEnd"/>
      <w:r w:rsidRPr="00713BE1">
        <w:rPr>
          <w:szCs w:val="22"/>
        </w:rPr>
        <w:t xml:space="preserve"> </w:t>
      </w:r>
      <w:proofErr w:type="spellStart"/>
      <w:r w:rsidRPr="00713BE1">
        <w:rPr>
          <w:szCs w:val="22"/>
        </w:rPr>
        <w:t>ατρακούριο</w:t>
      </w:r>
      <w:proofErr w:type="spellEnd"/>
      <w:r w:rsidRPr="00713BE1">
        <w:rPr>
          <w:szCs w:val="22"/>
        </w:rPr>
        <w:t xml:space="preserve"> και </w:t>
      </w:r>
      <w:proofErr w:type="spellStart"/>
      <w:r w:rsidRPr="00713BE1">
        <w:rPr>
          <w:szCs w:val="22"/>
        </w:rPr>
        <w:t>μιβακούριο</w:t>
      </w:r>
      <w:proofErr w:type="spellEnd"/>
      <w:r w:rsidRPr="00713BE1">
        <w:rPr>
          <w:szCs w:val="22"/>
        </w:rPr>
        <w:t xml:space="preserve"> δεν πρέπει να χορηγούνται μέσω της ίδιας γραμμής ενδοφλέβιας παροχής με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εάν δεν προηγηθεί </w:t>
      </w:r>
      <w:proofErr w:type="spellStart"/>
      <w:r w:rsidRPr="00713BE1">
        <w:rPr>
          <w:szCs w:val="22"/>
        </w:rPr>
        <w:t>έκπλυση</w:t>
      </w:r>
      <w:proofErr w:type="spellEnd"/>
      <w:r w:rsidRPr="00713BE1">
        <w:rPr>
          <w:szCs w:val="22"/>
        </w:rPr>
        <w:t>.</w:t>
      </w:r>
    </w:p>
    <w:p w:rsidR="008F0C25" w:rsidRPr="00713BE1" w:rsidRDefault="008F0C25" w:rsidP="008F0C25">
      <w:pPr>
        <w:rPr>
          <w:szCs w:val="22"/>
        </w:rPr>
      </w:pPr>
    </w:p>
    <w:p w:rsidR="008F0C25" w:rsidRPr="00713BE1" w:rsidRDefault="008F0C25" w:rsidP="008F0C25">
      <w:pPr>
        <w:rPr>
          <w:szCs w:val="22"/>
        </w:rPr>
      </w:pPr>
      <w:r w:rsidRPr="00713BE1">
        <w:rPr>
          <w:b/>
          <w:szCs w:val="22"/>
        </w:rPr>
        <w:t>6.3</w:t>
      </w:r>
      <w:r w:rsidRPr="00713BE1">
        <w:rPr>
          <w:b/>
          <w:szCs w:val="22"/>
        </w:rPr>
        <w:tab/>
        <w:t>Διάρκεια ζωής</w:t>
      </w:r>
    </w:p>
    <w:p w:rsidR="008F0C25" w:rsidRPr="00713BE1" w:rsidRDefault="008F0C25" w:rsidP="008F0C25">
      <w:pPr>
        <w:rPr>
          <w:szCs w:val="22"/>
        </w:rPr>
      </w:pPr>
    </w:p>
    <w:p w:rsidR="008F0C25" w:rsidRPr="00713BE1" w:rsidRDefault="008F0C25" w:rsidP="008F0C25">
      <w:pPr>
        <w:rPr>
          <w:b/>
          <w:szCs w:val="22"/>
        </w:rPr>
      </w:pPr>
      <w:r w:rsidRPr="00713BE1">
        <w:rPr>
          <w:b/>
          <w:szCs w:val="22"/>
        </w:rPr>
        <w:t>Διάρκεια ζωής του προϊόντος συσκευασμένο προς πώληση.</w:t>
      </w:r>
    </w:p>
    <w:p w:rsidR="008F0C25" w:rsidRPr="00713BE1" w:rsidRDefault="008F0C25" w:rsidP="008F0C25">
      <w:pPr>
        <w:rPr>
          <w:szCs w:val="22"/>
        </w:rPr>
      </w:pPr>
      <w:r w:rsidRPr="00713BE1">
        <w:rPr>
          <w:szCs w:val="22"/>
        </w:rPr>
        <w:t>2 χρόνια</w:t>
      </w:r>
    </w:p>
    <w:p w:rsidR="008F0C25" w:rsidRPr="00713BE1" w:rsidRDefault="008F0C25" w:rsidP="008F0C25">
      <w:pPr>
        <w:rPr>
          <w:szCs w:val="22"/>
        </w:rPr>
      </w:pPr>
    </w:p>
    <w:p w:rsidR="008F0C25" w:rsidRPr="00713BE1" w:rsidRDefault="008F0C25" w:rsidP="008F0C25">
      <w:pPr>
        <w:rPr>
          <w:b/>
          <w:szCs w:val="22"/>
        </w:rPr>
      </w:pPr>
      <w:r w:rsidRPr="00713BE1">
        <w:rPr>
          <w:b/>
          <w:szCs w:val="22"/>
        </w:rPr>
        <w:t>Διάρκεια ζωής μετά την αραίωση.</w:t>
      </w:r>
    </w:p>
    <w:p w:rsidR="008F0C25" w:rsidRPr="00713BE1" w:rsidRDefault="008F0C25" w:rsidP="008F0C25">
      <w:pPr>
        <w:rPr>
          <w:szCs w:val="22"/>
        </w:rPr>
      </w:pPr>
      <w:proofErr w:type="gramStart"/>
      <w:r w:rsidRPr="00713BE1">
        <w:rPr>
          <w:szCs w:val="22"/>
          <w:lang w:val="en-US"/>
        </w:rPr>
        <w:t>To</w:t>
      </w:r>
      <w:r w:rsidRPr="00713BE1">
        <w:rPr>
          <w:szCs w:val="22"/>
        </w:rPr>
        <w:t xml:space="preserve">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πρέπει να αραιώνεται.</w:t>
      </w:r>
      <w:proofErr w:type="gramEnd"/>
    </w:p>
    <w:p w:rsidR="008F0C25" w:rsidRPr="00713BE1" w:rsidRDefault="008F0C25" w:rsidP="008F0C25">
      <w:pPr>
        <w:rPr>
          <w:szCs w:val="22"/>
        </w:rPr>
      </w:pPr>
    </w:p>
    <w:p w:rsidR="008F0C25" w:rsidRPr="00713BE1" w:rsidRDefault="008F0C25" w:rsidP="008F0C25">
      <w:pPr>
        <w:rPr>
          <w:szCs w:val="22"/>
        </w:rPr>
      </w:pPr>
      <w:r w:rsidRPr="00713BE1">
        <w:rPr>
          <w:b/>
          <w:szCs w:val="22"/>
        </w:rPr>
        <w:t>6.4</w:t>
      </w:r>
      <w:r w:rsidRPr="00713BE1">
        <w:rPr>
          <w:b/>
          <w:szCs w:val="22"/>
        </w:rPr>
        <w:tab/>
        <w:t>Ιδιαίτερες προφυλάξεις κατά την φύλαξη του προϊόντος</w:t>
      </w:r>
    </w:p>
    <w:p w:rsidR="008F0C25" w:rsidRPr="00713BE1" w:rsidRDefault="008F0C25" w:rsidP="008F0C25">
      <w:pPr>
        <w:rPr>
          <w:szCs w:val="22"/>
        </w:rPr>
      </w:pPr>
    </w:p>
    <w:p w:rsidR="008F0C25" w:rsidRPr="00713BE1" w:rsidRDefault="008F0C25" w:rsidP="008F0C25">
      <w:pPr>
        <w:rPr>
          <w:noProof/>
          <w:szCs w:val="22"/>
        </w:rPr>
      </w:pPr>
      <w:r w:rsidRPr="00713BE1">
        <w:rPr>
          <w:noProof/>
          <w:szCs w:val="22"/>
        </w:rPr>
        <w:t>Φυλάσσετε σε θερμοκρασία μικρότερη των 25ºC.</w:t>
      </w:r>
    </w:p>
    <w:p w:rsidR="008F0C25" w:rsidRPr="00713BE1" w:rsidRDefault="008F0C25" w:rsidP="008F0C25">
      <w:pPr>
        <w:rPr>
          <w:noProof/>
          <w:szCs w:val="22"/>
        </w:rPr>
      </w:pPr>
    </w:p>
    <w:p w:rsidR="008F0C25" w:rsidRPr="00713BE1" w:rsidRDefault="008F0C25" w:rsidP="008F0C25">
      <w:pPr>
        <w:rPr>
          <w:noProof/>
          <w:szCs w:val="22"/>
        </w:rPr>
      </w:pPr>
      <w:r w:rsidRPr="00713BE1">
        <w:rPr>
          <w:noProof/>
          <w:szCs w:val="22"/>
        </w:rPr>
        <w:t>Mην καταψύχετε.</w:t>
      </w:r>
    </w:p>
    <w:p w:rsidR="008F0C25" w:rsidRPr="00713BE1" w:rsidRDefault="008F0C25" w:rsidP="008F0C25">
      <w:pPr>
        <w:rPr>
          <w:b/>
          <w:szCs w:val="22"/>
        </w:rPr>
      </w:pPr>
    </w:p>
    <w:p w:rsidR="008F0C25" w:rsidRPr="00713BE1" w:rsidRDefault="008F0C25" w:rsidP="008F0C25">
      <w:pPr>
        <w:rPr>
          <w:szCs w:val="22"/>
        </w:rPr>
      </w:pPr>
      <w:r w:rsidRPr="00713BE1">
        <w:rPr>
          <w:b/>
          <w:szCs w:val="22"/>
        </w:rPr>
        <w:t>6.5</w:t>
      </w:r>
      <w:r w:rsidRPr="00713BE1">
        <w:rPr>
          <w:b/>
          <w:szCs w:val="22"/>
        </w:rPr>
        <w:tab/>
        <w:t xml:space="preserve">Φύση και συστατικά του </w:t>
      </w:r>
      <w:proofErr w:type="spellStart"/>
      <w:r w:rsidRPr="00713BE1">
        <w:rPr>
          <w:b/>
          <w:szCs w:val="22"/>
        </w:rPr>
        <w:t>περιέκτη</w:t>
      </w:r>
      <w:proofErr w:type="spellEnd"/>
    </w:p>
    <w:p w:rsidR="008F0C25" w:rsidRPr="00713BE1" w:rsidRDefault="008F0C25" w:rsidP="008F0C25">
      <w:pPr>
        <w:rPr>
          <w:szCs w:val="22"/>
        </w:rPr>
      </w:pPr>
    </w:p>
    <w:p w:rsidR="008F0C25" w:rsidRPr="00713BE1" w:rsidRDefault="008F0C25" w:rsidP="008F0C25">
      <w:pPr>
        <w:rPr>
          <w:szCs w:val="22"/>
        </w:rPr>
      </w:pPr>
      <w:r w:rsidRPr="00713BE1">
        <w:rPr>
          <w:szCs w:val="22"/>
        </w:rPr>
        <w:tab/>
        <w:t>Διαυγή γυάλινα φιαλίδια των 50</w:t>
      </w:r>
      <w:r w:rsidRPr="00713BE1">
        <w:rPr>
          <w:szCs w:val="22"/>
          <w:lang w:val="en-US"/>
        </w:rPr>
        <w:t> mL</w:t>
      </w:r>
      <w:r w:rsidRPr="00713BE1">
        <w:rPr>
          <w:szCs w:val="22"/>
        </w:rPr>
        <w:t xml:space="preserve"> σε κουτιά των 1, 5, 10 ή 20 φιαλιδίων.</w:t>
      </w:r>
    </w:p>
    <w:p w:rsidR="008F0C25" w:rsidRPr="00713BE1" w:rsidRDefault="008F0C25" w:rsidP="008F0C25">
      <w:pPr>
        <w:rPr>
          <w:szCs w:val="22"/>
        </w:rPr>
      </w:pPr>
    </w:p>
    <w:p w:rsidR="008F0C25" w:rsidRPr="00713BE1" w:rsidRDefault="008F0C25" w:rsidP="008F0C25">
      <w:pPr>
        <w:rPr>
          <w:b/>
          <w:szCs w:val="22"/>
        </w:rPr>
      </w:pPr>
      <w:r w:rsidRPr="00713BE1">
        <w:rPr>
          <w:szCs w:val="22"/>
        </w:rPr>
        <w:t>Μπορεί να μη κυκλοφορούν όλες οι συσκευασίες.</w:t>
      </w:r>
    </w:p>
    <w:p w:rsidR="008F0C25" w:rsidRPr="00713BE1" w:rsidRDefault="008F0C25" w:rsidP="008F0C25">
      <w:pPr>
        <w:rPr>
          <w:b/>
          <w:szCs w:val="22"/>
        </w:rPr>
      </w:pPr>
    </w:p>
    <w:p w:rsidR="008F0C25" w:rsidRPr="00713BE1" w:rsidRDefault="008F0C25" w:rsidP="008F0C25">
      <w:pPr>
        <w:rPr>
          <w:szCs w:val="22"/>
        </w:rPr>
      </w:pPr>
      <w:r w:rsidRPr="00713BE1">
        <w:rPr>
          <w:b/>
          <w:szCs w:val="22"/>
        </w:rPr>
        <w:t>6.6</w:t>
      </w:r>
      <w:r w:rsidRPr="00713BE1">
        <w:rPr>
          <w:b/>
          <w:szCs w:val="22"/>
        </w:rPr>
        <w:tab/>
      </w:r>
      <w:r w:rsidRPr="00713BE1">
        <w:rPr>
          <w:b/>
          <w:noProof/>
          <w:szCs w:val="22"/>
        </w:rPr>
        <w:t>Ιδιαίτερες προφυλάξεις απόρριψης και άλλος χειρισμός</w:t>
      </w:r>
    </w:p>
    <w:p w:rsidR="008F0C25" w:rsidRPr="00713BE1" w:rsidRDefault="008F0C25" w:rsidP="008F0C25">
      <w:pPr>
        <w:rPr>
          <w:i/>
          <w:noProof/>
          <w:szCs w:val="22"/>
        </w:rPr>
      </w:pPr>
    </w:p>
    <w:p w:rsidR="008F0C25" w:rsidRPr="00713BE1" w:rsidRDefault="008F0C25" w:rsidP="008F0C25">
      <w:pPr>
        <w:rPr>
          <w:b/>
          <w:i/>
          <w:szCs w:val="22"/>
        </w:rPr>
      </w:pPr>
      <w:r w:rsidRPr="00713BE1">
        <w:rPr>
          <w:b/>
          <w:i/>
          <w:szCs w:val="22"/>
        </w:rPr>
        <w:t>Προφυλάξεις κατά τη χρήση</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Οι </w:t>
      </w:r>
      <w:proofErr w:type="spellStart"/>
      <w:r w:rsidRPr="00713BE1">
        <w:rPr>
          <w:szCs w:val="22"/>
        </w:rPr>
        <w:t>περιέκτες</w:t>
      </w:r>
      <w:proofErr w:type="spellEnd"/>
      <w:r w:rsidRPr="00713BE1">
        <w:rPr>
          <w:szCs w:val="22"/>
        </w:rPr>
        <w:t xml:space="preserve"> πρέπει να ανακινούνται πριν τη χρήση.</w:t>
      </w:r>
    </w:p>
    <w:p w:rsidR="008F0C25" w:rsidRPr="00713BE1" w:rsidRDefault="008F0C25" w:rsidP="008F0C25">
      <w:pPr>
        <w:rPr>
          <w:szCs w:val="22"/>
        </w:rPr>
      </w:pPr>
    </w:p>
    <w:p w:rsidR="008F0C25" w:rsidRPr="00713BE1" w:rsidRDefault="008F0C25" w:rsidP="008F0C25">
      <w:pPr>
        <w:rPr>
          <w:szCs w:val="22"/>
        </w:rPr>
      </w:pPr>
      <w:r w:rsidRPr="00713BE1">
        <w:rPr>
          <w:szCs w:val="22"/>
        </w:rPr>
        <w:t>Κάθε υπόλοιπο που παραμένει μετά τη χρήση πρέπει να απορρίπτεται.</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 θα πρέπει να αναμιγνύεται πριν από τη χορήγηση με ενέσιμα ή υγρά έγχυσης. Ωστόσο, το </w:t>
      </w:r>
      <w:r w:rsidRPr="00713BE1">
        <w:rPr>
          <w:szCs w:val="22"/>
          <w:lang w:val="en-US"/>
        </w:rPr>
        <w:t>HIREMON</w:t>
      </w:r>
      <w:r w:rsidRPr="00713BE1">
        <w:rPr>
          <w:szCs w:val="22"/>
        </w:rPr>
        <w:t xml:space="preserve">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μπορεί να χορηγηθεί μέσω συσκευής τύπου Υ κοντά στο σημείο της ένεσης με εγχύσεις των ακόλουθων:</w:t>
      </w:r>
    </w:p>
    <w:p w:rsidR="008F0C25" w:rsidRPr="00713BE1" w:rsidRDefault="008F0C25" w:rsidP="008F0C25">
      <w:pPr>
        <w:rPr>
          <w:szCs w:val="22"/>
        </w:rPr>
      </w:pPr>
    </w:p>
    <w:p w:rsidR="008F0C25" w:rsidRPr="00713BE1" w:rsidRDefault="008F0C25" w:rsidP="008F0C25">
      <w:pPr>
        <w:rPr>
          <w:szCs w:val="22"/>
        </w:rPr>
      </w:pPr>
      <w:r w:rsidRPr="00713BE1">
        <w:rPr>
          <w:szCs w:val="22"/>
        </w:rPr>
        <w:t>•</w:t>
      </w:r>
      <w:r w:rsidRPr="00713BE1">
        <w:rPr>
          <w:szCs w:val="22"/>
        </w:rPr>
        <w:tab/>
      </w:r>
      <w:proofErr w:type="spellStart"/>
      <w:r w:rsidRPr="00713BE1">
        <w:rPr>
          <w:szCs w:val="22"/>
        </w:rPr>
        <w:t>Δεξτρόζη</w:t>
      </w:r>
      <w:proofErr w:type="spellEnd"/>
      <w:r w:rsidRPr="00713BE1">
        <w:rPr>
          <w:szCs w:val="22"/>
        </w:rPr>
        <w:t xml:space="preserve"> 5% Ενδοφλέβιας Έγχυσης Β.Ρ.</w:t>
      </w:r>
    </w:p>
    <w:p w:rsidR="008F0C25" w:rsidRPr="00713BE1" w:rsidRDefault="008F0C25" w:rsidP="008F0C25">
      <w:pPr>
        <w:rPr>
          <w:szCs w:val="22"/>
        </w:rPr>
      </w:pPr>
      <w:r w:rsidRPr="00713BE1">
        <w:rPr>
          <w:szCs w:val="22"/>
        </w:rPr>
        <w:t>•</w:t>
      </w:r>
      <w:r w:rsidRPr="00713BE1">
        <w:rPr>
          <w:szCs w:val="22"/>
        </w:rPr>
        <w:tab/>
        <w:t>Χλωριούχο Νάτριο  0,9% Ενδοφλέβιας Έγχυσης Β.Ρ.</w:t>
      </w:r>
    </w:p>
    <w:p w:rsidR="008F0C25" w:rsidRPr="00713BE1" w:rsidRDefault="008F0C25" w:rsidP="008F0C25">
      <w:pPr>
        <w:rPr>
          <w:szCs w:val="22"/>
        </w:rPr>
      </w:pPr>
      <w:r w:rsidRPr="00713BE1">
        <w:rPr>
          <w:szCs w:val="22"/>
        </w:rPr>
        <w:t>•</w:t>
      </w:r>
      <w:r w:rsidRPr="00713BE1">
        <w:rPr>
          <w:szCs w:val="22"/>
        </w:rPr>
        <w:tab/>
      </w:r>
      <w:proofErr w:type="spellStart"/>
      <w:r w:rsidRPr="00713BE1">
        <w:rPr>
          <w:szCs w:val="22"/>
        </w:rPr>
        <w:t>Δεξτρόζη</w:t>
      </w:r>
      <w:proofErr w:type="spellEnd"/>
      <w:r w:rsidRPr="00713BE1">
        <w:rPr>
          <w:szCs w:val="22"/>
        </w:rPr>
        <w:t xml:space="preserve"> 4% με Χλωριούχο Νάτριο 0,18% Ενδοφλέβιας Έγχυσης Β.Ρ.</w:t>
      </w:r>
    </w:p>
    <w:p w:rsidR="008F0C25" w:rsidRPr="00713BE1" w:rsidRDefault="008F0C25" w:rsidP="008F0C25">
      <w:pPr>
        <w:rPr>
          <w:szCs w:val="22"/>
        </w:rPr>
      </w:pPr>
    </w:p>
    <w:p w:rsidR="008F0C25" w:rsidRPr="00713BE1" w:rsidRDefault="008F0C25" w:rsidP="008F0C25">
      <w:pPr>
        <w:rPr>
          <w:b/>
          <w:szCs w:val="22"/>
        </w:rPr>
      </w:pPr>
      <w:r w:rsidRPr="00713BE1">
        <w:rPr>
          <w:b/>
          <w:szCs w:val="22"/>
        </w:rPr>
        <w:t>Πρόσθετες προφυλάξεις:</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περιέχει </w:t>
      </w:r>
      <w:proofErr w:type="spellStart"/>
      <w:r w:rsidRPr="00713BE1">
        <w:rPr>
          <w:szCs w:val="22"/>
        </w:rPr>
        <w:t>αντιμικροβιακά</w:t>
      </w:r>
      <w:proofErr w:type="spellEnd"/>
      <w:r w:rsidRPr="00713BE1">
        <w:rPr>
          <w:szCs w:val="22"/>
        </w:rPr>
        <w:t xml:space="preserve"> συντηρητικά και ευνοεί την ανάπτυξη μικροοργανισμών.</w:t>
      </w:r>
      <w:r w:rsidRPr="00713BE1">
        <w:t xml:space="preserve"> </w:t>
      </w:r>
      <w:r w:rsidRPr="00713BE1">
        <w:rPr>
          <w:szCs w:val="22"/>
        </w:rPr>
        <w:t xml:space="preserve">Η ασηψία πρέπει να διατηρείται τόσο για 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όσο και για τη συσκευή έγχυσης καθ’ όλη τη διάρκεια τη έγχυσης. Οποιαδήποτε υγρά εγχύσεως προστίθενται στη γραμμή εγχύσεως του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πρέπει να χορηγούνται κοντά στον καθετήρα. 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δεν πρέπει να χορηγείται μέσω μικροβιολογικών φίλτρων.</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Το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και κάθε σύριγγα που περιέχει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προορίζεται για μία χρήση σε έναν  μοναδικό ασθενή.</w:t>
      </w:r>
      <w:r w:rsidRPr="00713BE1">
        <w:t xml:space="preserve"> Για χρήση μακροπρόθεσμης διατήρησης αναισθησίας ή καταστολής σε εντατική θεραπεία συνιστάται η γραμμή έγχυσης και η δεξαμενή του</w:t>
      </w:r>
      <w:r w:rsidRPr="00713BE1">
        <w:rPr>
          <w:szCs w:val="22"/>
        </w:rPr>
        <w:t xml:space="preserve"> HIREMON </w:t>
      </w:r>
      <w:r>
        <w:rPr>
          <w:szCs w:val="22"/>
        </w:rPr>
        <w:t>20 </w:t>
      </w:r>
      <w:proofErr w:type="spellStart"/>
      <w:r>
        <w:rPr>
          <w:szCs w:val="22"/>
        </w:rPr>
        <w:t>mg</w:t>
      </w:r>
      <w:proofErr w:type="spellEnd"/>
      <w:r>
        <w:rPr>
          <w:szCs w:val="22"/>
        </w:rPr>
        <w:t>/</w:t>
      </w:r>
      <w:proofErr w:type="spellStart"/>
      <w:r>
        <w:rPr>
          <w:szCs w:val="22"/>
        </w:rPr>
        <w:t>mL</w:t>
      </w:r>
      <w:proofErr w:type="spellEnd"/>
      <w:r w:rsidRPr="00713BE1">
        <w:rPr>
          <w:szCs w:val="22"/>
        </w:rPr>
        <w:t xml:space="preserve"> να απορρίπτονται και να αντικαθίστανται σε τακτά </w:t>
      </w:r>
      <w:r w:rsidRPr="00713BE1">
        <w:rPr>
          <w:szCs w:val="22"/>
        </w:rPr>
        <w:lastRenderedPageBreak/>
        <w:t>χρονικά διαστήματα.</w:t>
      </w:r>
    </w:p>
    <w:p w:rsidR="008F0C25" w:rsidRPr="00713BE1" w:rsidRDefault="008F0C25" w:rsidP="008F0C25">
      <w:pPr>
        <w:rPr>
          <w:szCs w:val="22"/>
        </w:rPr>
      </w:pPr>
    </w:p>
    <w:p w:rsidR="008F0C25" w:rsidRPr="00713BE1" w:rsidRDefault="008F0C25" w:rsidP="008F0C25">
      <w:pPr>
        <w:rPr>
          <w:szCs w:val="22"/>
        </w:rPr>
      </w:pPr>
      <w:r w:rsidRPr="00713BE1">
        <w:rPr>
          <w:szCs w:val="22"/>
        </w:rPr>
        <w:t xml:space="preserve">Κάθε </w:t>
      </w:r>
      <w:r w:rsidRPr="00713BE1">
        <w:rPr>
          <w:noProof/>
          <w:szCs w:val="22"/>
        </w:rPr>
        <w:t xml:space="preserve">αχρησιμοποίητο φαρμακευτικό </w:t>
      </w:r>
      <w:r w:rsidRPr="00713BE1">
        <w:rPr>
          <w:szCs w:val="22"/>
        </w:rPr>
        <w:t xml:space="preserve">προϊόν ή υπόλειμμα πρέπει να </w:t>
      </w:r>
      <w:r w:rsidRPr="00713BE1">
        <w:rPr>
          <w:noProof/>
          <w:szCs w:val="22"/>
        </w:rPr>
        <w:t xml:space="preserve">απορρίπτεται </w:t>
      </w:r>
      <w:r w:rsidRPr="00713BE1">
        <w:rPr>
          <w:szCs w:val="22"/>
        </w:rPr>
        <w:t>σύμφωνα με τις κατά τόπους ισχύουσες σχετικές διατάξεις.</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7.</w:t>
      </w:r>
      <w:r w:rsidRPr="00713BE1">
        <w:rPr>
          <w:b/>
          <w:szCs w:val="22"/>
        </w:rPr>
        <w:tab/>
        <w:t>ΚΑΤΟΧΟΣ ΤΗΣ ΑΔΕΙΑΣ ΚΥΚΛΟΦΟΡΙΑΣ</w:t>
      </w:r>
    </w:p>
    <w:p w:rsidR="008F0C25" w:rsidRPr="00713BE1" w:rsidRDefault="008F0C25" w:rsidP="008F0C25">
      <w:pPr>
        <w:rPr>
          <w:szCs w:val="22"/>
        </w:rPr>
      </w:pPr>
    </w:p>
    <w:p w:rsidR="008F0C25" w:rsidRPr="00713BE1" w:rsidRDefault="008F0C25" w:rsidP="008F0C25">
      <w:pPr>
        <w:rPr>
          <w:szCs w:val="22"/>
        </w:rPr>
      </w:pPr>
      <w:r w:rsidRPr="00713BE1">
        <w:rPr>
          <w:szCs w:val="22"/>
        </w:rPr>
        <w:t>DEMO ΑΒΕΕ Βιομηχανία Φαρμάκων</w:t>
      </w:r>
    </w:p>
    <w:p w:rsidR="008F0C25" w:rsidRPr="00713BE1" w:rsidRDefault="008F0C25" w:rsidP="008F0C25">
      <w:pPr>
        <w:rPr>
          <w:szCs w:val="22"/>
        </w:rPr>
      </w:pPr>
      <w:r w:rsidRPr="00713BE1">
        <w:rPr>
          <w:szCs w:val="22"/>
        </w:rPr>
        <w:t xml:space="preserve">21ο </w:t>
      </w:r>
      <w:proofErr w:type="spellStart"/>
      <w:r w:rsidRPr="00713BE1">
        <w:rPr>
          <w:szCs w:val="22"/>
        </w:rPr>
        <w:t>χλμ</w:t>
      </w:r>
      <w:proofErr w:type="spellEnd"/>
      <w:r w:rsidRPr="00713BE1">
        <w:rPr>
          <w:szCs w:val="22"/>
        </w:rPr>
        <w:t xml:space="preserve"> Εθνικής Οδού Αθηνών-Λαμίας</w:t>
      </w:r>
    </w:p>
    <w:p w:rsidR="008F0C25" w:rsidRPr="00713BE1" w:rsidRDefault="008F0C25" w:rsidP="008F0C25">
      <w:pPr>
        <w:rPr>
          <w:szCs w:val="22"/>
        </w:rPr>
      </w:pPr>
      <w:r w:rsidRPr="00713BE1">
        <w:rPr>
          <w:szCs w:val="22"/>
        </w:rPr>
        <w:t>14568 Κρυονέρι, Αττικής, Ελλάδα</w:t>
      </w:r>
    </w:p>
    <w:p w:rsidR="008F0C25" w:rsidRPr="00713BE1" w:rsidRDefault="008F0C25" w:rsidP="008F0C25">
      <w:pPr>
        <w:rPr>
          <w:szCs w:val="22"/>
        </w:rPr>
      </w:pPr>
      <w:proofErr w:type="spellStart"/>
      <w:r w:rsidRPr="00713BE1">
        <w:rPr>
          <w:szCs w:val="22"/>
        </w:rPr>
        <w:t>Τηλ</w:t>
      </w:r>
      <w:proofErr w:type="spellEnd"/>
      <w:r w:rsidRPr="00713BE1">
        <w:rPr>
          <w:szCs w:val="22"/>
        </w:rPr>
        <w:t>: +30 210 8161802</w:t>
      </w:r>
    </w:p>
    <w:p w:rsidR="008F0C25" w:rsidRPr="00713BE1" w:rsidRDefault="008F0C25" w:rsidP="008F0C25">
      <w:pPr>
        <w:rPr>
          <w:szCs w:val="22"/>
        </w:rPr>
      </w:pPr>
      <w:r w:rsidRPr="00713BE1">
        <w:rPr>
          <w:szCs w:val="22"/>
        </w:rPr>
        <w:t>Φαξ: +30 210 8161587</w:t>
      </w:r>
    </w:p>
    <w:p w:rsidR="008F0C25" w:rsidRPr="00713BE1" w:rsidRDefault="008F0C25" w:rsidP="008F0C25">
      <w:pPr>
        <w:rPr>
          <w:szCs w:val="22"/>
        </w:rPr>
      </w:pPr>
    </w:p>
    <w:p w:rsidR="008F0C25" w:rsidRPr="00713BE1" w:rsidRDefault="008F0C25" w:rsidP="008F0C25">
      <w:pPr>
        <w:widowControl/>
        <w:autoSpaceDE w:val="0"/>
        <w:autoSpaceDN w:val="0"/>
        <w:adjustRightInd w:val="0"/>
        <w:jc w:val="both"/>
        <w:rPr>
          <w:rFonts w:eastAsia="SimSun"/>
          <w:b/>
          <w:szCs w:val="22"/>
          <w:lang w:val="en-US" w:eastAsia="zh-CN"/>
        </w:rPr>
      </w:pPr>
      <w:r w:rsidRPr="00713BE1">
        <w:rPr>
          <w:rFonts w:eastAsia="SimSun"/>
          <w:b/>
          <w:szCs w:val="22"/>
          <w:lang w:eastAsia="zh-CN"/>
        </w:rPr>
        <w:t>Αντιπρόσωπος</w:t>
      </w:r>
      <w:r w:rsidRPr="00713BE1">
        <w:rPr>
          <w:rFonts w:eastAsia="SimSun"/>
          <w:b/>
          <w:szCs w:val="22"/>
          <w:lang w:val="en-US" w:eastAsia="zh-CN"/>
        </w:rPr>
        <w:t xml:space="preserve"> </w:t>
      </w:r>
      <w:r w:rsidRPr="00713BE1">
        <w:rPr>
          <w:rFonts w:eastAsia="SimSun"/>
          <w:b/>
          <w:szCs w:val="22"/>
          <w:lang w:eastAsia="zh-CN"/>
        </w:rPr>
        <w:t>Κύπρου</w:t>
      </w:r>
      <w:r w:rsidRPr="00713BE1">
        <w:rPr>
          <w:rFonts w:eastAsia="SimSun"/>
          <w:b/>
          <w:szCs w:val="22"/>
          <w:lang w:val="en-US" w:eastAsia="zh-CN"/>
        </w:rPr>
        <w:t>:</w:t>
      </w:r>
    </w:p>
    <w:p w:rsidR="008F0C25" w:rsidRPr="00713BE1" w:rsidRDefault="008F0C25" w:rsidP="008F0C25">
      <w:pPr>
        <w:widowControl/>
        <w:autoSpaceDE w:val="0"/>
        <w:autoSpaceDN w:val="0"/>
        <w:adjustRightInd w:val="0"/>
        <w:jc w:val="both"/>
        <w:rPr>
          <w:rFonts w:eastAsia="SimSun"/>
          <w:szCs w:val="22"/>
          <w:lang w:val="en-US" w:eastAsia="zh-CN"/>
        </w:rPr>
      </w:pPr>
      <w:proofErr w:type="gramStart"/>
      <w:r w:rsidRPr="00713BE1">
        <w:rPr>
          <w:rFonts w:eastAsia="SimSun"/>
          <w:szCs w:val="22"/>
          <w:lang w:val="en-US" w:eastAsia="zh-CN"/>
        </w:rPr>
        <w:t>The Star Medicines Importers Co Ltd.</w:t>
      </w:r>
      <w:proofErr w:type="gramEnd"/>
    </w:p>
    <w:p w:rsidR="008F0C25" w:rsidRPr="00713BE1" w:rsidRDefault="008F0C25" w:rsidP="008F0C25">
      <w:pPr>
        <w:widowControl/>
        <w:autoSpaceDE w:val="0"/>
        <w:autoSpaceDN w:val="0"/>
        <w:adjustRightInd w:val="0"/>
        <w:jc w:val="both"/>
        <w:rPr>
          <w:rFonts w:eastAsia="SimSun"/>
          <w:szCs w:val="22"/>
          <w:lang w:eastAsia="zh-CN"/>
        </w:rPr>
      </w:pPr>
      <w:proofErr w:type="spellStart"/>
      <w:r w:rsidRPr="00713BE1">
        <w:rPr>
          <w:rFonts w:eastAsia="SimSun"/>
          <w:szCs w:val="22"/>
          <w:lang w:eastAsia="zh-CN"/>
        </w:rPr>
        <w:t>Λουκή</w:t>
      </w:r>
      <w:proofErr w:type="spellEnd"/>
      <w:r w:rsidRPr="00713BE1">
        <w:rPr>
          <w:rFonts w:eastAsia="SimSun"/>
          <w:szCs w:val="22"/>
          <w:lang w:eastAsia="zh-CN"/>
        </w:rPr>
        <w:t xml:space="preserve"> Ακρίτα 10,</w:t>
      </w:r>
    </w:p>
    <w:p w:rsidR="008F0C25" w:rsidRPr="00713BE1" w:rsidRDefault="008F0C25" w:rsidP="008F0C25">
      <w:pPr>
        <w:widowControl/>
        <w:autoSpaceDE w:val="0"/>
        <w:autoSpaceDN w:val="0"/>
        <w:adjustRightInd w:val="0"/>
        <w:jc w:val="both"/>
        <w:rPr>
          <w:rFonts w:eastAsia="SimSun"/>
          <w:szCs w:val="22"/>
          <w:lang w:eastAsia="zh-CN"/>
        </w:rPr>
      </w:pPr>
      <w:r w:rsidRPr="00713BE1">
        <w:rPr>
          <w:rFonts w:eastAsia="SimSun"/>
          <w:szCs w:val="22"/>
          <w:lang w:eastAsia="zh-CN"/>
        </w:rPr>
        <w:t>3030 Λεμεσός,</w:t>
      </w:r>
    </w:p>
    <w:p w:rsidR="008F0C25" w:rsidRPr="00713BE1" w:rsidRDefault="008F0C25" w:rsidP="008F0C25">
      <w:pPr>
        <w:rPr>
          <w:rFonts w:eastAsia="SimSun"/>
          <w:szCs w:val="22"/>
          <w:lang w:eastAsia="zh-CN"/>
        </w:rPr>
      </w:pPr>
      <w:proofErr w:type="spellStart"/>
      <w:r w:rsidRPr="00713BE1">
        <w:rPr>
          <w:rFonts w:eastAsia="SimSun"/>
          <w:szCs w:val="22"/>
          <w:lang w:eastAsia="zh-CN"/>
        </w:rPr>
        <w:t>Τηλ</w:t>
      </w:r>
      <w:proofErr w:type="spellEnd"/>
      <w:r w:rsidRPr="00713BE1">
        <w:rPr>
          <w:rFonts w:eastAsia="SimSun"/>
          <w:szCs w:val="22"/>
          <w:lang w:eastAsia="zh-CN"/>
        </w:rPr>
        <w:t>.: 25371056</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8.</w:t>
      </w:r>
      <w:r w:rsidRPr="00713BE1">
        <w:rPr>
          <w:b/>
          <w:szCs w:val="22"/>
        </w:rPr>
        <w:tab/>
        <w:t>ΑΡΙΘΜΟΣ(ΟΙ) ΑΔΕΙΑΣ ΚΥΚΛΟΦΟΡΙΑΣ</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rPr>
          <w:szCs w:val="22"/>
        </w:rPr>
      </w:pPr>
      <w:r w:rsidRPr="00713BE1">
        <w:rPr>
          <w:b/>
          <w:szCs w:val="22"/>
        </w:rPr>
        <w:t>9.</w:t>
      </w:r>
      <w:r w:rsidRPr="00713BE1">
        <w:rPr>
          <w:b/>
          <w:szCs w:val="22"/>
        </w:rPr>
        <w:tab/>
        <w:t>ΗΜΕΡΟΜΗΝΙΑ ΠΡΩΤΗΣ ΕΓΚΡΙΣΗΣ / ΑΝΑΝΕΩΣΗΣ ΤΗΣ ΑΔΕΙΑΣ</w:t>
      </w:r>
    </w:p>
    <w:p w:rsidR="008F0C25" w:rsidRPr="00713BE1" w:rsidRDefault="008F0C25" w:rsidP="008F0C25">
      <w:pPr>
        <w:rPr>
          <w:szCs w:val="22"/>
        </w:rPr>
      </w:pPr>
    </w:p>
    <w:p w:rsidR="008F0C25" w:rsidRPr="00713BE1" w:rsidRDefault="008F0C25" w:rsidP="008F0C25">
      <w:pPr>
        <w:rPr>
          <w:szCs w:val="22"/>
        </w:rPr>
      </w:pPr>
    </w:p>
    <w:p w:rsidR="008F0C25" w:rsidRPr="00713BE1" w:rsidRDefault="008F0C25" w:rsidP="008F0C25">
      <w:pPr>
        <w:tabs>
          <w:tab w:val="left" w:pos="709"/>
        </w:tabs>
        <w:rPr>
          <w:szCs w:val="22"/>
        </w:rPr>
      </w:pPr>
      <w:r w:rsidRPr="00713BE1">
        <w:rPr>
          <w:b/>
          <w:szCs w:val="22"/>
        </w:rPr>
        <w:t>10.</w:t>
      </w:r>
      <w:r w:rsidRPr="00713BE1">
        <w:rPr>
          <w:b/>
          <w:szCs w:val="22"/>
        </w:rPr>
        <w:tab/>
        <w:t>ΗΜΕΡΟΜΗΝΙΑ ΑΝΑΘΕΩΡΗΣΗΣ ΤΟΥ ΚΕΙΜΕΝΟΥ</w:t>
      </w:r>
    </w:p>
    <w:p w:rsidR="008F0C25" w:rsidRPr="00713BE1" w:rsidRDefault="008F0C25" w:rsidP="008F0C25">
      <w:pPr>
        <w:pStyle w:val="a3"/>
        <w:tabs>
          <w:tab w:val="clear" w:pos="4153"/>
          <w:tab w:val="clear" w:pos="8306"/>
        </w:tabs>
        <w:rPr>
          <w:bCs/>
          <w:noProof/>
          <w:szCs w:val="22"/>
        </w:rPr>
      </w:pPr>
    </w:p>
    <w:p w:rsidR="008F0C25" w:rsidRDefault="008F0C25" w:rsidP="008F0C25">
      <w:pPr>
        <w:rPr>
          <w:noProof/>
          <w:szCs w:val="22"/>
          <w:lang w:val="en-US"/>
        </w:rPr>
      </w:pPr>
      <w:bookmarkStart w:id="0" w:name="_GoBack"/>
      <w:bookmarkEnd w:id="0"/>
    </w:p>
    <w:p w:rsidR="008F0C25" w:rsidRDefault="008F0C25" w:rsidP="008F0C25">
      <w:pPr>
        <w:rPr>
          <w:noProof/>
          <w:szCs w:val="22"/>
          <w:lang w:val="en-US"/>
        </w:rPr>
      </w:pPr>
    </w:p>
    <w:p w:rsidR="001A2C06" w:rsidRDefault="001A2C06"/>
    <w:sectPr w:rsidR="001A2C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117"/>
    <w:multiLevelType w:val="hybridMultilevel"/>
    <w:tmpl w:val="EA5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25"/>
    <w:rsid w:val="001A2C06"/>
    <w:rsid w:val="005966E7"/>
    <w:rsid w:val="005E0481"/>
    <w:rsid w:val="007D1C3A"/>
    <w:rsid w:val="008F0C25"/>
    <w:rsid w:val="00B3424B"/>
    <w:rsid w:val="00C23C9D"/>
    <w:rsid w:val="00DE6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25"/>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0C25"/>
    <w:pPr>
      <w:tabs>
        <w:tab w:val="center" w:pos="4153"/>
        <w:tab w:val="right" w:pos="8306"/>
      </w:tabs>
    </w:pPr>
  </w:style>
  <w:style w:type="character" w:customStyle="1" w:styleId="Char">
    <w:name w:val="Κεφαλίδα Char"/>
    <w:basedOn w:val="a0"/>
    <w:link w:val="a3"/>
    <w:rsid w:val="008F0C25"/>
    <w:rPr>
      <w:rFonts w:ascii="Times New Roman" w:eastAsia="Times New Roman" w:hAnsi="Times New Roman" w:cs="Times New Roman"/>
      <w:szCs w:val="20"/>
    </w:rPr>
  </w:style>
  <w:style w:type="paragraph" w:customStyle="1" w:styleId="EMEAEnBodyText">
    <w:name w:val="EMEA En Body Text"/>
    <w:basedOn w:val="a"/>
    <w:rsid w:val="008F0C25"/>
    <w:pPr>
      <w:widowControl/>
      <w:spacing w:before="120" w:after="120"/>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25"/>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0C25"/>
    <w:pPr>
      <w:tabs>
        <w:tab w:val="center" w:pos="4153"/>
        <w:tab w:val="right" w:pos="8306"/>
      </w:tabs>
    </w:pPr>
  </w:style>
  <w:style w:type="character" w:customStyle="1" w:styleId="Char">
    <w:name w:val="Κεφαλίδα Char"/>
    <w:basedOn w:val="a0"/>
    <w:link w:val="a3"/>
    <w:rsid w:val="008F0C25"/>
    <w:rPr>
      <w:rFonts w:ascii="Times New Roman" w:eastAsia="Times New Roman" w:hAnsi="Times New Roman" w:cs="Times New Roman"/>
      <w:szCs w:val="20"/>
    </w:rPr>
  </w:style>
  <w:style w:type="paragraph" w:customStyle="1" w:styleId="EMEAEnBodyText">
    <w:name w:val="EMEA En Body Text"/>
    <w:basedOn w:val="a"/>
    <w:rsid w:val="008F0C25"/>
    <w:pPr>
      <w:widowControl/>
      <w:spacing w:before="120" w:after="12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h.gov.cy/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5556</Words>
  <Characters>30008</Characters>
  <Application>Microsoft Office Word</Application>
  <DocSecurity>0</DocSecurity>
  <Lines>250</Lines>
  <Paragraphs>70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ΔΡΟΥΣΚΑ ΣΟΦΙΑ</cp:lastModifiedBy>
  <cp:revision>6</cp:revision>
  <dcterms:created xsi:type="dcterms:W3CDTF">2017-04-21T10:12:00Z</dcterms:created>
  <dcterms:modified xsi:type="dcterms:W3CDTF">2017-04-24T09:18:00Z</dcterms:modified>
</cp:coreProperties>
</file>