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AA" w:rsidRPr="009035A4" w:rsidRDefault="00A502AA">
      <w:pPr>
        <w:pStyle w:val="Style3"/>
        <w:widowControl/>
        <w:spacing w:line="240" w:lineRule="exact"/>
        <w:rPr>
          <w:sz w:val="20"/>
          <w:szCs w:val="20"/>
          <w:lang w:val="el-GR"/>
        </w:rPr>
      </w:pPr>
      <w:bookmarkStart w:id="0" w:name="_GoBack"/>
      <w:bookmarkEnd w:id="0"/>
    </w:p>
    <w:p w:rsidR="00F7301B" w:rsidRDefault="00F7301B">
      <w:pPr>
        <w:pStyle w:val="Style3"/>
        <w:widowControl/>
        <w:spacing w:line="240" w:lineRule="exact"/>
        <w:rPr>
          <w:sz w:val="20"/>
          <w:szCs w:val="20"/>
        </w:rPr>
      </w:pPr>
    </w:p>
    <w:p w:rsidR="00F7301B" w:rsidRDefault="00F7301B">
      <w:pPr>
        <w:pStyle w:val="Style3"/>
        <w:widowControl/>
        <w:spacing w:line="240" w:lineRule="exact"/>
        <w:rPr>
          <w:sz w:val="20"/>
          <w:szCs w:val="20"/>
        </w:rPr>
      </w:pPr>
    </w:p>
    <w:p w:rsidR="00F7301B" w:rsidRDefault="00F7301B">
      <w:pPr>
        <w:pStyle w:val="Style3"/>
        <w:widowControl/>
        <w:spacing w:line="240" w:lineRule="exact"/>
        <w:rPr>
          <w:sz w:val="20"/>
          <w:szCs w:val="20"/>
        </w:rPr>
      </w:pPr>
    </w:p>
    <w:p w:rsidR="00F7301B" w:rsidRDefault="00F7301B">
      <w:pPr>
        <w:pStyle w:val="Style3"/>
        <w:widowControl/>
        <w:spacing w:line="240" w:lineRule="exact"/>
        <w:rPr>
          <w:sz w:val="20"/>
          <w:szCs w:val="20"/>
        </w:rPr>
      </w:pPr>
    </w:p>
    <w:p w:rsidR="00A502AA" w:rsidRDefault="00A502AA">
      <w:pPr>
        <w:pStyle w:val="Style3"/>
        <w:widowControl/>
        <w:spacing w:before="144"/>
        <w:rPr>
          <w:rStyle w:val="FontStyle36"/>
          <w:lang w:val="el-GR" w:eastAsia="el-GR"/>
        </w:rPr>
      </w:pPr>
      <w:r>
        <w:rPr>
          <w:rStyle w:val="FontStyle36"/>
          <w:lang w:val="el-GR" w:eastAsia="el-GR"/>
        </w:rPr>
        <w:t>ΠΕΡΙΛΗΨΗ ΧΑΡΑΚΤΗΡΙΣΤΙΚΩΝ ΤΟΥ ΠΡΟΪΟΝΤΟΣ</w:t>
      </w: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7"/>
        </w:tabs>
        <w:spacing w:before="178" w:line="384" w:lineRule="exact"/>
        <w:rPr>
          <w:rStyle w:val="FontStyle44"/>
          <w:lang w:val="el-GR" w:eastAsia="el-GR"/>
        </w:rPr>
      </w:pPr>
      <w:r>
        <w:rPr>
          <w:rStyle w:val="FontStyle44"/>
          <w:lang w:val="el-GR" w:eastAsia="el-GR"/>
        </w:rPr>
        <w:t>1.</w:t>
      </w:r>
      <w:r>
        <w:rPr>
          <w:rStyle w:val="FontStyle44"/>
          <w:rFonts w:ascii="Times New Roman" w:hAnsi="Times New Roman" w:cs="Times New Roman"/>
          <w:b w:val="0"/>
          <w:bCs w:val="0"/>
          <w:lang w:val="el-GR" w:eastAsia="el-GR"/>
        </w:rPr>
        <w:tab/>
      </w:r>
      <w:r>
        <w:rPr>
          <w:rStyle w:val="FontStyle44"/>
          <w:lang w:val="el-GR" w:eastAsia="el-GR"/>
        </w:rPr>
        <w:t>ΟΝΟΜΑΣΙΑ ΤΟΥ ΦΑΡΜΑΚΕΥΤΙΚΟΥ ΠΡΟΪΟΝΤΟΣ</w:t>
      </w:r>
    </w:p>
    <w:p w:rsidR="00F7301B" w:rsidRPr="00BE441D" w:rsidRDefault="00F7301B" w:rsidP="00F7301B">
      <w:pPr>
        <w:pStyle w:val="Style5"/>
        <w:widowControl/>
        <w:spacing w:before="5" w:line="384" w:lineRule="exact"/>
        <w:ind w:right="-33"/>
        <w:rPr>
          <w:rStyle w:val="FontStyle45"/>
          <w:lang w:val="el-GR"/>
        </w:rPr>
      </w:pPr>
      <w:r>
        <w:rPr>
          <w:rStyle w:val="FontStyle45"/>
        </w:rPr>
        <w:t>ROSUVAL</w:t>
      </w:r>
      <w:r w:rsidRPr="00F7301B">
        <w:rPr>
          <w:rStyle w:val="FontStyle45"/>
          <w:lang w:val="el-GR"/>
        </w:rPr>
        <w:t>/</w:t>
      </w:r>
      <w:r>
        <w:rPr>
          <w:rStyle w:val="FontStyle45"/>
        </w:rPr>
        <w:t>HEREMCO</w:t>
      </w:r>
      <w:r w:rsidRPr="00F7301B">
        <w:rPr>
          <w:rStyle w:val="FontStyle45"/>
          <w:lang w:val="el-GR"/>
        </w:rPr>
        <w:t xml:space="preserve"> </w:t>
      </w:r>
      <w:r w:rsidR="00A502AA" w:rsidRPr="00F7301B">
        <w:rPr>
          <w:rStyle w:val="FontStyle45"/>
          <w:lang w:val="el-GR"/>
        </w:rPr>
        <w:t xml:space="preserve"> </w:t>
      </w:r>
      <w:r w:rsidR="00A502AA">
        <w:rPr>
          <w:rStyle w:val="FontStyle45"/>
          <w:lang w:val="el-GR"/>
        </w:rPr>
        <w:t xml:space="preserve">επικαλυμμένα με λεπτό υμένιο δισκία 5 </w:t>
      </w:r>
      <w:r w:rsidR="00A502AA">
        <w:rPr>
          <w:rStyle w:val="FontStyle45"/>
        </w:rPr>
        <w:t>mg</w:t>
      </w:r>
      <w:r w:rsidR="00A502AA" w:rsidRPr="00F7301B">
        <w:rPr>
          <w:rStyle w:val="FontStyle45"/>
          <w:lang w:val="el-GR"/>
        </w:rPr>
        <w:t xml:space="preserve"> </w:t>
      </w:r>
    </w:p>
    <w:p w:rsidR="00F7301B" w:rsidRPr="00F7301B" w:rsidRDefault="00F7301B" w:rsidP="00F7301B">
      <w:pPr>
        <w:pStyle w:val="Style5"/>
        <w:widowControl/>
        <w:spacing w:before="5" w:line="384" w:lineRule="exact"/>
        <w:ind w:right="-33"/>
        <w:rPr>
          <w:rStyle w:val="FontStyle45"/>
          <w:lang w:val="el-GR"/>
        </w:rPr>
      </w:pPr>
      <w:r>
        <w:rPr>
          <w:rStyle w:val="FontStyle45"/>
        </w:rPr>
        <w:t>ROSUVAL</w:t>
      </w:r>
      <w:r w:rsidRPr="00F7301B">
        <w:rPr>
          <w:rStyle w:val="FontStyle45"/>
          <w:lang w:val="el-GR"/>
        </w:rPr>
        <w:t>/</w:t>
      </w:r>
      <w:r>
        <w:rPr>
          <w:rStyle w:val="FontStyle45"/>
        </w:rPr>
        <w:t>HEREMCO</w:t>
      </w:r>
      <w:r w:rsidRPr="00F7301B">
        <w:rPr>
          <w:rStyle w:val="FontStyle45"/>
          <w:lang w:val="el-GR"/>
        </w:rPr>
        <w:t xml:space="preserve"> </w:t>
      </w:r>
      <w:r w:rsidR="00A502AA" w:rsidRPr="00F7301B">
        <w:rPr>
          <w:rStyle w:val="FontStyle45"/>
          <w:lang w:val="el-GR"/>
        </w:rPr>
        <w:t xml:space="preserve"> </w:t>
      </w:r>
      <w:r w:rsidR="00A502AA">
        <w:rPr>
          <w:rStyle w:val="FontStyle45"/>
          <w:lang w:val="el-GR"/>
        </w:rPr>
        <w:t>επικαλυμμένα</w:t>
      </w:r>
      <w:r w:rsidR="00A502AA" w:rsidRPr="00F7301B">
        <w:rPr>
          <w:rStyle w:val="FontStyle45"/>
          <w:lang w:val="el-GR"/>
        </w:rPr>
        <w:t xml:space="preserve"> </w:t>
      </w:r>
      <w:r w:rsidR="00A502AA">
        <w:rPr>
          <w:rStyle w:val="FontStyle45"/>
          <w:lang w:val="el-GR"/>
        </w:rPr>
        <w:t>με</w:t>
      </w:r>
      <w:r w:rsidR="00A502AA" w:rsidRPr="00F7301B">
        <w:rPr>
          <w:rStyle w:val="FontStyle45"/>
          <w:lang w:val="el-GR"/>
        </w:rPr>
        <w:t xml:space="preserve"> </w:t>
      </w:r>
      <w:r w:rsidR="00A502AA">
        <w:rPr>
          <w:rStyle w:val="FontStyle45"/>
          <w:lang w:val="el-GR"/>
        </w:rPr>
        <w:t>λεπτό</w:t>
      </w:r>
      <w:r w:rsidR="00A502AA" w:rsidRPr="00F7301B">
        <w:rPr>
          <w:rStyle w:val="FontStyle45"/>
          <w:lang w:val="el-GR"/>
        </w:rPr>
        <w:t xml:space="preserve"> </w:t>
      </w:r>
      <w:r w:rsidR="00A502AA">
        <w:rPr>
          <w:rStyle w:val="FontStyle45"/>
          <w:lang w:val="el-GR"/>
        </w:rPr>
        <w:t>υμένιο</w:t>
      </w:r>
      <w:r w:rsidR="00A502AA" w:rsidRPr="00F7301B">
        <w:rPr>
          <w:rStyle w:val="FontStyle45"/>
          <w:lang w:val="el-GR"/>
        </w:rPr>
        <w:t xml:space="preserve"> </w:t>
      </w:r>
      <w:r w:rsidR="00A502AA">
        <w:rPr>
          <w:rStyle w:val="FontStyle45"/>
          <w:lang w:val="el-GR"/>
        </w:rPr>
        <w:t>δισκία</w:t>
      </w:r>
      <w:r w:rsidR="00A502AA" w:rsidRPr="00F7301B">
        <w:rPr>
          <w:rStyle w:val="FontStyle45"/>
          <w:lang w:val="el-GR"/>
        </w:rPr>
        <w:t xml:space="preserve">, 10 </w:t>
      </w:r>
      <w:r w:rsidR="00A502AA">
        <w:rPr>
          <w:rStyle w:val="FontStyle45"/>
        </w:rPr>
        <w:t>mg</w:t>
      </w:r>
    </w:p>
    <w:p w:rsidR="00F7301B" w:rsidRPr="00F7301B" w:rsidRDefault="00F7301B" w:rsidP="00F7301B">
      <w:pPr>
        <w:pStyle w:val="Style5"/>
        <w:widowControl/>
        <w:spacing w:before="5" w:line="384" w:lineRule="exact"/>
        <w:ind w:right="-33"/>
        <w:rPr>
          <w:rStyle w:val="FontStyle45"/>
          <w:lang w:val="el-GR"/>
        </w:rPr>
      </w:pPr>
      <w:r>
        <w:rPr>
          <w:rStyle w:val="FontStyle45"/>
        </w:rPr>
        <w:t>ROSUVAL</w:t>
      </w:r>
      <w:r w:rsidRPr="00F7301B">
        <w:rPr>
          <w:rStyle w:val="FontStyle45"/>
          <w:lang w:val="el-GR"/>
        </w:rPr>
        <w:t>/</w:t>
      </w:r>
      <w:r>
        <w:rPr>
          <w:rStyle w:val="FontStyle45"/>
        </w:rPr>
        <w:t>HEREMCO</w:t>
      </w:r>
      <w:r w:rsidRPr="00F7301B">
        <w:rPr>
          <w:rStyle w:val="FontStyle45"/>
          <w:lang w:val="el-GR"/>
        </w:rPr>
        <w:t xml:space="preserve"> </w:t>
      </w:r>
      <w:r w:rsidR="00A502AA" w:rsidRPr="00F7301B">
        <w:rPr>
          <w:rStyle w:val="FontStyle45"/>
          <w:lang w:val="el-GR"/>
        </w:rPr>
        <w:t xml:space="preserve"> </w:t>
      </w:r>
      <w:r w:rsidR="00A502AA">
        <w:rPr>
          <w:rStyle w:val="FontStyle45"/>
          <w:lang w:val="el-GR"/>
        </w:rPr>
        <w:t>επικαλυμμένα</w:t>
      </w:r>
      <w:r w:rsidR="00A502AA" w:rsidRPr="00F7301B">
        <w:rPr>
          <w:rStyle w:val="FontStyle45"/>
          <w:lang w:val="el-GR"/>
        </w:rPr>
        <w:t xml:space="preserve"> </w:t>
      </w:r>
      <w:r w:rsidR="00A502AA">
        <w:rPr>
          <w:rStyle w:val="FontStyle45"/>
          <w:lang w:val="el-GR"/>
        </w:rPr>
        <w:t>με</w:t>
      </w:r>
      <w:r w:rsidR="00A502AA" w:rsidRPr="00F7301B">
        <w:rPr>
          <w:rStyle w:val="FontStyle45"/>
          <w:lang w:val="el-GR"/>
        </w:rPr>
        <w:t xml:space="preserve"> </w:t>
      </w:r>
      <w:r w:rsidR="00A502AA">
        <w:rPr>
          <w:rStyle w:val="FontStyle45"/>
          <w:lang w:val="el-GR"/>
        </w:rPr>
        <w:t>λεπτό</w:t>
      </w:r>
      <w:r w:rsidR="00A502AA" w:rsidRPr="00F7301B">
        <w:rPr>
          <w:rStyle w:val="FontStyle45"/>
          <w:lang w:val="el-GR"/>
        </w:rPr>
        <w:t xml:space="preserve"> </w:t>
      </w:r>
      <w:r w:rsidR="00A502AA">
        <w:rPr>
          <w:rStyle w:val="FontStyle45"/>
          <w:lang w:val="el-GR"/>
        </w:rPr>
        <w:t>υμένιο</w:t>
      </w:r>
      <w:r w:rsidR="00A502AA" w:rsidRPr="00F7301B">
        <w:rPr>
          <w:rStyle w:val="FontStyle45"/>
          <w:lang w:val="el-GR"/>
        </w:rPr>
        <w:t xml:space="preserve"> </w:t>
      </w:r>
      <w:r w:rsidR="00A502AA">
        <w:rPr>
          <w:rStyle w:val="FontStyle45"/>
          <w:lang w:val="el-GR"/>
        </w:rPr>
        <w:t>δισκία</w:t>
      </w:r>
      <w:r w:rsidR="00A502AA" w:rsidRPr="00F7301B">
        <w:rPr>
          <w:rStyle w:val="FontStyle45"/>
          <w:lang w:val="el-GR"/>
        </w:rPr>
        <w:t xml:space="preserve"> 20 </w:t>
      </w:r>
      <w:r w:rsidR="00A502AA">
        <w:rPr>
          <w:rStyle w:val="FontStyle45"/>
        </w:rPr>
        <w:t>mg</w:t>
      </w:r>
      <w:r w:rsidR="00A502AA" w:rsidRPr="00F7301B">
        <w:rPr>
          <w:rStyle w:val="FontStyle45"/>
          <w:lang w:val="el-GR"/>
        </w:rPr>
        <w:t xml:space="preserve"> </w:t>
      </w:r>
    </w:p>
    <w:p w:rsidR="00A502AA" w:rsidRPr="006C66E1" w:rsidRDefault="00F7301B" w:rsidP="00F7301B">
      <w:pPr>
        <w:pStyle w:val="Style5"/>
        <w:widowControl/>
        <w:spacing w:before="5" w:line="384" w:lineRule="exact"/>
        <w:ind w:right="-33"/>
        <w:rPr>
          <w:rStyle w:val="FontStyle45"/>
          <w:lang w:val="el-GR"/>
        </w:rPr>
      </w:pPr>
      <w:r>
        <w:rPr>
          <w:rStyle w:val="FontStyle45"/>
        </w:rPr>
        <w:t>ROSUVAL</w:t>
      </w:r>
      <w:r w:rsidRPr="006C66E1">
        <w:rPr>
          <w:rStyle w:val="FontStyle45"/>
          <w:lang w:val="el-GR"/>
        </w:rPr>
        <w:t>/</w:t>
      </w:r>
      <w:r>
        <w:rPr>
          <w:rStyle w:val="FontStyle45"/>
        </w:rPr>
        <w:t>HEREMCO</w:t>
      </w:r>
      <w:r w:rsidRPr="006C66E1">
        <w:rPr>
          <w:rStyle w:val="FontStyle45"/>
          <w:lang w:val="el-GR"/>
        </w:rPr>
        <w:t xml:space="preserve"> </w:t>
      </w:r>
      <w:r w:rsidR="00A502AA" w:rsidRPr="006C66E1">
        <w:rPr>
          <w:rStyle w:val="FontStyle45"/>
          <w:lang w:val="el-GR"/>
        </w:rPr>
        <w:t xml:space="preserve"> </w:t>
      </w:r>
      <w:r w:rsidR="00A502AA">
        <w:rPr>
          <w:rStyle w:val="FontStyle45"/>
          <w:lang w:val="el-GR"/>
        </w:rPr>
        <w:t>επικαλυμμένα</w:t>
      </w:r>
      <w:r w:rsidR="00A502AA" w:rsidRPr="006C66E1">
        <w:rPr>
          <w:rStyle w:val="FontStyle45"/>
          <w:lang w:val="el-GR"/>
        </w:rPr>
        <w:t xml:space="preserve"> </w:t>
      </w:r>
      <w:r w:rsidR="00A502AA">
        <w:rPr>
          <w:rStyle w:val="FontStyle45"/>
          <w:lang w:val="el-GR"/>
        </w:rPr>
        <w:t>με</w:t>
      </w:r>
      <w:r w:rsidR="00A502AA" w:rsidRPr="006C66E1">
        <w:rPr>
          <w:rStyle w:val="FontStyle45"/>
          <w:lang w:val="el-GR"/>
        </w:rPr>
        <w:t xml:space="preserve"> </w:t>
      </w:r>
      <w:r w:rsidR="00A502AA">
        <w:rPr>
          <w:rStyle w:val="FontStyle45"/>
          <w:lang w:val="el-GR"/>
        </w:rPr>
        <w:t>λεπτό</w:t>
      </w:r>
      <w:r w:rsidR="00A502AA" w:rsidRPr="006C66E1">
        <w:rPr>
          <w:rStyle w:val="FontStyle45"/>
          <w:lang w:val="el-GR"/>
        </w:rPr>
        <w:t xml:space="preserve"> </w:t>
      </w:r>
      <w:r w:rsidR="00A502AA">
        <w:rPr>
          <w:rStyle w:val="FontStyle45"/>
          <w:lang w:val="el-GR"/>
        </w:rPr>
        <w:t>υμένιο</w:t>
      </w:r>
      <w:r w:rsidR="00A502AA" w:rsidRPr="006C66E1">
        <w:rPr>
          <w:rStyle w:val="FontStyle45"/>
          <w:lang w:val="el-GR"/>
        </w:rPr>
        <w:t xml:space="preserve"> </w:t>
      </w:r>
      <w:r w:rsidR="00A502AA">
        <w:rPr>
          <w:rStyle w:val="FontStyle45"/>
          <w:lang w:val="el-GR"/>
        </w:rPr>
        <w:t>δισκία</w:t>
      </w:r>
      <w:r w:rsidR="00A502AA" w:rsidRPr="006C66E1">
        <w:rPr>
          <w:rStyle w:val="FontStyle45"/>
          <w:lang w:val="el-GR"/>
        </w:rPr>
        <w:t xml:space="preserve"> 40 </w:t>
      </w:r>
      <w:r w:rsidR="00A502AA">
        <w:rPr>
          <w:rStyle w:val="FontStyle45"/>
        </w:rPr>
        <w:t>mg</w:t>
      </w:r>
    </w:p>
    <w:p w:rsidR="00A502AA" w:rsidRPr="006C66E1" w:rsidRDefault="00A502AA">
      <w:pPr>
        <w:pStyle w:val="Style8"/>
        <w:widowControl/>
        <w:spacing w:line="240" w:lineRule="exact"/>
        <w:rPr>
          <w:sz w:val="20"/>
          <w:szCs w:val="20"/>
          <w:lang w:val="el-GR"/>
        </w:rPr>
      </w:pPr>
    </w:p>
    <w:p w:rsidR="00A502AA" w:rsidRPr="006C66E1" w:rsidRDefault="00A502AA">
      <w:pPr>
        <w:pStyle w:val="Style8"/>
        <w:widowControl/>
        <w:spacing w:line="240" w:lineRule="exact"/>
        <w:rPr>
          <w:sz w:val="20"/>
          <w:szCs w:val="20"/>
          <w:lang w:val="el-GR"/>
        </w:rPr>
      </w:pPr>
    </w:p>
    <w:p w:rsidR="00A502AA" w:rsidRDefault="00A502AA">
      <w:pPr>
        <w:pStyle w:val="Style8"/>
        <w:widowControl/>
        <w:tabs>
          <w:tab w:val="left" w:pos="557"/>
        </w:tabs>
        <w:spacing w:before="34"/>
        <w:rPr>
          <w:rStyle w:val="FontStyle44"/>
          <w:lang w:val="el-GR" w:eastAsia="el-GR"/>
        </w:rPr>
      </w:pPr>
      <w:r>
        <w:rPr>
          <w:rStyle w:val="FontStyle44"/>
          <w:lang w:val="el-GR" w:eastAsia="el-GR"/>
        </w:rPr>
        <w:t>2.</w:t>
      </w:r>
      <w:r>
        <w:rPr>
          <w:rStyle w:val="FontStyle44"/>
          <w:rFonts w:ascii="Times New Roman" w:hAnsi="Times New Roman" w:cs="Times New Roman"/>
          <w:b w:val="0"/>
          <w:bCs w:val="0"/>
          <w:lang w:val="el-GR" w:eastAsia="el-GR"/>
        </w:rPr>
        <w:tab/>
      </w:r>
      <w:r>
        <w:rPr>
          <w:rStyle w:val="FontStyle44"/>
          <w:lang w:val="el-GR" w:eastAsia="el-GR"/>
        </w:rPr>
        <w:t>ΠΟΙΟΤΙΚΗ ΚΑΙ ΠΟΣΟΤΙΚΗ ΣΥΝΘΕΣΗ</w:t>
      </w:r>
    </w:p>
    <w:p w:rsidR="00A502AA" w:rsidRDefault="00A502AA">
      <w:pPr>
        <w:pStyle w:val="Style7"/>
        <w:widowControl/>
        <w:spacing w:before="120"/>
        <w:jc w:val="left"/>
        <w:rPr>
          <w:rStyle w:val="FontStyle45"/>
          <w:lang w:val="el-GR" w:eastAsia="el-GR"/>
        </w:rPr>
      </w:pPr>
      <w:r>
        <w:rPr>
          <w:rStyle w:val="FontStyle45"/>
          <w:lang w:val="el-GR" w:eastAsia="el-GR"/>
        </w:rPr>
        <w:t xml:space="preserve">5 </w:t>
      </w:r>
      <w:r>
        <w:rPr>
          <w:rStyle w:val="FontStyle45"/>
          <w:lang w:eastAsia="el-GR"/>
        </w:rPr>
        <w:t>mg</w:t>
      </w:r>
      <w:r w:rsidRPr="00F7301B">
        <w:rPr>
          <w:rStyle w:val="FontStyle45"/>
          <w:lang w:val="el-GR" w:eastAsia="el-GR"/>
        </w:rPr>
        <w:t xml:space="preserve">: </w:t>
      </w:r>
      <w:r>
        <w:rPr>
          <w:rStyle w:val="FontStyle45"/>
          <w:lang w:val="el-GR" w:eastAsia="el-GR"/>
        </w:rPr>
        <w:t xml:space="preserve">Κάθε δισκίο περιέχει 5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(ως </w:t>
      </w:r>
      <w:r>
        <w:rPr>
          <w:rStyle w:val="FontStyle45"/>
          <w:lang w:eastAsia="el-GR"/>
        </w:rPr>
        <w:t>rosuvastatin</w:t>
      </w:r>
      <w:r w:rsidRPr="00F7301B">
        <w:rPr>
          <w:rStyle w:val="FontStyle45"/>
          <w:lang w:val="el-GR" w:eastAsia="el-GR"/>
        </w:rPr>
        <w:t xml:space="preserve"> </w:t>
      </w:r>
      <w:r w:rsidR="00BE441D">
        <w:rPr>
          <w:rStyle w:val="FontStyle45"/>
          <w:lang w:eastAsia="el-GR"/>
        </w:rPr>
        <w:t>calcium</w:t>
      </w:r>
      <w:r w:rsidR="00BE441D" w:rsidRPr="00BE441D">
        <w:rPr>
          <w:rStyle w:val="FontStyle45"/>
          <w:lang w:val="el-GR" w:eastAsia="el-GR"/>
        </w:rPr>
        <w:t xml:space="preserve">) </w:t>
      </w:r>
    </w:p>
    <w:p w:rsidR="00A502AA" w:rsidRDefault="00A502AA">
      <w:pPr>
        <w:pStyle w:val="Style7"/>
        <w:widowControl/>
        <w:spacing w:before="101"/>
        <w:jc w:val="left"/>
        <w:rPr>
          <w:rStyle w:val="FontStyle45"/>
          <w:lang w:val="el-GR" w:eastAsia="el-GR"/>
        </w:rPr>
      </w:pPr>
      <w:r>
        <w:rPr>
          <w:rStyle w:val="FontStyle45"/>
          <w:lang w:val="el-GR" w:eastAsia="el-GR"/>
        </w:rPr>
        <w:t xml:space="preserve">10 </w:t>
      </w:r>
      <w:r>
        <w:rPr>
          <w:rStyle w:val="FontStyle45"/>
          <w:lang w:eastAsia="el-GR"/>
        </w:rPr>
        <w:t>mg</w:t>
      </w:r>
      <w:r w:rsidRPr="00F7301B">
        <w:rPr>
          <w:rStyle w:val="FontStyle45"/>
          <w:lang w:val="el-GR" w:eastAsia="el-GR"/>
        </w:rPr>
        <w:t xml:space="preserve">: </w:t>
      </w:r>
      <w:r>
        <w:rPr>
          <w:rStyle w:val="FontStyle45"/>
          <w:lang w:val="el-GR" w:eastAsia="el-GR"/>
        </w:rPr>
        <w:t xml:space="preserve">Κάθε δισκίο περιέχει 10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(ως </w:t>
      </w:r>
      <w:r>
        <w:rPr>
          <w:rStyle w:val="FontStyle45"/>
          <w:lang w:eastAsia="el-GR"/>
        </w:rPr>
        <w:t>rosuvastatin</w:t>
      </w:r>
      <w:r w:rsidRPr="00F7301B">
        <w:rPr>
          <w:rStyle w:val="FontStyle45"/>
          <w:lang w:val="el-GR" w:eastAsia="el-GR"/>
        </w:rPr>
        <w:t xml:space="preserve"> </w:t>
      </w:r>
      <w:r w:rsidR="00BE441D">
        <w:rPr>
          <w:rStyle w:val="FontStyle45"/>
          <w:lang w:eastAsia="el-GR"/>
        </w:rPr>
        <w:t>calcium</w:t>
      </w:r>
      <w:r w:rsidR="00BE441D" w:rsidRPr="00BE441D">
        <w:rPr>
          <w:rStyle w:val="FontStyle45"/>
          <w:lang w:val="el-GR" w:eastAsia="el-GR"/>
        </w:rPr>
        <w:t xml:space="preserve">) </w:t>
      </w:r>
    </w:p>
    <w:p w:rsidR="00A502AA" w:rsidRDefault="00A502AA">
      <w:pPr>
        <w:pStyle w:val="Style7"/>
        <w:widowControl/>
        <w:spacing w:before="110" w:line="269" w:lineRule="exact"/>
        <w:jc w:val="left"/>
        <w:rPr>
          <w:rStyle w:val="FontStyle45"/>
          <w:lang w:val="el-GR" w:eastAsia="el-GR"/>
        </w:rPr>
      </w:pPr>
      <w:r>
        <w:rPr>
          <w:rStyle w:val="FontStyle45"/>
          <w:lang w:val="el-GR" w:eastAsia="el-GR"/>
        </w:rPr>
        <w:t xml:space="preserve">20 </w:t>
      </w:r>
      <w:r>
        <w:rPr>
          <w:rStyle w:val="FontStyle45"/>
          <w:lang w:eastAsia="el-GR"/>
        </w:rPr>
        <w:t>mg</w:t>
      </w:r>
      <w:r w:rsidRPr="00F7301B">
        <w:rPr>
          <w:rStyle w:val="FontStyle45"/>
          <w:lang w:val="el-GR" w:eastAsia="el-GR"/>
        </w:rPr>
        <w:t xml:space="preserve">: </w:t>
      </w:r>
      <w:r>
        <w:rPr>
          <w:rStyle w:val="FontStyle45"/>
          <w:lang w:val="el-GR" w:eastAsia="el-GR"/>
        </w:rPr>
        <w:t xml:space="preserve">Κάθε δισκίο περιέχει 20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(ως </w:t>
      </w:r>
      <w:r>
        <w:rPr>
          <w:rStyle w:val="FontStyle45"/>
          <w:lang w:eastAsia="el-GR"/>
        </w:rPr>
        <w:t>rosuvastatin</w:t>
      </w:r>
      <w:r w:rsidRPr="00F7301B">
        <w:rPr>
          <w:rStyle w:val="FontStyle45"/>
          <w:lang w:val="el-GR" w:eastAsia="el-GR"/>
        </w:rPr>
        <w:t xml:space="preserve"> </w:t>
      </w:r>
      <w:r w:rsidR="00BE441D">
        <w:rPr>
          <w:rStyle w:val="FontStyle45"/>
          <w:lang w:eastAsia="el-GR"/>
        </w:rPr>
        <w:t>calcium</w:t>
      </w:r>
      <w:r w:rsidR="00BE441D" w:rsidRPr="00BE441D">
        <w:rPr>
          <w:rStyle w:val="FontStyle45"/>
          <w:lang w:val="el-GR" w:eastAsia="el-GR"/>
        </w:rPr>
        <w:t xml:space="preserve">) </w:t>
      </w:r>
    </w:p>
    <w:p w:rsidR="00A502AA" w:rsidRDefault="00A502AA">
      <w:pPr>
        <w:pStyle w:val="Style7"/>
        <w:widowControl/>
        <w:spacing w:before="106"/>
        <w:jc w:val="left"/>
        <w:rPr>
          <w:rStyle w:val="FontStyle45"/>
          <w:lang w:val="el-GR" w:eastAsia="el-GR"/>
        </w:rPr>
      </w:pPr>
      <w:r>
        <w:rPr>
          <w:rStyle w:val="FontStyle45"/>
          <w:lang w:val="el-GR" w:eastAsia="el-GR"/>
        </w:rPr>
        <w:t xml:space="preserve">40 </w:t>
      </w:r>
      <w:r>
        <w:rPr>
          <w:rStyle w:val="FontStyle45"/>
          <w:lang w:eastAsia="el-GR"/>
        </w:rPr>
        <w:t>mg</w:t>
      </w:r>
      <w:r w:rsidRPr="00F7301B">
        <w:rPr>
          <w:rStyle w:val="FontStyle45"/>
          <w:lang w:val="el-GR" w:eastAsia="el-GR"/>
        </w:rPr>
        <w:t xml:space="preserve">: </w:t>
      </w:r>
      <w:r>
        <w:rPr>
          <w:rStyle w:val="FontStyle45"/>
          <w:lang w:val="el-GR" w:eastAsia="el-GR"/>
        </w:rPr>
        <w:t xml:space="preserve">Κάθε δισκίο περιέχει 40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(ως </w:t>
      </w:r>
      <w:r>
        <w:rPr>
          <w:rStyle w:val="FontStyle45"/>
          <w:lang w:eastAsia="el-GR"/>
        </w:rPr>
        <w:t>rosuvastatin</w:t>
      </w:r>
      <w:r w:rsidRPr="00F7301B">
        <w:rPr>
          <w:rStyle w:val="FontStyle45"/>
          <w:lang w:val="el-GR" w:eastAsia="el-GR"/>
        </w:rPr>
        <w:t xml:space="preserve"> </w:t>
      </w:r>
      <w:r w:rsidR="00BE441D">
        <w:rPr>
          <w:rStyle w:val="FontStyle45"/>
          <w:lang w:eastAsia="el-GR"/>
        </w:rPr>
        <w:t>calcium</w:t>
      </w:r>
      <w:r w:rsidR="00BE441D" w:rsidRPr="00BE441D">
        <w:rPr>
          <w:rStyle w:val="FontStyle45"/>
          <w:lang w:val="el-GR" w:eastAsia="el-GR"/>
        </w:rPr>
        <w:t xml:space="preserve">) </w:t>
      </w:r>
    </w:p>
    <w:p w:rsidR="00A502AA" w:rsidRPr="00F7301B" w:rsidRDefault="00A502AA">
      <w:pPr>
        <w:pStyle w:val="Style5"/>
        <w:widowControl/>
        <w:spacing w:line="240" w:lineRule="exact"/>
        <w:rPr>
          <w:sz w:val="20"/>
          <w:szCs w:val="20"/>
          <w:lang w:val="el-GR"/>
        </w:rPr>
      </w:pPr>
    </w:p>
    <w:p w:rsidR="00A502AA" w:rsidRPr="00F7301B" w:rsidRDefault="00A502AA">
      <w:pPr>
        <w:pStyle w:val="Style5"/>
        <w:widowControl/>
        <w:spacing w:line="240" w:lineRule="exact"/>
        <w:rPr>
          <w:sz w:val="20"/>
          <w:szCs w:val="20"/>
          <w:lang w:val="el-GR"/>
        </w:rPr>
      </w:pPr>
    </w:p>
    <w:p w:rsidR="00A502AA" w:rsidRDefault="00A502AA">
      <w:pPr>
        <w:pStyle w:val="Style5"/>
        <w:widowControl/>
        <w:spacing w:before="48" w:line="240" w:lineRule="auto"/>
        <w:rPr>
          <w:rStyle w:val="FontStyle45"/>
          <w:lang w:val="el-GR" w:eastAsia="el-GR"/>
        </w:rPr>
      </w:pPr>
      <w:r>
        <w:rPr>
          <w:rStyle w:val="FontStyle45"/>
          <w:lang w:val="el-GR" w:eastAsia="el-GR"/>
        </w:rPr>
        <w:t xml:space="preserve">Για την πλήρη λίστα των εκδόχων, </w:t>
      </w:r>
      <w:r>
        <w:rPr>
          <w:rStyle w:val="FontStyle43"/>
          <w:lang w:val="el-GR" w:eastAsia="el-GR"/>
        </w:rPr>
        <w:t xml:space="preserve">βλ. Παράγραφο </w:t>
      </w:r>
      <w:r>
        <w:rPr>
          <w:rStyle w:val="FontStyle45"/>
          <w:lang w:val="el-GR" w:eastAsia="el-GR"/>
        </w:rPr>
        <w:t>6.1.</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7"/>
        </w:tabs>
        <w:spacing w:before="67"/>
        <w:rPr>
          <w:rStyle w:val="FontStyle44"/>
          <w:lang w:val="el-GR" w:eastAsia="el-GR"/>
        </w:rPr>
      </w:pPr>
      <w:r>
        <w:rPr>
          <w:rStyle w:val="FontStyle44"/>
          <w:lang w:val="el-GR" w:eastAsia="el-GR"/>
        </w:rPr>
        <w:t>3.</w:t>
      </w:r>
      <w:r>
        <w:rPr>
          <w:rStyle w:val="FontStyle44"/>
          <w:rFonts w:ascii="Times New Roman" w:hAnsi="Times New Roman" w:cs="Times New Roman"/>
          <w:b w:val="0"/>
          <w:bCs w:val="0"/>
          <w:lang w:val="el-GR" w:eastAsia="el-GR"/>
        </w:rPr>
        <w:tab/>
      </w:r>
      <w:r>
        <w:rPr>
          <w:rStyle w:val="FontStyle44"/>
          <w:lang w:val="el-GR" w:eastAsia="el-GR"/>
        </w:rPr>
        <w:t>ΦΑΡΜΑΚΟΤΕΧΝΙΚΗ ΜΟΡΦΗ</w:t>
      </w:r>
    </w:p>
    <w:p w:rsidR="00A502AA" w:rsidRDefault="00A502AA">
      <w:pPr>
        <w:pStyle w:val="Style5"/>
        <w:widowControl/>
        <w:spacing w:before="154" w:line="240" w:lineRule="auto"/>
        <w:rPr>
          <w:rStyle w:val="FontStyle45"/>
          <w:lang w:val="el-GR" w:eastAsia="el-GR"/>
        </w:rPr>
      </w:pPr>
      <w:r>
        <w:rPr>
          <w:rStyle w:val="FontStyle45"/>
          <w:lang w:val="el-GR" w:eastAsia="el-GR"/>
        </w:rPr>
        <w:t xml:space="preserve">5 </w:t>
      </w:r>
      <w:r>
        <w:rPr>
          <w:rStyle w:val="FontStyle45"/>
          <w:lang w:eastAsia="el-GR"/>
        </w:rPr>
        <w:t>mg</w:t>
      </w:r>
      <w:r w:rsidRPr="00F7301B">
        <w:rPr>
          <w:rStyle w:val="FontStyle45"/>
          <w:lang w:val="el-GR" w:eastAsia="el-GR"/>
        </w:rPr>
        <w:t xml:space="preserve">: </w:t>
      </w:r>
      <w:r>
        <w:rPr>
          <w:rStyle w:val="FontStyle45"/>
          <w:lang w:val="el-GR" w:eastAsia="el-GR"/>
        </w:rPr>
        <w:t>Επικαλυμμένο με λεπτό υμένιο δισκίο.</w:t>
      </w:r>
    </w:p>
    <w:p w:rsidR="00A502AA" w:rsidRDefault="00A502AA">
      <w:pPr>
        <w:pStyle w:val="Style5"/>
        <w:widowControl/>
        <w:spacing w:before="144" w:line="240" w:lineRule="auto"/>
        <w:rPr>
          <w:rStyle w:val="FontStyle45"/>
          <w:lang w:val="el-GR" w:eastAsia="el-GR"/>
        </w:rPr>
      </w:pPr>
      <w:r>
        <w:rPr>
          <w:rStyle w:val="FontStyle45"/>
          <w:lang w:val="el-GR" w:eastAsia="el-GR"/>
        </w:rPr>
        <w:t xml:space="preserve">10 </w:t>
      </w:r>
      <w:r>
        <w:rPr>
          <w:rStyle w:val="FontStyle45"/>
          <w:lang w:eastAsia="el-GR"/>
        </w:rPr>
        <w:t>mg</w:t>
      </w:r>
      <w:r w:rsidRPr="00F7301B">
        <w:rPr>
          <w:rStyle w:val="FontStyle45"/>
          <w:lang w:val="el-GR" w:eastAsia="el-GR"/>
        </w:rPr>
        <w:t xml:space="preserve">: </w:t>
      </w:r>
      <w:r>
        <w:rPr>
          <w:rStyle w:val="FontStyle45"/>
          <w:lang w:val="el-GR" w:eastAsia="el-GR"/>
        </w:rPr>
        <w:t>Επικαλυμμένο με λεπτό υμένιο δισκίο.</w:t>
      </w:r>
    </w:p>
    <w:p w:rsidR="00A502AA" w:rsidRDefault="00A502AA">
      <w:pPr>
        <w:pStyle w:val="Style5"/>
        <w:widowControl/>
        <w:spacing w:before="149" w:line="240" w:lineRule="auto"/>
        <w:rPr>
          <w:rStyle w:val="FontStyle45"/>
          <w:lang w:val="el-GR" w:eastAsia="el-GR"/>
        </w:rPr>
      </w:pPr>
      <w:r>
        <w:rPr>
          <w:rStyle w:val="FontStyle45"/>
          <w:lang w:val="el-GR" w:eastAsia="el-GR"/>
        </w:rPr>
        <w:t xml:space="preserve">20 </w:t>
      </w:r>
      <w:r>
        <w:rPr>
          <w:rStyle w:val="FontStyle45"/>
          <w:lang w:eastAsia="el-GR"/>
        </w:rPr>
        <w:t>mg</w:t>
      </w:r>
      <w:r w:rsidRPr="00F7301B">
        <w:rPr>
          <w:rStyle w:val="FontStyle45"/>
          <w:lang w:val="el-GR" w:eastAsia="el-GR"/>
        </w:rPr>
        <w:t xml:space="preserve">: </w:t>
      </w:r>
      <w:r>
        <w:rPr>
          <w:rStyle w:val="FontStyle45"/>
          <w:lang w:val="el-GR" w:eastAsia="el-GR"/>
        </w:rPr>
        <w:t>Επικαλυμμένο με λεπτό υμένιο δισκίο.</w:t>
      </w:r>
    </w:p>
    <w:p w:rsidR="00A502AA" w:rsidRDefault="00A502AA">
      <w:pPr>
        <w:pStyle w:val="Style5"/>
        <w:widowControl/>
        <w:spacing w:before="149" w:line="240" w:lineRule="auto"/>
        <w:rPr>
          <w:rStyle w:val="FontStyle45"/>
          <w:lang w:val="el-GR" w:eastAsia="el-GR"/>
        </w:rPr>
      </w:pPr>
      <w:r>
        <w:rPr>
          <w:rStyle w:val="FontStyle45"/>
          <w:lang w:val="el-GR" w:eastAsia="el-GR"/>
        </w:rPr>
        <w:t xml:space="preserve">40 </w:t>
      </w:r>
      <w:r>
        <w:rPr>
          <w:rStyle w:val="FontStyle45"/>
          <w:lang w:eastAsia="el-GR"/>
        </w:rPr>
        <w:t>mg</w:t>
      </w:r>
      <w:r w:rsidRPr="00F7301B">
        <w:rPr>
          <w:rStyle w:val="FontStyle45"/>
          <w:lang w:val="el-GR" w:eastAsia="el-GR"/>
        </w:rPr>
        <w:t xml:space="preserve">: </w:t>
      </w:r>
      <w:r>
        <w:rPr>
          <w:rStyle w:val="FontStyle45"/>
          <w:lang w:val="el-GR" w:eastAsia="el-GR"/>
        </w:rPr>
        <w:t>Επικαλυμμένο με λεπτό υμένιο δισκίο.</w:t>
      </w:r>
    </w:p>
    <w:p w:rsidR="00A502AA" w:rsidRDefault="00A502AA">
      <w:pPr>
        <w:pStyle w:val="Style7"/>
        <w:widowControl/>
        <w:spacing w:before="130" w:line="264" w:lineRule="exact"/>
        <w:rPr>
          <w:rStyle w:val="FontStyle45"/>
          <w:lang w:val="el-GR" w:eastAsia="el-GR"/>
        </w:rPr>
      </w:pPr>
    </w:p>
    <w:p w:rsidR="00A502AA" w:rsidRDefault="00A502AA">
      <w:pPr>
        <w:pStyle w:val="Style12"/>
        <w:widowControl/>
        <w:spacing w:before="48"/>
        <w:rPr>
          <w:rStyle w:val="FontStyle44"/>
          <w:lang w:val="el-GR" w:eastAsia="el-GR"/>
        </w:rPr>
      </w:pPr>
      <w:r>
        <w:rPr>
          <w:rStyle w:val="FontStyle44"/>
          <w:lang w:val="el-GR" w:eastAsia="el-GR"/>
        </w:rPr>
        <w:t>4.    ΚΛΙΝΙΚΕΣ ΠΛΗΡΟΦΟΡΙΕΣ</w:t>
      </w:r>
    </w:p>
    <w:p w:rsidR="00A502AA" w:rsidRPr="00F7301B" w:rsidRDefault="00A502AA">
      <w:pPr>
        <w:pStyle w:val="Style10"/>
        <w:widowControl/>
        <w:spacing w:line="240" w:lineRule="exact"/>
        <w:ind w:right="4493"/>
        <w:rPr>
          <w:sz w:val="20"/>
          <w:szCs w:val="20"/>
          <w:lang w:val="el-GR"/>
        </w:rPr>
      </w:pPr>
    </w:p>
    <w:p w:rsidR="00A502AA" w:rsidRDefault="00A502AA">
      <w:pPr>
        <w:pStyle w:val="Style10"/>
        <w:widowControl/>
        <w:tabs>
          <w:tab w:val="left" w:pos="562"/>
        </w:tabs>
        <w:spacing w:before="178"/>
        <w:ind w:right="4493"/>
        <w:rPr>
          <w:rStyle w:val="FontStyle44"/>
          <w:lang w:val="el-GR" w:eastAsia="el-GR"/>
        </w:rPr>
      </w:pPr>
      <w:r>
        <w:rPr>
          <w:rStyle w:val="FontStyle44"/>
          <w:lang w:val="el-GR" w:eastAsia="el-GR"/>
        </w:rPr>
        <w:t>4.1</w:t>
      </w:r>
      <w:r>
        <w:rPr>
          <w:rStyle w:val="FontStyle44"/>
          <w:rFonts w:ascii="Times New Roman" w:hAnsi="Times New Roman" w:cs="Times New Roman"/>
          <w:b w:val="0"/>
          <w:bCs w:val="0"/>
          <w:lang w:val="el-GR" w:eastAsia="el-GR"/>
        </w:rPr>
        <w:tab/>
      </w:r>
      <w:r>
        <w:rPr>
          <w:rStyle w:val="FontStyle44"/>
          <w:lang w:val="el-GR" w:eastAsia="el-GR"/>
        </w:rPr>
        <w:t>Θεραπευτικές ενδείξεις</w:t>
      </w:r>
      <w:r>
        <w:rPr>
          <w:rStyle w:val="FontStyle44"/>
          <w:lang w:val="el-GR" w:eastAsia="el-GR"/>
        </w:rPr>
        <w:br/>
        <w:t>Θεραπεία της υπερχοληστερολαιμίας</w:t>
      </w:r>
    </w:p>
    <w:p w:rsidR="00A502AA" w:rsidRDefault="00A502AA">
      <w:pPr>
        <w:pStyle w:val="Style7"/>
        <w:widowControl/>
        <w:spacing w:before="91" w:line="264" w:lineRule="exact"/>
        <w:rPr>
          <w:rStyle w:val="FontStyle45"/>
          <w:lang w:val="el-GR" w:eastAsia="el-GR"/>
        </w:rPr>
      </w:pPr>
      <w:r>
        <w:rPr>
          <w:rStyle w:val="FontStyle45"/>
          <w:lang w:val="el-GR" w:eastAsia="el-GR"/>
        </w:rPr>
        <w:t xml:space="preserve">Ενήλικες, έφηβοι και παιδιά ηλικίας 6 ετών ή μεγαλύτερα με πρωτοπαθή υπερχοληστερολαιμία (τύπου </w:t>
      </w:r>
      <w:r>
        <w:rPr>
          <w:rStyle w:val="FontStyle45"/>
          <w:lang w:eastAsia="el-GR"/>
        </w:rPr>
        <w:t>Ha</w:t>
      </w:r>
      <w:r w:rsidRPr="00F7301B">
        <w:rPr>
          <w:rStyle w:val="FontStyle45"/>
          <w:lang w:val="el-GR" w:eastAsia="el-GR"/>
        </w:rPr>
        <w:t xml:space="preserve">, </w:t>
      </w:r>
      <w:r>
        <w:rPr>
          <w:rStyle w:val="FontStyle45"/>
          <w:lang w:val="el-GR" w:eastAsia="el-GR"/>
        </w:rPr>
        <w:t xml:space="preserve">συμπεριλαμβανομένης της ετερόζυγης οικογενούς υπερχοληστερολαιμίας) ή μικτή δυσλιπιδαιμία (τύπου </w:t>
      </w:r>
      <w:r>
        <w:rPr>
          <w:rStyle w:val="FontStyle45"/>
          <w:lang w:eastAsia="el-GR"/>
        </w:rPr>
        <w:t>Ub</w:t>
      </w:r>
      <w:r w:rsidRPr="00F7301B">
        <w:rPr>
          <w:rStyle w:val="FontStyle45"/>
          <w:lang w:val="el-GR" w:eastAsia="el-GR"/>
        </w:rPr>
        <w:t xml:space="preserve">), </w:t>
      </w:r>
      <w:r>
        <w:rPr>
          <w:rStyle w:val="FontStyle45"/>
          <w:lang w:val="el-GR" w:eastAsia="el-GR"/>
        </w:rPr>
        <w:t>ως συμπλήρωμα της δίαιτας, όταν η ανταπόκριση στην δίαιτα και άλλες μη φαρμακευτικές θεραπευτικές αγωγές (π.χ. άσκηση, μείωση του σωματικού βάρους) δεν είναι επαρκής.</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sidRPr="002275D1">
        <w:rPr>
          <w:rStyle w:val="FontStyle45"/>
          <w:lang w:val="el-GR" w:eastAsia="el-GR"/>
        </w:rPr>
        <w:t xml:space="preserve">Ομόζυγη οικογενής υπερχοληστερολαιμία, ως συμπλήρωμα της δίαιτας και άλλων θεραπευτικών αγωγών που μειώνουν τα λιπίδια (π.χ. αφαίρεση της </w:t>
      </w:r>
      <w:r w:rsidRPr="002275D1">
        <w:rPr>
          <w:rStyle w:val="FontStyle45"/>
          <w:lang w:eastAsia="el-GR"/>
        </w:rPr>
        <w:t>LDL</w:t>
      </w:r>
      <w:r w:rsidRPr="002275D1">
        <w:rPr>
          <w:rStyle w:val="FontStyle45"/>
          <w:lang w:val="el-GR" w:eastAsia="el-GR"/>
        </w:rPr>
        <w:t xml:space="preserve"> εκ του πλάσματος) ή όταν αυτές οι αγωγές δεν είναι κατάλληλες.</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lastRenderedPageBreak/>
        <w:t>Πρόληψη των Καρδιαγγειακών Συμβαμάτων</w:t>
      </w:r>
    </w:p>
    <w:p w:rsidR="00A502AA" w:rsidRDefault="00A502AA">
      <w:pPr>
        <w:pStyle w:val="Style7"/>
        <w:widowControl/>
        <w:spacing w:before="120" w:line="269" w:lineRule="exact"/>
        <w:rPr>
          <w:rStyle w:val="FontStyle45"/>
          <w:lang w:val="el-GR" w:eastAsia="el-GR"/>
        </w:rPr>
      </w:pPr>
      <w:r>
        <w:rPr>
          <w:rStyle w:val="FontStyle45"/>
          <w:lang w:val="el-GR" w:eastAsia="el-GR"/>
        </w:rPr>
        <w:t>Πρόληψη των κύριων καρδιαγγειακών συμβαμάτων σε ασθενείς που εκτιμάται ότι είναι υψηλού κινδύνου να παρουσιάσουν το πρώτο καρδιαγγειακό επεισόδιο (βλ. Παράγραφο 5.1), ως συμπληρωματικό της διόρθωσης άλλων παραγόντων κινδύνου.</w:t>
      </w:r>
    </w:p>
    <w:p w:rsidR="00A502AA" w:rsidRPr="00F7301B" w:rsidRDefault="00A502AA">
      <w:pPr>
        <w:pStyle w:val="Style10"/>
        <w:widowControl/>
        <w:spacing w:line="240" w:lineRule="exact"/>
        <w:rPr>
          <w:sz w:val="20"/>
          <w:szCs w:val="20"/>
          <w:lang w:val="el-GR"/>
        </w:rPr>
      </w:pPr>
    </w:p>
    <w:p w:rsidR="00A502AA" w:rsidRPr="00F7301B" w:rsidRDefault="00A502AA">
      <w:pPr>
        <w:pStyle w:val="Style10"/>
        <w:widowControl/>
        <w:spacing w:line="240" w:lineRule="exact"/>
        <w:rPr>
          <w:sz w:val="20"/>
          <w:szCs w:val="20"/>
          <w:lang w:val="el-GR"/>
        </w:rPr>
      </w:pPr>
    </w:p>
    <w:p w:rsidR="00A502AA" w:rsidRDefault="00A502AA">
      <w:pPr>
        <w:pStyle w:val="Style10"/>
        <w:widowControl/>
        <w:tabs>
          <w:tab w:val="left" w:pos="562"/>
        </w:tabs>
        <w:spacing w:before="53" w:line="240" w:lineRule="auto"/>
        <w:rPr>
          <w:rStyle w:val="FontStyle44"/>
          <w:lang w:val="el-GR" w:eastAsia="el-GR"/>
        </w:rPr>
      </w:pPr>
      <w:r>
        <w:rPr>
          <w:rStyle w:val="FontStyle44"/>
          <w:lang w:val="el-GR" w:eastAsia="el-GR"/>
        </w:rPr>
        <w:t>4.2</w:t>
      </w:r>
      <w:r>
        <w:rPr>
          <w:rStyle w:val="FontStyle44"/>
          <w:rFonts w:ascii="Times New Roman" w:hAnsi="Times New Roman" w:cs="Times New Roman"/>
          <w:b w:val="0"/>
          <w:bCs w:val="0"/>
          <w:lang w:val="el-GR" w:eastAsia="el-GR"/>
        </w:rPr>
        <w:tab/>
      </w:r>
      <w:r>
        <w:rPr>
          <w:rStyle w:val="FontStyle44"/>
          <w:lang w:val="el-GR" w:eastAsia="el-GR"/>
        </w:rPr>
        <w:t>Δοσολογία και τρόπος χορήγησης</w:t>
      </w:r>
    </w:p>
    <w:p w:rsidR="00A502AA" w:rsidRDefault="00A502AA">
      <w:pPr>
        <w:pStyle w:val="Style7"/>
        <w:widowControl/>
        <w:spacing w:before="130" w:line="264" w:lineRule="exact"/>
        <w:rPr>
          <w:rStyle w:val="FontStyle45"/>
          <w:lang w:val="el-GR" w:eastAsia="el-GR"/>
        </w:rPr>
      </w:pPr>
      <w:r>
        <w:rPr>
          <w:rStyle w:val="FontStyle45"/>
          <w:lang w:val="el-GR" w:eastAsia="el-GR"/>
        </w:rPr>
        <w:t>Πριν την έναρξη της θεραπείας, ο ασθενής θα πρέπει να τεθεί στην καθιερωμένη υποχοληστερολαιμική δίαιτα, την οποία πρέπει να συνεχίζει κατά τη διάρκεια της θεραπείας. Η δόση πρέπει να εξατομικεύεται ανάλογα με τον στόχο της θεραπείας και την ανταπόκριση του ασθενή, λαμβάνοντας υπόψη τις ισχύουσες, συναινετικές, θεραπευτικές οδηγίες.</w:t>
      </w:r>
    </w:p>
    <w:p w:rsidR="00E317F9" w:rsidRPr="006C66E1" w:rsidRDefault="00A502AA" w:rsidP="00E317F9">
      <w:pPr>
        <w:pStyle w:val="Style13"/>
        <w:widowControl/>
        <w:spacing w:before="106" w:line="240" w:lineRule="auto"/>
        <w:rPr>
          <w:rStyle w:val="FontStyle45"/>
          <w:lang w:val="el-GR" w:eastAsia="el-GR"/>
        </w:rPr>
      </w:pPr>
      <w:r>
        <w:rPr>
          <w:rStyle w:val="FontStyle45"/>
          <w:lang w:val="el-GR" w:eastAsia="el-GR"/>
        </w:rPr>
        <w:t xml:space="preserve">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μπορεί να λαμβάνεται οποιαδήποτε ώρα της ημέρας, με ή χωρίς τροφή. </w:t>
      </w:r>
    </w:p>
    <w:p w:rsidR="00A502AA" w:rsidRDefault="00A502AA">
      <w:pPr>
        <w:pStyle w:val="Style13"/>
        <w:widowControl/>
        <w:spacing w:before="106"/>
        <w:rPr>
          <w:rStyle w:val="FontStyle44"/>
          <w:lang w:val="el-GR" w:eastAsia="el-GR"/>
        </w:rPr>
      </w:pPr>
      <w:r>
        <w:rPr>
          <w:rStyle w:val="FontStyle44"/>
          <w:lang w:val="el-GR" w:eastAsia="el-GR"/>
        </w:rPr>
        <w:t>Θεραπεία της υπερχοληστερολαιμίας</w:t>
      </w:r>
    </w:p>
    <w:p w:rsidR="00A502AA" w:rsidRDefault="00A502AA">
      <w:pPr>
        <w:pStyle w:val="Style7"/>
        <w:widowControl/>
        <w:spacing w:before="19" w:line="264" w:lineRule="exact"/>
        <w:rPr>
          <w:rStyle w:val="FontStyle45"/>
          <w:lang w:val="el-GR" w:eastAsia="el-GR"/>
        </w:rPr>
      </w:pPr>
      <w:r>
        <w:rPr>
          <w:rStyle w:val="FontStyle45"/>
          <w:lang w:val="el-GR" w:eastAsia="el-GR"/>
        </w:rPr>
        <w:t xml:space="preserve">Η συνιστώμενη δόση έναρξης είναι 5 ή 10 </w:t>
      </w:r>
      <w:r>
        <w:rPr>
          <w:rStyle w:val="FontStyle45"/>
          <w:lang w:eastAsia="el-GR"/>
        </w:rPr>
        <w:t>mg</w:t>
      </w:r>
      <w:r w:rsidRPr="00F7301B">
        <w:rPr>
          <w:rStyle w:val="FontStyle45"/>
          <w:lang w:val="el-GR" w:eastAsia="el-GR"/>
        </w:rPr>
        <w:t xml:space="preserve"> </w:t>
      </w:r>
      <w:r>
        <w:rPr>
          <w:rStyle w:val="FontStyle45"/>
          <w:lang w:val="el-GR" w:eastAsia="el-GR"/>
        </w:rPr>
        <w:t xml:space="preserve">από του στόματος εφάπαξ ημερησίως τόσο για τους ασθενείς που δεν έχουν λάβει προηγούμενη θεραπεία με στατίνες όσο και για τους ασθενείς που αλλάζουν από θεραπεία με άλλον αναστολέα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Για την επιλογή της δόσης έναρξης θα πρέπει να λαμβάνονται υπόψη τα επίπεδα χοληστερόλης κάθε ασθενή και ο μελλοντικός καρδιαγγειακός κίνδυνος καθώς και ο ενδεχόμενος κίνδυνος ανεπιθύμητων ενεργειών (βλέπε πιο κάτω). Προσαρμογή της δόσης στο επόμενο δοσολογικό επίπεδο μπορεί να γίνει μετά από 4 εβδομάδες, εάν είναι απαραίτητο (βλ. Παράγραφο 5.1.). Λόγω της αυξημένης συχνότητας αναφοράς ανεπιθύμητων ενεργειών με την δόση των 40 </w:t>
      </w:r>
      <w:r>
        <w:rPr>
          <w:rStyle w:val="FontStyle45"/>
          <w:lang w:eastAsia="el-GR"/>
        </w:rPr>
        <w:t>mg</w:t>
      </w:r>
      <w:r w:rsidRPr="00F7301B">
        <w:rPr>
          <w:rStyle w:val="FontStyle45"/>
          <w:lang w:val="el-GR" w:eastAsia="el-GR"/>
        </w:rPr>
        <w:t xml:space="preserve"> </w:t>
      </w:r>
      <w:r>
        <w:rPr>
          <w:rStyle w:val="FontStyle45"/>
          <w:lang w:val="el-GR" w:eastAsia="el-GR"/>
        </w:rPr>
        <w:t xml:space="preserve">σε σύγκριση με τις χαμηλότερες δόσεις (βλ. Παράγραφο. 4.8), μια τελική ρύθμιση στην μέγιστη δόση των 40 </w:t>
      </w:r>
      <w:r>
        <w:rPr>
          <w:rStyle w:val="FontStyle45"/>
          <w:lang w:eastAsia="el-GR"/>
        </w:rPr>
        <w:t>mg</w:t>
      </w:r>
      <w:r w:rsidRPr="00F7301B">
        <w:rPr>
          <w:rStyle w:val="FontStyle45"/>
          <w:lang w:val="el-GR" w:eastAsia="el-GR"/>
        </w:rPr>
        <w:t xml:space="preserve"> </w:t>
      </w:r>
      <w:r>
        <w:rPr>
          <w:rStyle w:val="FontStyle45"/>
          <w:lang w:val="el-GR" w:eastAsia="el-GR"/>
        </w:rPr>
        <w:t xml:space="preserve">θα πρέπει να εξετάζεται μόνο σε ασθενείς με σοβαρή υπερχοληστερολαιμία και υψηλό καρδιαγγειακό κίνδυνο (ιδιαίτερα σε ασθενείς με οικογενή υπερχοληστερολαιμία) που δεν επιτυγχάνουν το θεραπευτικό τους στόχο με </w:t>
      </w:r>
      <w:r w:rsidRPr="00F7301B">
        <w:rPr>
          <w:rStyle w:val="FontStyle45"/>
          <w:lang w:val="el-GR" w:eastAsia="el-GR"/>
        </w:rPr>
        <w:t xml:space="preserve">20 </w:t>
      </w:r>
      <w:r>
        <w:rPr>
          <w:rStyle w:val="FontStyle45"/>
          <w:lang w:eastAsia="el-GR"/>
        </w:rPr>
        <w:t>mg</w:t>
      </w:r>
      <w:r w:rsidRPr="00F7301B">
        <w:rPr>
          <w:rStyle w:val="FontStyle45"/>
          <w:lang w:val="el-GR" w:eastAsia="el-GR"/>
        </w:rPr>
        <w:t xml:space="preserve">, </w:t>
      </w:r>
      <w:r>
        <w:rPr>
          <w:rStyle w:val="FontStyle45"/>
          <w:lang w:val="el-GR" w:eastAsia="el-GR"/>
        </w:rPr>
        <w:t xml:space="preserve">και στους οποίους θα πρέπει να διενεργείται περιοδικός έλεγχος (βλ. παράγραφο 4.4). Όταν χορηγηθεί η δόση των 40 </w:t>
      </w:r>
      <w:r>
        <w:rPr>
          <w:rStyle w:val="FontStyle45"/>
          <w:lang w:eastAsia="el-GR"/>
        </w:rPr>
        <w:t>mg</w:t>
      </w:r>
      <w:r w:rsidRPr="00F7301B">
        <w:rPr>
          <w:rStyle w:val="FontStyle45"/>
          <w:lang w:val="el-GR" w:eastAsia="el-GR"/>
        </w:rPr>
        <w:t xml:space="preserve">, </w:t>
      </w:r>
      <w:r>
        <w:rPr>
          <w:rStyle w:val="FontStyle45"/>
          <w:lang w:val="el-GR" w:eastAsia="el-GR"/>
        </w:rPr>
        <w:t>συνιστάται επίβλεψη από ειδικό γιατρό.</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E317F9" w:rsidRPr="006C66E1" w:rsidRDefault="00E317F9">
      <w:pPr>
        <w:pStyle w:val="Style12"/>
        <w:widowControl/>
        <w:spacing w:before="58"/>
        <w:jc w:val="left"/>
        <w:rPr>
          <w:rStyle w:val="FontStyle44"/>
          <w:lang w:val="el-GR" w:eastAsia="el-GR"/>
        </w:rPr>
      </w:pPr>
      <w:r>
        <w:rPr>
          <w:rStyle w:val="FontStyle44"/>
          <w:lang w:val="el-GR" w:eastAsia="el-GR"/>
        </w:rPr>
        <w:br w:type="page"/>
      </w:r>
    </w:p>
    <w:p w:rsidR="00E317F9" w:rsidRPr="006C66E1" w:rsidRDefault="00E317F9">
      <w:pPr>
        <w:pStyle w:val="Style12"/>
        <w:widowControl/>
        <w:spacing w:before="58"/>
        <w:jc w:val="left"/>
        <w:rPr>
          <w:rStyle w:val="FontStyle44"/>
          <w:lang w:val="el-GR" w:eastAsia="el-GR"/>
        </w:rPr>
      </w:pPr>
    </w:p>
    <w:p w:rsidR="00A502AA" w:rsidRDefault="00A502AA">
      <w:pPr>
        <w:pStyle w:val="Style12"/>
        <w:widowControl/>
        <w:spacing w:before="58"/>
        <w:jc w:val="left"/>
        <w:rPr>
          <w:rStyle w:val="FontStyle44"/>
          <w:lang w:val="el-GR" w:eastAsia="el-GR"/>
        </w:rPr>
      </w:pPr>
      <w:r>
        <w:rPr>
          <w:rStyle w:val="FontStyle44"/>
          <w:lang w:val="el-GR" w:eastAsia="el-GR"/>
        </w:rPr>
        <w:t>Πρόληψη των Καρδιαγγειακών Συμβαμάτων</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Στη μελέτη μείωσης του κινδύνου των καρδιαγγειακών συμβαμάτων, η δόση που χρησιμοποιήθηκε ήταν 20 </w:t>
      </w:r>
      <w:r>
        <w:rPr>
          <w:rStyle w:val="FontStyle45"/>
          <w:lang w:eastAsia="el-GR"/>
        </w:rPr>
        <w:t>mg</w:t>
      </w:r>
      <w:r w:rsidRPr="00F7301B">
        <w:rPr>
          <w:rStyle w:val="FontStyle45"/>
          <w:lang w:val="el-GR" w:eastAsia="el-GR"/>
        </w:rPr>
        <w:t xml:space="preserve"> </w:t>
      </w:r>
      <w:r>
        <w:rPr>
          <w:rStyle w:val="FontStyle45"/>
          <w:lang w:val="el-GR" w:eastAsia="el-GR"/>
        </w:rPr>
        <w:t>ημερησίως (βλ. Παράγραφο 5.1).</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Παιδιατρικός πληθυσμός</w:t>
      </w:r>
    </w:p>
    <w:p w:rsidR="00A502AA" w:rsidRDefault="00A502AA">
      <w:pPr>
        <w:pStyle w:val="Style7"/>
        <w:widowControl/>
        <w:spacing w:before="149" w:line="240" w:lineRule="auto"/>
        <w:jc w:val="left"/>
        <w:rPr>
          <w:rStyle w:val="FontStyle45"/>
          <w:lang w:val="el-GR" w:eastAsia="el-GR"/>
        </w:rPr>
      </w:pPr>
      <w:r>
        <w:rPr>
          <w:rStyle w:val="FontStyle45"/>
          <w:lang w:val="el-GR" w:eastAsia="el-GR"/>
        </w:rPr>
        <w:t>Παιδιατρική χρήση πρέπει να διεξάγεται μόνο από ειδικούς.</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before="62" w:line="240" w:lineRule="auto"/>
        <w:jc w:val="left"/>
        <w:rPr>
          <w:rStyle w:val="FontStyle45"/>
          <w:u w:val="single"/>
          <w:lang w:val="el-GR" w:eastAsia="el-GR"/>
        </w:rPr>
      </w:pPr>
      <w:r>
        <w:rPr>
          <w:rStyle w:val="FontStyle45"/>
          <w:u w:val="single"/>
          <w:lang w:val="el-GR" w:eastAsia="el-GR"/>
        </w:rPr>
        <w:t xml:space="preserve">Παιδιά και έφηβοι ηλικίας 6 με 17 ετών </w:t>
      </w:r>
      <w:r w:rsidRPr="00F7301B">
        <w:rPr>
          <w:rStyle w:val="FontStyle45"/>
          <w:u w:val="single"/>
          <w:lang w:val="el-GR" w:eastAsia="el-GR"/>
        </w:rPr>
        <w:t>(</w:t>
      </w:r>
      <w:r>
        <w:rPr>
          <w:rStyle w:val="FontStyle45"/>
          <w:u w:val="single"/>
          <w:lang w:eastAsia="el-GR"/>
        </w:rPr>
        <w:t>Tanner</w:t>
      </w:r>
      <w:r w:rsidRPr="00F7301B">
        <w:rPr>
          <w:rStyle w:val="FontStyle45"/>
          <w:u w:val="single"/>
          <w:lang w:val="el-GR" w:eastAsia="el-GR"/>
        </w:rPr>
        <w:t xml:space="preserve"> </w:t>
      </w:r>
      <w:r>
        <w:rPr>
          <w:rStyle w:val="FontStyle45"/>
          <w:u w:val="single"/>
          <w:lang w:eastAsia="el-GR"/>
        </w:rPr>
        <w:t>Stage</w:t>
      </w:r>
      <w:r w:rsidRPr="00F7301B">
        <w:rPr>
          <w:rStyle w:val="FontStyle45"/>
          <w:u w:val="single"/>
          <w:lang w:val="el-GR" w:eastAsia="el-GR"/>
        </w:rPr>
        <w:t xml:space="preserve"> &lt;</w:t>
      </w:r>
      <w:r>
        <w:rPr>
          <w:rStyle w:val="FontStyle45"/>
          <w:u w:val="single"/>
          <w:lang w:eastAsia="el-GR"/>
        </w:rPr>
        <w:t>II</w:t>
      </w:r>
      <w:r w:rsidRPr="00F7301B">
        <w:rPr>
          <w:rStyle w:val="FontStyle45"/>
          <w:u w:val="single"/>
          <w:lang w:val="el-GR" w:eastAsia="el-GR"/>
        </w:rPr>
        <w:t>-</w:t>
      </w:r>
      <w:r>
        <w:rPr>
          <w:rStyle w:val="FontStyle45"/>
          <w:u w:val="single"/>
          <w:lang w:eastAsia="el-GR"/>
        </w:rPr>
        <w:t>V</w:t>
      </w:r>
      <w:r w:rsidRPr="00F7301B">
        <w:rPr>
          <w:rStyle w:val="FontStyle45"/>
          <w:u w:val="single"/>
          <w:lang w:val="el-GR" w:eastAsia="el-GR"/>
        </w:rPr>
        <w:t>)</w:t>
      </w:r>
    </w:p>
    <w:p w:rsidR="00A502AA" w:rsidRDefault="00A502AA">
      <w:pPr>
        <w:pStyle w:val="Style7"/>
        <w:widowControl/>
        <w:spacing w:before="115"/>
        <w:rPr>
          <w:rStyle w:val="FontStyle45"/>
          <w:lang w:val="el-GR" w:eastAsia="el-GR"/>
        </w:rPr>
      </w:pPr>
      <w:r>
        <w:rPr>
          <w:rStyle w:val="FontStyle45"/>
          <w:lang w:val="el-GR" w:eastAsia="el-GR"/>
        </w:rPr>
        <w:t xml:space="preserve">Σε παιδιά και εφήβους με ετερόζυγη οικογενή υπερχοληστερολαιμία, η συνήθης δόση,έναρξης είναι 5 </w:t>
      </w:r>
      <w:r>
        <w:rPr>
          <w:rStyle w:val="FontStyle45"/>
          <w:lang w:eastAsia="el-GR"/>
        </w:rPr>
        <w:t>mg</w:t>
      </w:r>
      <w:r w:rsidRPr="00F7301B">
        <w:rPr>
          <w:rStyle w:val="FontStyle45"/>
          <w:lang w:val="el-GR" w:eastAsia="el-GR"/>
        </w:rPr>
        <w:t xml:space="preserve"> </w:t>
      </w:r>
      <w:r>
        <w:rPr>
          <w:rStyle w:val="FontStyle45"/>
          <w:lang w:val="el-GR" w:eastAsia="el-GR"/>
        </w:rPr>
        <w:t>ημερησίως.</w:t>
      </w:r>
    </w:p>
    <w:p w:rsidR="00A502AA" w:rsidRDefault="00A502AA" w:rsidP="009C2308">
      <w:pPr>
        <w:pStyle w:val="Style17"/>
        <w:widowControl/>
        <w:numPr>
          <w:ilvl w:val="0"/>
          <w:numId w:val="1"/>
        </w:numPr>
        <w:tabs>
          <w:tab w:val="left" w:pos="360"/>
        </w:tabs>
        <w:spacing w:line="264" w:lineRule="exact"/>
        <w:ind w:left="360"/>
        <w:rPr>
          <w:rStyle w:val="FontStyle45"/>
          <w:lang w:val="el-GR" w:eastAsia="el-GR"/>
        </w:rPr>
      </w:pPr>
      <w:r>
        <w:rPr>
          <w:rStyle w:val="FontStyle45"/>
          <w:lang w:val="el-GR" w:eastAsia="el-GR"/>
        </w:rPr>
        <w:t xml:space="preserve">Σε παιδιά 6 με 9 ετών με ετερόζυγη οικογενή υπερχοληστερολαιμία το σύνηθες εύρος δόσης είναι 5-10 </w:t>
      </w:r>
      <w:r>
        <w:rPr>
          <w:rStyle w:val="FontStyle45"/>
          <w:lang w:eastAsia="el-GR"/>
        </w:rPr>
        <w:t>mg</w:t>
      </w:r>
      <w:r w:rsidRPr="00F7301B">
        <w:rPr>
          <w:rStyle w:val="FontStyle45"/>
          <w:lang w:val="el-GR" w:eastAsia="el-GR"/>
        </w:rPr>
        <w:t xml:space="preserve"> </w:t>
      </w:r>
      <w:r>
        <w:rPr>
          <w:rStyle w:val="FontStyle45"/>
          <w:lang w:val="el-GR" w:eastAsia="el-GR"/>
        </w:rPr>
        <w:t xml:space="preserve">από του στόματος μία φορά ημερησίως. Η ασφάλεια και η αποτελεσματικότητα δόσεων μεγαλύτερων από 10 </w:t>
      </w:r>
      <w:r>
        <w:rPr>
          <w:rStyle w:val="FontStyle45"/>
          <w:lang w:eastAsia="el-GR"/>
        </w:rPr>
        <w:t>mg</w:t>
      </w:r>
      <w:r w:rsidRPr="00F7301B">
        <w:rPr>
          <w:rStyle w:val="FontStyle45"/>
          <w:lang w:val="el-GR" w:eastAsia="el-GR"/>
        </w:rPr>
        <w:t xml:space="preserve"> </w:t>
      </w:r>
      <w:r>
        <w:rPr>
          <w:rStyle w:val="FontStyle45"/>
          <w:lang w:val="el-GR" w:eastAsia="el-GR"/>
        </w:rPr>
        <w:t>δεν έχουν μελετηθεί σε αυτόν τον πληθυσμό.</w:t>
      </w:r>
    </w:p>
    <w:p w:rsidR="00A502AA" w:rsidRDefault="00A502AA" w:rsidP="009C2308">
      <w:pPr>
        <w:pStyle w:val="Style17"/>
        <w:widowControl/>
        <w:numPr>
          <w:ilvl w:val="0"/>
          <w:numId w:val="1"/>
        </w:numPr>
        <w:tabs>
          <w:tab w:val="left" w:pos="360"/>
        </w:tabs>
        <w:spacing w:before="5" w:line="264" w:lineRule="exact"/>
        <w:ind w:left="360"/>
        <w:rPr>
          <w:rStyle w:val="FontStyle45"/>
          <w:lang w:val="el-GR" w:eastAsia="el-GR"/>
        </w:rPr>
      </w:pPr>
      <w:r>
        <w:rPr>
          <w:rStyle w:val="FontStyle45"/>
          <w:lang w:val="el-GR" w:eastAsia="el-GR"/>
        </w:rPr>
        <w:t xml:space="preserve">Σε παιδιά 10 με 17 ετών με ετερόζυγη οικογενή υπερχοληστερολαιμία το σύνηθες εύρος δόσης είναι 5-20 </w:t>
      </w:r>
      <w:r>
        <w:rPr>
          <w:rStyle w:val="FontStyle45"/>
          <w:lang w:eastAsia="el-GR"/>
        </w:rPr>
        <w:t>mg</w:t>
      </w:r>
      <w:r w:rsidRPr="00F7301B">
        <w:rPr>
          <w:rStyle w:val="FontStyle45"/>
          <w:lang w:val="el-GR" w:eastAsia="el-GR"/>
        </w:rPr>
        <w:t xml:space="preserve"> </w:t>
      </w:r>
      <w:r>
        <w:rPr>
          <w:rStyle w:val="FontStyle45"/>
          <w:lang w:val="el-GR" w:eastAsia="el-GR"/>
        </w:rPr>
        <w:t xml:space="preserve">από του στόματος μία φορά ημερησίως. Η ασφάλεια και η αποτελεσματικότητα δόσεων μεγαλύτερων από 20 </w:t>
      </w:r>
      <w:r>
        <w:rPr>
          <w:rStyle w:val="FontStyle45"/>
          <w:lang w:eastAsia="el-GR"/>
        </w:rPr>
        <w:t>mg</w:t>
      </w:r>
      <w:r w:rsidRPr="00F7301B">
        <w:rPr>
          <w:rStyle w:val="FontStyle45"/>
          <w:lang w:val="el-GR" w:eastAsia="el-GR"/>
        </w:rPr>
        <w:t xml:space="preserve"> </w:t>
      </w:r>
      <w:r>
        <w:rPr>
          <w:rStyle w:val="FontStyle45"/>
          <w:lang w:val="el-GR" w:eastAsia="el-GR"/>
        </w:rPr>
        <w:t>δεν έχουν μελετηθεί σε αυτόν τον πληθυσμό.</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29" w:line="264" w:lineRule="exact"/>
        <w:rPr>
          <w:rStyle w:val="FontStyle45"/>
          <w:lang w:val="el-GR" w:eastAsia="el-GR"/>
        </w:rPr>
      </w:pPr>
      <w:r>
        <w:rPr>
          <w:rStyle w:val="FontStyle45"/>
          <w:lang w:val="el-GR" w:eastAsia="el-GR"/>
        </w:rPr>
        <w:t>Η τιτλοποίηση θα πρέπει να πραγματοποιείται σύμφωνα με την ατομική απόκριση και την ανοχή των παιδιατρικών ασθενών, όπως προτείνεται από τις συστάσεις της παιδιατρικής θεραπείας (βλ. Παράγραφο 4.4). Στα παιδιά και τους εφήβους πρέπει να εφαρμόζεται καθιερωμένη υποχοληστερολαιμική δίαιτα πριν την έναρξη της θεραπείας με ροσουβαστατίνη και η δίαιτα θα πρέπει να συνεχιστεί κατά τη διάρκεια της θεραπείας με ροσουβαστατίνη.</w:t>
      </w:r>
    </w:p>
    <w:p w:rsidR="00A502AA" w:rsidRDefault="00A502AA">
      <w:pPr>
        <w:pStyle w:val="Style7"/>
        <w:widowControl/>
        <w:spacing w:before="110"/>
        <w:rPr>
          <w:rStyle w:val="FontStyle45"/>
          <w:lang w:val="el-GR" w:eastAsia="el-GR"/>
        </w:rPr>
      </w:pPr>
      <w:r w:rsidRPr="002275D1">
        <w:rPr>
          <w:rStyle w:val="FontStyle45"/>
          <w:lang w:val="el-GR" w:eastAsia="el-GR"/>
        </w:rPr>
        <w:t>Η εμπειρία σε παιδιά με ομόζυγη οικογενή υπερχοληστερολαιμία είναι περιορισμένη σε έναν μικρό αριθμό παιδιών ηλικίας μεταξύ 8 και 17 ετών.</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48" w:line="240" w:lineRule="auto"/>
        <w:jc w:val="left"/>
        <w:rPr>
          <w:rStyle w:val="FontStyle45"/>
          <w:lang w:val="el-GR" w:eastAsia="el-GR"/>
        </w:rPr>
      </w:pPr>
      <w:r>
        <w:rPr>
          <w:rStyle w:val="FontStyle45"/>
          <w:lang w:val="el-GR" w:eastAsia="el-GR"/>
        </w:rPr>
        <w:t xml:space="preserve">Το δισκίο των 40 </w:t>
      </w:r>
      <w:r>
        <w:rPr>
          <w:rStyle w:val="FontStyle45"/>
          <w:lang w:eastAsia="el-GR"/>
        </w:rPr>
        <w:t>mg</w:t>
      </w:r>
      <w:r w:rsidRPr="00F7301B">
        <w:rPr>
          <w:rStyle w:val="FontStyle45"/>
          <w:lang w:val="el-GR" w:eastAsia="el-GR"/>
        </w:rPr>
        <w:t xml:space="preserve"> </w:t>
      </w:r>
      <w:r>
        <w:rPr>
          <w:rStyle w:val="FontStyle45"/>
          <w:lang w:val="el-GR" w:eastAsia="el-GR"/>
        </w:rPr>
        <w:t>δεν είναι κατάλληλο για χρήση σε παιδιατρικούς ασθενείς.</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62" w:line="240" w:lineRule="auto"/>
        <w:jc w:val="left"/>
        <w:rPr>
          <w:rStyle w:val="FontStyle45"/>
          <w:u w:val="single"/>
          <w:lang w:val="el-GR" w:eastAsia="el-GR"/>
        </w:rPr>
      </w:pPr>
      <w:r>
        <w:rPr>
          <w:rStyle w:val="FontStyle45"/>
          <w:u w:val="single"/>
          <w:lang w:val="el-GR" w:eastAsia="el-GR"/>
        </w:rPr>
        <w:t>Παιδιά μικρότερα από 6 ετών</w:t>
      </w:r>
    </w:p>
    <w:p w:rsidR="00A502AA" w:rsidRDefault="00A502AA">
      <w:pPr>
        <w:pStyle w:val="Style7"/>
        <w:widowControl/>
        <w:spacing w:before="120" w:line="269" w:lineRule="exact"/>
        <w:rPr>
          <w:rStyle w:val="FontStyle45"/>
          <w:lang w:val="el-GR" w:eastAsia="el-GR"/>
        </w:rPr>
      </w:pPr>
      <w:r>
        <w:rPr>
          <w:rStyle w:val="FontStyle45"/>
          <w:lang w:val="el-GR" w:eastAsia="el-GR"/>
        </w:rPr>
        <w:t xml:space="preserve">Η ασφάλεια και η αποτελεσματικότητα της χρήσης σε παιδιά μικρότερα των 6 ετών δεν έχει μελετηθεί. Ως εκ τούτου,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δε συνιστάται για χρήση σε παιδιά μικρότερα των 6 ετών.</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3"/>
        <w:jc w:val="left"/>
        <w:rPr>
          <w:rStyle w:val="FontStyle44"/>
          <w:lang w:val="el-GR" w:eastAsia="el-GR"/>
        </w:rPr>
      </w:pPr>
      <w:r>
        <w:rPr>
          <w:rStyle w:val="FontStyle44"/>
          <w:lang w:val="el-GR" w:eastAsia="el-GR"/>
        </w:rPr>
        <w:t>Χορήγηση σε ηλικιωμένους</w:t>
      </w:r>
    </w:p>
    <w:p w:rsidR="00A502AA" w:rsidRPr="006C66E1" w:rsidRDefault="00A502AA">
      <w:pPr>
        <w:pStyle w:val="Style7"/>
        <w:widowControl/>
        <w:spacing w:before="134" w:line="264" w:lineRule="exact"/>
        <w:rPr>
          <w:rStyle w:val="FontStyle45"/>
          <w:lang w:val="el-GR" w:eastAsia="el-GR"/>
        </w:rPr>
      </w:pPr>
      <w:r>
        <w:rPr>
          <w:rStyle w:val="FontStyle45"/>
          <w:lang w:val="el-GR" w:eastAsia="el-GR"/>
        </w:rPr>
        <w:t xml:space="preserve">Συνιστάται δόση έναρξης 5 </w:t>
      </w:r>
      <w:r>
        <w:rPr>
          <w:rStyle w:val="FontStyle45"/>
          <w:lang w:eastAsia="el-GR"/>
        </w:rPr>
        <w:t>mg</w:t>
      </w:r>
      <w:r w:rsidRPr="00F7301B">
        <w:rPr>
          <w:rStyle w:val="FontStyle45"/>
          <w:lang w:val="el-GR" w:eastAsia="el-GR"/>
        </w:rPr>
        <w:t xml:space="preserve"> </w:t>
      </w:r>
      <w:r>
        <w:rPr>
          <w:rStyle w:val="FontStyle45"/>
          <w:lang w:val="el-GR" w:eastAsia="el-GR"/>
        </w:rPr>
        <w:t>για τους ασθενείς ηλικίας &gt; 70 ετών (βλ. Παράγραφο 4.4). Δεν απαιτείται άλλη προσαρμογή της δοσολογίας σε σχέση με την ηλικία.</w:t>
      </w:r>
    </w:p>
    <w:p w:rsidR="00E317F9" w:rsidRPr="006C66E1" w:rsidRDefault="00E317F9">
      <w:pPr>
        <w:pStyle w:val="Style7"/>
        <w:widowControl/>
        <w:spacing w:before="134" w:line="264" w:lineRule="exact"/>
        <w:rPr>
          <w:rStyle w:val="FontStyle45"/>
          <w:lang w:val="el-GR" w:eastAsia="el-GR"/>
        </w:rPr>
      </w:pPr>
      <w:r w:rsidRPr="006C66E1">
        <w:rPr>
          <w:rStyle w:val="FontStyle45"/>
          <w:lang w:val="el-GR" w:eastAsia="el-GR"/>
        </w:rPr>
        <w:br w:type="page"/>
      </w:r>
    </w:p>
    <w:p w:rsidR="00E317F9" w:rsidRPr="006C66E1" w:rsidRDefault="00E317F9">
      <w:pPr>
        <w:pStyle w:val="Style7"/>
        <w:widowControl/>
        <w:spacing w:before="134" w:line="264" w:lineRule="exact"/>
        <w:rPr>
          <w:rStyle w:val="FontStyle45"/>
          <w:lang w:val="el-GR" w:eastAsia="el-GR"/>
        </w:rPr>
      </w:pPr>
    </w:p>
    <w:p w:rsidR="00A502AA" w:rsidRDefault="00A502AA">
      <w:pPr>
        <w:pStyle w:val="Style12"/>
        <w:widowControl/>
        <w:spacing w:before="48"/>
        <w:jc w:val="left"/>
        <w:rPr>
          <w:rStyle w:val="FontStyle44"/>
          <w:lang w:val="el-GR" w:eastAsia="el-GR"/>
        </w:rPr>
      </w:pPr>
      <w:r>
        <w:rPr>
          <w:rStyle w:val="FontStyle44"/>
          <w:lang w:val="el-GR" w:eastAsia="el-GR"/>
        </w:rPr>
        <w:t>Δοσολογία σε ασθενείς με νεφρική ανεπάρκεια</w:t>
      </w:r>
    </w:p>
    <w:p w:rsidR="00A502AA" w:rsidRDefault="00A502AA">
      <w:pPr>
        <w:pStyle w:val="Style7"/>
        <w:widowControl/>
        <w:spacing w:before="115" w:line="269" w:lineRule="exact"/>
        <w:rPr>
          <w:rStyle w:val="FontStyle45"/>
          <w:lang w:val="el-GR" w:eastAsia="el-GR"/>
        </w:rPr>
      </w:pPr>
      <w:r>
        <w:rPr>
          <w:rStyle w:val="FontStyle45"/>
          <w:lang w:val="el-GR" w:eastAsia="el-GR"/>
        </w:rPr>
        <w:t>Δεν απαιτείται προσαρμογή της δοσολογίας σε ασθενείς με ήπια έως μετρίου βαθμού νεφρική δυσλειτουργία.</w:t>
      </w:r>
    </w:p>
    <w:p w:rsidR="00A502AA" w:rsidRDefault="00A502AA">
      <w:pPr>
        <w:pStyle w:val="Style7"/>
        <w:widowControl/>
        <w:spacing w:before="115" w:line="264" w:lineRule="exact"/>
        <w:rPr>
          <w:rStyle w:val="FontStyle45"/>
          <w:lang w:val="el-GR" w:eastAsia="el-GR"/>
        </w:rPr>
      </w:pPr>
      <w:r>
        <w:rPr>
          <w:rStyle w:val="FontStyle45"/>
          <w:lang w:val="el-GR" w:eastAsia="el-GR"/>
        </w:rPr>
        <w:t xml:space="preserve">Η συνιστώμενη δόση έναρξης για τους ασθενείς με μετρίου βαθμού νεφρική δυσλειτουργία (κάθαρση κρεατινίνης &lt; 60 </w:t>
      </w:r>
      <w:r>
        <w:rPr>
          <w:rStyle w:val="FontStyle45"/>
          <w:lang w:eastAsia="el-GR"/>
        </w:rPr>
        <w:t>ml</w:t>
      </w:r>
      <w:r w:rsidRPr="00F7301B">
        <w:rPr>
          <w:rStyle w:val="FontStyle45"/>
          <w:lang w:val="el-GR" w:eastAsia="el-GR"/>
        </w:rPr>
        <w:t>/</w:t>
      </w:r>
      <w:r>
        <w:rPr>
          <w:rStyle w:val="FontStyle45"/>
          <w:lang w:eastAsia="el-GR"/>
        </w:rPr>
        <w:t>min</w:t>
      </w:r>
      <w:r w:rsidRPr="00F7301B">
        <w:rPr>
          <w:rStyle w:val="FontStyle45"/>
          <w:lang w:val="el-GR" w:eastAsia="el-GR"/>
        </w:rPr>
        <w:t xml:space="preserve">) </w:t>
      </w:r>
      <w:r>
        <w:rPr>
          <w:rStyle w:val="FontStyle45"/>
          <w:lang w:val="el-GR" w:eastAsia="el-GR"/>
        </w:rPr>
        <w:t xml:space="preserve">είναι 5 </w:t>
      </w:r>
      <w:r>
        <w:rPr>
          <w:rStyle w:val="FontStyle45"/>
          <w:lang w:eastAsia="el-GR"/>
        </w:rPr>
        <w:t>mg</w:t>
      </w:r>
      <w:r w:rsidRPr="00F7301B">
        <w:rPr>
          <w:rStyle w:val="FontStyle45"/>
          <w:lang w:val="el-GR" w:eastAsia="el-GR"/>
        </w:rPr>
        <w:t xml:space="preserve">. </w:t>
      </w:r>
      <w:r>
        <w:rPr>
          <w:rStyle w:val="FontStyle45"/>
          <w:lang w:val="el-GR" w:eastAsia="el-GR"/>
        </w:rPr>
        <w:t xml:space="preserve">Η δόση των 40 </w:t>
      </w:r>
      <w:r>
        <w:rPr>
          <w:rStyle w:val="FontStyle45"/>
          <w:lang w:eastAsia="el-GR"/>
        </w:rPr>
        <w:t>mg</w:t>
      </w:r>
      <w:r w:rsidRPr="00F7301B">
        <w:rPr>
          <w:rStyle w:val="FontStyle45"/>
          <w:lang w:val="el-GR" w:eastAsia="el-GR"/>
        </w:rPr>
        <w:t xml:space="preserve"> </w:t>
      </w:r>
      <w:r>
        <w:rPr>
          <w:rStyle w:val="FontStyle45"/>
          <w:lang w:val="el-GR" w:eastAsia="el-GR"/>
        </w:rPr>
        <w:t xml:space="preserve">αντενδείκνυται για τους ασθενείς με μέτρια νεφρική ανεπάρκεια. Η χρήση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σε ασθενείς με σοβαρή νεφρική ανεπάρκεια αντενδείκνυται για όλες τις δόσεις (βλ. </w:t>
      </w:r>
      <w:r w:rsidR="009035A4">
        <w:rPr>
          <w:rStyle w:val="FontStyle45"/>
          <w:lang w:val="el-GR" w:eastAsia="el-GR"/>
        </w:rPr>
        <w:t>παραγράφους</w:t>
      </w:r>
      <w:r>
        <w:rPr>
          <w:rStyle w:val="FontStyle45"/>
          <w:lang w:val="el-GR" w:eastAsia="el-GR"/>
        </w:rPr>
        <w:t xml:space="preserve"> 4.3 και 5.2).</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Δοσολογία σε ασθενείς με ηπατική δυσλειτουργία</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Δεν υπήρξε αύξηση της συστηματικής έκθεσης σε ροσουβαστατίνη σε άτομα με βαθμολόγηση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w:t>
      </w:r>
      <w:r>
        <w:rPr>
          <w:rStyle w:val="FontStyle45"/>
          <w:lang w:val="el-GR" w:eastAsia="el-GR"/>
        </w:rPr>
        <w:t xml:space="preserve">7 ή μικρότερη. Εντούτοις αυξημένη συστηματική έκθεση παρατηρήθηκε σε άτομα με βαθμολόγηση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w:t>
      </w:r>
      <w:r>
        <w:rPr>
          <w:rStyle w:val="FontStyle45"/>
          <w:lang w:val="el-GR" w:eastAsia="el-GR"/>
        </w:rPr>
        <w:t xml:space="preserve">8 και 9 (βλ. Παράγραφο 5.2). Σε αυτούς τους ασθενείς θα πρέπει να εξετάζεται η διενέργεια ελέγχου της νεφρικής λειτουργίας (βλ. Παράγραφο 4.4). Δεν υπάρχει εμπειρία σε άτομα με βαθμολόγηση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w:t>
      </w:r>
      <w:r>
        <w:rPr>
          <w:rStyle w:val="FontStyle45"/>
          <w:lang w:val="el-GR" w:eastAsia="el-GR"/>
        </w:rPr>
        <w:t xml:space="preserve">άνω του 9. Η χρήση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σε ασθενείς με ενεργό ηπατική νόσο αντενδείκνυται (βλ. Παράγραφο 4.3).</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8"/>
        <w:jc w:val="left"/>
        <w:rPr>
          <w:rStyle w:val="FontStyle44"/>
          <w:lang w:val="el-GR" w:eastAsia="el-GR"/>
        </w:rPr>
      </w:pPr>
      <w:r>
        <w:rPr>
          <w:rStyle w:val="FontStyle44"/>
          <w:lang w:val="el-GR" w:eastAsia="el-GR"/>
        </w:rPr>
        <w:t>Φυλή</w:t>
      </w:r>
    </w:p>
    <w:p w:rsidR="00A502AA" w:rsidRDefault="00A502AA">
      <w:pPr>
        <w:pStyle w:val="Style7"/>
        <w:widowControl/>
        <w:spacing w:before="134" w:line="264" w:lineRule="exact"/>
        <w:rPr>
          <w:rStyle w:val="FontStyle45"/>
          <w:lang w:val="el-GR" w:eastAsia="el-GR"/>
        </w:rPr>
      </w:pPr>
      <w:r>
        <w:rPr>
          <w:rStyle w:val="FontStyle45"/>
          <w:lang w:val="el-GR" w:eastAsia="el-GR"/>
        </w:rPr>
        <w:t xml:space="preserve">Έχει παρατηρηθεί αυξημένη συστηματική έκθεση σε Ασιάτες (βλ. Παράγραφο 4.3, Παράγραφο 4.4 και Παράγραφο 5.2). Η συνιστώμενη δόση έναρξης για τους Ασιάτες ασθενείς είναι 5 </w:t>
      </w:r>
      <w:r>
        <w:rPr>
          <w:rStyle w:val="FontStyle45"/>
          <w:lang w:eastAsia="el-GR"/>
        </w:rPr>
        <w:t>mg</w:t>
      </w:r>
      <w:r w:rsidRPr="00F7301B">
        <w:rPr>
          <w:rStyle w:val="FontStyle45"/>
          <w:lang w:val="el-GR" w:eastAsia="el-GR"/>
        </w:rPr>
        <w:t xml:space="preserve">. </w:t>
      </w:r>
      <w:r>
        <w:rPr>
          <w:rStyle w:val="FontStyle45"/>
          <w:lang w:val="el-GR" w:eastAsia="el-GR"/>
        </w:rPr>
        <w:t xml:space="preserve">Η δόση των 40 </w:t>
      </w:r>
      <w:r>
        <w:rPr>
          <w:rStyle w:val="FontStyle45"/>
          <w:lang w:eastAsia="el-GR"/>
        </w:rPr>
        <w:t>mg</w:t>
      </w:r>
      <w:r w:rsidRPr="00F7301B">
        <w:rPr>
          <w:rStyle w:val="FontStyle45"/>
          <w:lang w:val="el-GR" w:eastAsia="el-GR"/>
        </w:rPr>
        <w:t xml:space="preserve"> </w:t>
      </w:r>
      <w:r>
        <w:rPr>
          <w:rStyle w:val="FontStyle45"/>
          <w:lang w:val="el-GR" w:eastAsia="el-GR"/>
        </w:rPr>
        <w:t>αντενδείκνυται σε αυτούς τους ασθενείς.</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Γενετικοί πολυμορφισμοί</w:t>
      </w:r>
    </w:p>
    <w:p w:rsidR="00A502AA" w:rsidRPr="00F7301B" w:rsidRDefault="00A502AA">
      <w:pPr>
        <w:pStyle w:val="Style7"/>
        <w:widowControl/>
        <w:spacing w:before="120" w:line="264" w:lineRule="exact"/>
        <w:rPr>
          <w:rStyle w:val="FontStyle45"/>
          <w:lang w:val="el-GR" w:eastAsia="el-GR"/>
        </w:rPr>
      </w:pPr>
      <w:r>
        <w:rPr>
          <w:rStyle w:val="FontStyle45"/>
          <w:lang w:val="el-GR" w:eastAsia="el-GR"/>
        </w:rPr>
        <w:t xml:space="preserve">Συγκεκριμένοι τύποι γενετικών πολυμορφισμών είναι γνωστό ότι μπορεί να οδηγήσουν σε αυξημένη έκθεση στη ροσουβαστατίνη (βλ. Παράγραφο 5.2). Για ασθενείς οι οποίοι είναι γνωστό ότι έχουν τέτοιους ειδικούς τύπους πολυμορφισμών, συνιστάται χαμηλότερη ημερήσια δόση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Δοσολογία σε ασθενείς με παράγοντες που προδιαθέτουν σε μυοπάθεια</w:t>
      </w:r>
    </w:p>
    <w:p w:rsidR="00A502AA" w:rsidRDefault="00A502AA">
      <w:pPr>
        <w:pStyle w:val="Style7"/>
        <w:widowControl/>
        <w:spacing w:before="120" w:line="269" w:lineRule="exact"/>
        <w:rPr>
          <w:rStyle w:val="FontStyle45"/>
          <w:lang w:val="el-GR" w:eastAsia="el-GR"/>
        </w:rPr>
      </w:pPr>
      <w:r>
        <w:rPr>
          <w:rStyle w:val="FontStyle45"/>
          <w:lang w:val="el-GR" w:eastAsia="el-GR"/>
        </w:rPr>
        <w:t xml:space="preserve">Η συνιστώμενη δόση έναρξης για τους ασθενείς με παράγοντες που προδιαθέτουν σε μυοπάθεια είναι 5 </w:t>
      </w:r>
      <w:r>
        <w:rPr>
          <w:rStyle w:val="FontStyle45"/>
          <w:lang w:eastAsia="el-GR"/>
        </w:rPr>
        <w:t>mg</w:t>
      </w:r>
      <w:r w:rsidRPr="00F7301B">
        <w:rPr>
          <w:rStyle w:val="FontStyle45"/>
          <w:lang w:val="el-GR" w:eastAsia="el-GR"/>
        </w:rPr>
        <w:t xml:space="preserve"> </w:t>
      </w:r>
      <w:r>
        <w:rPr>
          <w:rStyle w:val="FontStyle45"/>
          <w:lang w:val="el-GR" w:eastAsia="el-GR"/>
        </w:rPr>
        <w:t>(βλέπε Παράγραφο 4.4).</w:t>
      </w:r>
    </w:p>
    <w:p w:rsidR="00A502AA" w:rsidRDefault="00A502AA">
      <w:pPr>
        <w:pStyle w:val="Style7"/>
        <w:widowControl/>
        <w:spacing w:before="149" w:line="240" w:lineRule="auto"/>
        <w:rPr>
          <w:rStyle w:val="FontStyle45"/>
          <w:lang w:val="el-GR" w:eastAsia="el-GR"/>
        </w:rPr>
      </w:pPr>
      <w:r>
        <w:rPr>
          <w:rStyle w:val="FontStyle45"/>
          <w:lang w:val="el-GR" w:eastAsia="el-GR"/>
        </w:rPr>
        <w:t xml:space="preserve">Η δόση των 40 </w:t>
      </w:r>
      <w:r>
        <w:rPr>
          <w:rStyle w:val="FontStyle45"/>
          <w:lang w:eastAsia="el-GR"/>
        </w:rPr>
        <w:t>mg</w:t>
      </w:r>
      <w:r w:rsidRPr="00F7301B">
        <w:rPr>
          <w:rStyle w:val="FontStyle45"/>
          <w:lang w:val="el-GR" w:eastAsia="el-GR"/>
        </w:rPr>
        <w:t xml:space="preserve"> </w:t>
      </w:r>
      <w:r>
        <w:rPr>
          <w:rStyle w:val="FontStyle45"/>
          <w:lang w:val="el-GR" w:eastAsia="el-GR"/>
        </w:rPr>
        <w:t>αντενδείκνυται σε αυτούς τους ασθενείς (βλ. Παράγραφο 4.3).</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Ταυτόχρονη θεραπεία</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Η ροσουβαστατίνη είναι ένα υπόστρωμα διαφόρων πρωτεϊνών μεταφορέων (π.χ. </w:t>
      </w:r>
      <w:r>
        <w:rPr>
          <w:rStyle w:val="FontStyle45"/>
          <w:lang w:eastAsia="el-GR"/>
        </w:rPr>
        <w:t>OATP</w:t>
      </w:r>
      <w:r w:rsidRPr="00F7301B">
        <w:rPr>
          <w:rStyle w:val="FontStyle45"/>
          <w:lang w:val="el-GR" w:eastAsia="el-GR"/>
        </w:rPr>
        <w:t>1</w:t>
      </w:r>
      <w:r>
        <w:rPr>
          <w:rStyle w:val="FontStyle45"/>
          <w:lang w:eastAsia="el-GR"/>
        </w:rPr>
        <w:t>B</w:t>
      </w:r>
      <w:r w:rsidRPr="00F7301B">
        <w:rPr>
          <w:rStyle w:val="FontStyle45"/>
          <w:lang w:val="el-GR" w:eastAsia="el-GR"/>
        </w:rPr>
        <w:t xml:space="preserve">1 </w:t>
      </w:r>
      <w:r>
        <w:rPr>
          <w:rStyle w:val="FontStyle45"/>
          <w:lang w:val="el-GR" w:eastAsia="el-GR"/>
        </w:rPr>
        <w:t xml:space="preserve">και </w:t>
      </w:r>
      <w:r>
        <w:rPr>
          <w:rStyle w:val="FontStyle45"/>
          <w:lang w:eastAsia="el-GR"/>
        </w:rPr>
        <w:t>BCRP</w:t>
      </w:r>
      <w:r w:rsidRPr="00F7301B">
        <w:rPr>
          <w:rStyle w:val="FontStyle45"/>
          <w:lang w:val="el-GR" w:eastAsia="el-GR"/>
        </w:rPr>
        <w:t xml:space="preserve">). </w:t>
      </w:r>
      <w:r>
        <w:rPr>
          <w:rStyle w:val="FontStyle45"/>
          <w:lang w:val="el-GR" w:eastAsia="el-GR"/>
        </w:rPr>
        <w:t xml:space="preserve">Ο κίνδυνος για μυοπάθεια (συμπεριλαμβανομένης της ραβδομυόλυσης) αυξάνεται όταν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χορηγείται ταυτόχρονα με ορισμένα φαρμακευτικά προϊόντα που μπορεί να αυξήσουν τη συγκέντρωση της ροσουβαστατίνης στο πλάσμα λόγω αλληλεπιδράσεων με αυτές τις πρωτεΐνες μεταφορείς (π.χ. κυκλοσπορίνη και ορισμένοι αναστολείς πρωτεασών συμπεριλαμβανομένων των συνδυασμών της ριτοναβίρης με αταζαναβίρη, λοπιναβίρη, και/ή τιπραναβίρη βλ. Παραγράφους 4.4 και 4.5). Όποτε είναι δυνατόν, εναλλακτικά φάρμακα θα πρέπει να λαμβάνονται υπόψη και, εάν είναι απαραίτητο, να εξετάζεται η προσωρινή διακοπή της </w:t>
      </w:r>
      <w:r>
        <w:rPr>
          <w:rStyle w:val="FontStyle45"/>
          <w:lang w:val="el-GR" w:eastAsia="el-GR"/>
        </w:rPr>
        <w:lastRenderedPageBreak/>
        <w:t xml:space="preserve">θεραπείας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Σε περιπτώσεις όπου είναι αναπόφευκτη η συγχορήγηση αυτών των φαρμακευτικών προϊόντων με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θα πρέπει να εξετάζεται προσεκτικά το όφελος και ο κίνδυνος της ταυτόχρονης θεραπείας και η ρύθμιση της δοσολογίας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(βλ. Παράγραφο 4.5).</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62"/>
        </w:tabs>
        <w:spacing w:before="58"/>
        <w:rPr>
          <w:rStyle w:val="FontStyle44"/>
          <w:lang w:val="el-GR" w:eastAsia="el-GR"/>
        </w:rPr>
      </w:pPr>
      <w:r>
        <w:rPr>
          <w:rStyle w:val="FontStyle44"/>
          <w:lang w:val="el-GR" w:eastAsia="el-GR"/>
        </w:rPr>
        <w:t>4.3</w:t>
      </w:r>
      <w:r>
        <w:rPr>
          <w:rStyle w:val="FontStyle44"/>
          <w:rFonts w:ascii="Times New Roman" w:hAnsi="Times New Roman" w:cs="Times New Roman"/>
          <w:b w:val="0"/>
          <w:bCs w:val="0"/>
          <w:lang w:val="el-GR" w:eastAsia="el-GR"/>
        </w:rPr>
        <w:tab/>
      </w:r>
      <w:r>
        <w:rPr>
          <w:rStyle w:val="FontStyle44"/>
          <w:lang w:val="el-GR" w:eastAsia="el-GR"/>
        </w:rPr>
        <w:t>Αντενδείξεις</w:t>
      </w:r>
    </w:p>
    <w:p w:rsidR="00A502AA" w:rsidRDefault="00A502AA">
      <w:pPr>
        <w:pStyle w:val="Style7"/>
        <w:widowControl/>
        <w:spacing w:before="154" w:line="240" w:lineRule="auto"/>
        <w:jc w:val="left"/>
        <w:rPr>
          <w:rStyle w:val="FontStyle45"/>
          <w:lang w:val="el-GR" w:eastAsia="el-GR"/>
        </w:rPr>
      </w:pPr>
      <w:r>
        <w:rPr>
          <w:rStyle w:val="FontStyle45"/>
          <w:lang w:val="el-GR" w:eastAsia="el-GR"/>
        </w:rPr>
        <w:t xml:space="preserve">Το </w:t>
      </w:r>
      <w:r w:rsidR="00F7301B">
        <w:rPr>
          <w:rStyle w:val="FontStyle45"/>
          <w:lang w:eastAsia="el-GR"/>
        </w:rPr>
        <w:t xml:space="preserve">ROSUVAL/HEREMCO </w:t>
      </w:r>
      <w:r>
        <w:rPr>
          <w:rStyle w:val="FontStyle45"/>
          <w:lang w:eastAsia="el-GR"/>
        </w:rPr>
        <w:t xml:space="preserve"> </w:t>
      </w:r>
      <w:r>
        <w:rPr>
          <w:rStyle w:val="FontStyle45"/>
          <w:lang w:val="el-GR" w:eastAsia="el-GR"/>
        </w:rPr>
        <w:t>αντενδείκνυται :</w:t>
      </w:r>
    </w:p>
    <w:p w:rsidR="00A502AA" w:rsidRDefault="00A502AA" w:rsidP="009C2308">
      <w:pPr>
        <w:pStyle w:val="Style24"/>
        <w:widowControl/>
        <w:numPr>
          <w:ilvl w:val="0"/>
          <w:numId w:val="2"/>
        </w:numPr>
        <w:tabs>
          <w:tab w:val="left" w:pos="1080"/>
        </w:tabs>
        <w:spacing w:before="130"/>
        <w:ind w:left="1080"/>
        <w:rPr>
          <w:rStyle w:val="FontStyle45"/>
          <w:lang w:val="el-GR" w:eastAsia="el-GR"/>
        </w:rPr>
      </w:pPr>
      <w:r>
        <w:rPr>
          <w:rStyle w:val="FontStyle45"/>
          <w:lang w:val="el-GR" w:eastAsia="el-GR"/>
        </w:rPr>
        <w:t>σε ασθενείς με υπερευαισθησία στη ροσουβαστατίνη ή σε κάποιο από τα έκδοχα.</w:t>
      </w:r>
    </w:p>
    <w:p w:rsidR="00A502AA" w:rsidRDefault="00A502AA" w:rsidP="009C2308">
      <w:pPr>
        <w:pStyle w:val="Style24"/>
        <w:widowControl/>
        <w:numPr>
          <w:ilvl w:val="0"/>
          <w:numId w:val="2"/>
        </w:numPr>
        <w:tabs>
          <w:tab w:val="left" w:pos="1080"/>
        </w:tabs>
        <w:spacing w:before="115" w:line="269" w:lineRule="exact"/>
        <w:ind w:left="1080"/>
        <w:rPr>
          <w:rStyle w:val="FontStyle45"/>
          <w:lang w:val="el-GR" w:eastAsia="el-GR"/>
        </w:rPr>
      </w:pPr>
      <w:r>
        <w:rPr>
          <w:rStyle w:val="FontStyle45"/>
          <w:lang w:val="el-GR" w:eastAsia="el-GR"/>
        </w:rPr>
        <w:t xml:space="preserve">σε ασθενείς με ενεργό ηπατική νόσο, συμπεριλαμβανομένων ανεξήγητων, επίμονων αυξήσεων των τρανσαμινασών του ορού και οποιασδήποτε αύξησης των τρανσαμινασών του ορού που υπερβαίνει </w:t>
      </w:r>
      <w:r w:rsidR="009035A4">
        <w:rPr>
          <w:rStyle w:val="FontStyle45"/>
          <w:lang w:val="el-GR" w:eastAsia="el-GR"/>
        </w:rPr>
        <w:t>3 φορές το ανώτατο όριο</w:t>
      </w:r>
      <w:r>
        <w:rPr>
          <w:rStyle w:val="FontStyle45"/>
          <w:lang w:val="el-GR" w:eastAsia="el-GR"/>
        </w:rPr>
        <w:t xml:space="preserve"> της φυσιολογικής τιμής.</w:t>
      </w:r>
    </w:p>
    <w:p w:rsidR="00A502AA" w:rsidRDefault="00A502AA" w:rsidP="009C2308">
      <w:pPr>
        <w:pStyle w:val="Style24"/>
        <w:widowControl/>
        <w:numPr>
          <w:ilvl w:val="0"/>
          <w:numId w:val="2"/>
        </w:numPr>
        <w:tabs>
          <w:tab w:val="left" w:pos="1080"/>
        </w:tabs>
        <w:spacing w:before="120"/>
        <w:ind w:left="1080"/>
        <w:rPr>
          <w:rStyle w:val="FontStyle45"/>
          <w:lang w:val="el-GR" w:eastAsia="el-GR"/>
        </w:rPr>
      </w:pPr>
      <w:r>
        <w:rPr>
          <w:rStyle w:val="FontStyle45"/>
          <w:lang w:val="el-GR" w:eastAsia="el-GR"/>
        </w:rPr>
        <w:t xml:space="preserve">σε ασθενείς με σοβαρή νεφρική δυσλειτουργία (κάθαρση κρεατινίνης &lt; 30 </w:t>
      </w:r>
      <w:r>
        <w:rPr>
          <w:rStyle w:val="FontStyle45"/>
          <w:lang w:eastAsia="el-GR"/>
        </w:rPr>
        <w:t>ml</w:t>
      </w:r>
      <w:r w:rsidRPr="00F7301B">
        <w:rPr>
          <w:rStyle w:val="FontStyle45"/>
          <w:lang w:val="el-GR" w:eastAsia="el-GR"/>
        </w:rPr>
        <w:t>/</w:t>
      </w:r>
      <w:r>
        <w:rPr>
          <w:rStyle w:val="FontStyle45"/>
          <w:lang w:eastAsia="el-GR"/>
        </w:rPr>
        <w:t>min</w:t>
      </w:r>
      <w:r w:rsidRPr="00F7301B">
        <w:rPr>
          <w:rStyle w:val="FontStyle45"/>
          <w:lang w:val="el-GR" w:eastAsia="el-GR"/>
        </w:rPr>
        <w:t>).</w:t>
      </w:r>
    </w:p>
    <w:p w:rsidR="00A502AA" w:rsidRDefault="00A502AA" w:rsidP="009C2308">
      <w:pPr>
        <w:pStyle w:val="Style24"/>
        <w:widowControl/>
        <w:numPr>
          <w:ilvl w:val="0"/>
          <w:numId w:val="2"/>
        </w:numPr>
        <w:tabs>
          <w:tab w:val="left" w:pos="1080"/>
        </w:tabs>
        <w:spacing w:before="154" w:line="240" w:lineRule="auto"/>
        <w:ind w:left="730" w:firstLine="0"/>
        <w:jc w:val="left"/>
        <w:rPr>
          <w:rStyle w:val="FontStyle45"/>
        </w:rPr>
      </w:pPr>
      <w:r>
        <w:rPr>
          <w:rStyle w:val="FontStyle45"/>
          <w:lang w:val="el-GR" w:eastAsia="el-GR"/>
        </w:rPr>
        <w:t>σε ασθενείς με μυοπάθεια.</w:t>
      </w:r>
    </w:p>
    <w:p w:rsidR="00A502AA" w:rsidRPr="00F7301B" w:rsidRDefault="00A502AA" w:rsidP="009C2308">
      <w:pPr>
        <w:pStyle w:val="Style24"/>
        <w:widowControl/>
        <w:numPr>
          <w:ilvl w:val="0"/>
          <w:numId w:val="2"/>
        </w:numPr>
        <w:tabs>
          <w:tab w:val="left" w:pos="1080"/>
        </w:tabs>
        <w:spacing w:before="158" w:line="240" w:lineRule="auto"/>
        <w:ind w:left="730" w:firstLine="0"/>
        <w:jc w:val="left"/>
        <w:rPr>
          <w:rStyle w:val="FontStyle45"/>
          <w:lang w:val="el-GR"/>
        </w:rPr>
      </w:pPr>
      <w:r>
        <w:rPr>
          <w:rStyle w:val="FontStyle45"/>
          <w:lang w:val="el-GR" w:eastAsia="el-GR"/>
        </w:rPr>
        <w:t>σε ασθενείς που λαμβάνουν ταυτόχρονα κυκλοσπορίνη.</w:t>
      </w:r>
    </w:p>
    <w:p w:rsidR="00A502AA" w:rsidRPr="00F7301B" w:rsidRDefault="00A502AA" w:rsidP="009C2308">
      <w:pPr>
        <w:pStyle w:val="Style24"/>
        <w:widowControl/>
        <w:numPr>
          <w:ilvl w:val="0"/>
          <w:numId w:val="2"/>
        </w:numPr>
        <w:tabs>
          <w:tab w:val="left" w:pos="1080"/>
        </w:tabs>
        <w:spacing w:before="120" w:line="269" w:lineRule="exact"/>
        <w:ind w:left="1080"/>
        <w:rPr>
          <w:rStyle w:val="FontStyle45"/>
          <w:lang w:val="el-GR"/>
        </w:rPr>
      </w:pPr>
      <w:r>
        <w:rPr>
          <w:rStyle w:val="FontStyle45"/>
          <w:lang w:val="el-GR" w:eastAsia="el-GR"/>
        </w:rPr>
        <w:t>κατά την κύηση και γαλουχία και σε γυναίκες σε αναπαραγωγική ηλικία που δε λαμβάνουν κατάλληλα μέτρα αντισύλληψης.</w:t>
      </w:r>
    </w:p>
    <w:p w:rsidR="00E317F9" w:rsidRPr="006C66E1" w:rsidRDefault="00E317F9">
      <w:pPr>
        <w:pStyle w:val="Style7"/>
        <w:widowControl/>
        <w:spacing w:before="120" w:line="264" w:lineRule="exact"/>
        <w:rPr>
          <w:rStyle w:val="FontStyle45"/>
          <w:lang w:val="el-GR" w:eastAsia="el-GR"/>
        </w:rPr>
      </w:pPr>
    </w:p>
    <w:p w:rsidR="00A502AA" w:rsidRDefault="00A502AA">
      <w:pPr>
        <w:pStyle w:val="Style7"/>
        <w:widowControl/>
        <w:spacing w:before="120" w:line="264" w:lineRule="exact"/>
        <w:rPr>
          <w:rStyle w:val="FontStyle45"/>
          <w:lang w:val="el-GR" w:eastAsia="el-GR"/>
        </w:rPr>
      </w:pPr>
      <w:r>
        <w:rPr>
          <w:rStyle w:val="FontStyle45"/>
          <w:lang w:val="el-GR" w:eastAsia="el-GR"/>
        </w:rPr>
        <w:t xml:space="preserve">Η δόση των </w:t>
      </w:r>
      <w:r w:rsidRPr="00F7301B">
        <w:rPr>
          <w:rStyle w:val="FontStyle45"/>
          <w:lang w:val="el-GR" w:eastAsia="el-GR"/>
        </w:rPr>
        <w:t xml:space="preserve">40 </w:t>
      </w:r>
      <w:r>
        <w:rPr>
          <w:rStyle w:val="FontStyle45"/>
          <w:lang w:eastAsia="el-GR"/>
        </w:rPr>
        <w:t>mg</w:t>
      </w:r>
      <w:r w:rsidRPr="00F7301B">
        <w:rPr>
          <w:rStyle w:val="FontStyle45"/>
          <w:lang w:val="el-GR" w:eastAsia="el-GR"/>
        </w:rPr>
        <w:t xml:space="preserve"> </w:t>
      </w:r>
      <w:r>
        <w:rPr>
          <w:rStyle w:val="FontStyle45"/>
          <w:lang w:val="el-GR" w:eastAsia="el-GR"/>
        </w:rPr>
        <w:t>αντενδείκνυται σε ασθενείς με παράγοντες που προδιαθέτουν σε μυοπάθεια/ραβδομυόλυση. Στους παράγοντες αυτούς συμπεριλαμβάνονται:</w:t>
      </w:r>
    </w:p>
    <w:p w:rsidR="00A502AA" w:rsidRPr="00F7301B" w:rsidRDefault="00A502AA" w:rsidP="009C2308">
      <w:pPr>
        <w:pStyle w:val="Style24"/>
        <w:widowControl/>
        <w:numPr>
          <w:ilvl w:val="0"/>
          <w:numId w:val="2"/>
        </w:numPr>
        <w:tabs>
          <w:tab w:val="left" w:pos="1080"/>
        </w:tabs>
        <w:spacing w:before="120" w:line="269" w:lineRule="exact"/>
        <w:ind w:left="1080"/>
        <w:rPr>
          <w:rStyle w:val="FontStyle45"/>
          <w:lang w:val="el-GR"/>
        </w:rPr>
      </w:pPr>
      <w:r>
        <w:rPr>
          <w:rStyle w:val="FontStyle45"/>
          <w:lang w:val="el-GR" w:eastAsia="el-GR"/>
        </w:rPr>
        <w:t xml:space="preserve">μετρίου βαθμού νεφρική ανεπάρκεια (κάθαρση κρεατινίνης </w:t>
      </w:r>
      <w:r w:rsidRPr="00F7301B">
        <w:rPr>
          <w:rStyle w:val="FontStyle45"/>
          <w:lang w:val="el-GR" w:eastAsia="el-GR"/>
        </w:rPr>
        <w:t xml:space="preserve">&lt; 60 </w:t>
      </w:r>
      <w:r>
        <w:rPr>
          <w:rStyle w:val="FontStyle45"/>
          <w:lang w:eastAsia="el-GR"/>
        </w:rPr>
        <w:t>ml</w:t>
      </w:r>
      <w:r w:rsidRPr="00F7301B">
        <w:rPr>
          <w:rStyle w:val="FontStyle45"/>
          <w:lang w:val="el-GR" w:eastAsia="el-GR"/>
        </w:rPr>
        <w:t>/</w:t>
      </w:r>
      <w:r>
        <w:rPr>
          <w:rStyle w:val="FontStyle45"/>
          <w:lang w:eastAsia="el-GR"/>
        </w:rPr>
        <w:t>min</w:t>
      </w:r>
      <w:r w:rsidRPr="00F7301B">
        <w:rPr>
          <w:rStyle w:val="FontStyle45"/>
          <w:lang w:val="el-GR" w:eastAsia="el-GR"/>
        </w:rPr>
        <w:t>)</w:t>
      </w:r>
    </w:p>
    <w:p w:rsidR="00A502AA" w:rsidRDefault="00A502AA" w:rsidP="009C2308">
      <w:pPr>
        <w:pStyle w:val="Style24"/>
        <w:widowControl/>
        <w:numPr>
          <w:ilvl w:val="0"/>
          <w:numId w:val="2"/>
        </w:numPr>
        <w:tabs>
          <w:tab w:val="left" w:pos="1080"/>
        </w:tabs>
        <w:spacing w:before="149" w:line="240" w:lineRule="auto"/>
        <w:ind w:left="730" w:firstLine="0"/>
        <w:jc w:val="left"/>
        <w:rPr>
          <w:rStyle w:val="FontStyle45"/>
        </w:rPr>
      </w:pPr>
      <w:r>
        <w:rPr>
          <w:rStyle w:val="FontStyle45"/>
          <w:lang w:val="el-GR" w:eastAsia="el-GR"/>
        </w:rPr>
        <w:t>υποθυρεοειδισμός</w:t>
      </w:r>
    </w:p>
    <w:p w:rsidR="00A502AA" w:rsidRPr="00F7301B" w:rsidRDefault="00A502AA" w:rsidP="009C2308">
      <w:pPr>
        <w:pStyle w:val="Style24"/>
        <w:widowControl/>
        <w:numPr>
          <w:ilvl w:val="0"/>
          <w:numId w:val="2"/>
        </w:numPr>
        <w:tabs>
          <w:tab w:val="left" w:pos="1080"/>
        </w:tabs>
        <w:spacing w:before="154" w:line="240" w:lineRule="auto"/>
        <w:ind w:left="730" w:firstLine="0"/>
        <w:jc w:val="left"/>
        <w:rPr>
          <w:rStyle w:val="FontStyle45"/>
          <w:lang w:val="el-GR"/>
        </w:rPr>
      </w:pPr>
      <w:r>
        <w:rPr>
          <w:rStyle w:val="FontStyle45"/>
          <w:lang w:val="el-GR" w:eastAsia="el-GR"/>
        </w:rPr>
        <w:t>ατομικό ή οικογενειακό ιστορικό κληρονομικών μυϊκών διαταραχών</w:t>
      </w:r>
    </w:p>
    <w:p w:rsidR="00A502AA" w:rsidRPr="00F7301B" w:rsidRDefault="00A502AA" w:rsidP="009C2308">
      <w:pPr>
        <w:pStyle w:val="Style24"/>
        <w:widowControl/>
        <w:numPr>
          <w:ilvl w:val="0"/>
          <w:numId w:val="2"/>
        </w:numPr>
        <w:tabs>
          <w:tab w:val="left" w:pos="1080"/>
        </w:tabs>
        <w:spacing w:before="125" w:line="269" w:lineRule="exact"/>
        <w:ind w:left="1080"/>
        <w:rPr>
          <w:rStyle w:val="FontStyle45"/>
          <w:lang w:val="el-GR"/>
        </w:rPr>
      </w:pPr>
      <w:r>
        <w:rPr>
          <w:rStyle w:val="FontStyle45"/>
          <w:lang w:val="el-GR" w:eastAsia="el-GR"/>
        </w:rPr>
        <w:t xml:space="preserve">προηγούμενο ιστορικό μυϊκής βλάβης με χρήση άλλου αναστολέα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αναγωγάσης ή φιβράτης</w:t>
      </w:r>
    </w:p>
    <w:p w:rsidR="00A502AA" w:rsidRDefault="00A502AA" w:rsidP="009C2308">
      <w:pPr>
        <w:pStyle w:val="Style24"/>
        <w:widowControl/>
        <w:numPr>
          <w:ilvl w:val="0"/>
          <w:numId w:val="2"/>
        </w:numPr>
        <w:tabs>
          <w:tab w:val="left" w:pos="1080"/>
        </w:tabs>
        <w:spacing w:before="144" w:line="240" w:lineRule="auto"/>
        <w:ind w:left="730" w:firstLine="0"/>
        <w:jc w:val="left"/>
        <w:rPr>
          <w:rStyle w:val="FontStyle45"/>
          <w:lang w:val="el-GR" w:eastAsia="el-GR"/>
        </w:rPr>
      </w:pPr>
      <w:r>
        <w:rPr>
          <w:rStyle w:val="FontStyle45"/>
          <w:lang w:val="el-GR" w:eastAsia="el-GR"/>
        </w:rPr>
        <w:t>κατάχρηση αλκοόλ</w:t>
      </w:r>
    </w:p>
    <w:p w:rsidR="00A502AA" w:rsidRDefault="00A502AA" w:rsidP="009C2308">
      <w:pPr>
        <w:pStyle w:val="Style24"/>
        <w:widowControl/>
        <w:numPr>
          <w:ilvl w:val="0"/>
          <w:numId w:val="2"/>
        </w:numPr>
        <w:tabs>
          <w:tab w:val="left" w:pos="1080"/>
        </w:tabs>
        <w:spacing w:before="125" w:line="269" w:lineRule="exact"/>
        <w:ind w:left="1080"/>
        <w:rPr>
          <w:rStyle w:val="FontStyle45"/>
          <w:lang w:val="el-GR" w:eastAsia="el-GR"/>
        </w:rPr>
      </w:pPr>
      <w:r>
        <w:rPr>
          <w:rStyle w:val="FontStyle45"/>
          <w:lang w:val="el-GR" w:eastAsia="el-GR"/>
        </w:rPr>
        <w:t>καταστάσεις, όπου μπορεί να παρατηρηθεί αύξηση των επιπέδων του πλάσματος</w:t>
      </w:r>
    </w:p>
    <w:p w:rsidR="00A502AA" w:rsidRDefault="00A502AA" w:rsidP="009C2308">
      <w:pPr>
        <w:pStyle w:val="Style24"/>
        <w:widowControl/>
        <w:numPr>
          <w:ilvl w:val="0"/>
          <w:numId w:val="2"/>
        </w:numPr>
        <w:tabs>
          <w:tab w:val="left" w:pos="1080"/>
        </w:tabs>
        <w:spacing w:before="14" w:line="389" w:lineRule="exact"/>
        <w:ind w:left="730" w:firstLine="0"/>
        <w:jc w:val="left"/>
        <w:rPr>
          <w:rStyle w:val="FontStyle45"/>
          <w:lang w:val="el-GR" w:eastAsia="el-GR"/>
        </w:rPr>
      </w:pPr>
      <w:r>
        <w:rPr>
          <w:rStyle w:val="FontStyle45"/>
          <w:lang w:val="el-GR" w:eastAsia="el-GR"/>
        </w:rPr>
        <w:t>χορήγηση σε Ασιάτες ασθενείς</w:t>
      </w:r>
    </w:p>
    <w:p w:rsidR="00A502AA" w:rsidRDefault="00A502AA" w:rsidP="00E317F9">
      <w:pPr>
        <w:pStyle w:val="Style25"/>
        <w:widowControl/>
        <w:tabs>
          <w:tab w:val="left" w:pos="1061"/>
        </w:tabs>
        <w:spacing w:line="389" w:lineRule="exact"/>
        <w:ind w:right="57"/>
        <w:rPr>
          <w:rStyle w:val="FontStyle45"/>
          <w:lang w:val="el-GR" w:eastAsia="el-GR"/>
        </w:rPr>
      </w:pPr>
      <w:r>
        <w:rPr>
          <w:rStyle w:val="FontStyle45"/>
          <w:lang w:val="el-GR" w:eastAsia="el-GR"/>
        </w:rPr>
        <w:t>-</w:t>
      </w:r>
      <w:r>
        <w:rPr>
          <w:rStyle w:val="FontStyle45"/>
          <w:rFonts w:ascii="Times New Roman" w:hAnsi="Times New Roman" w:cs="Times New Roman"/>
          <w:lang w:val="el-GR" w:eastAsia="el-GR"/>
        </w:rPr>
        <w:tab/>
      </w:r>
      <w:r>
        <w:rPr>
          <w:rStyle w:val="FontStyle45"/>
          <w:lang w:val="el-GR" w:eastAsia="el-GR"/>
        </w:rPr>
        <w:t>ταυτόχρονη χορήγηση φιβρατών (βλ. Παραγράφους. 4.4, 4.5 και 5.2).</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62"/>
        </w:tabs>
        <w:spacing w:before="24"/>
        <w:rPr>
          <w:rStyle w:val="FontStyle44"/>
          <w:lang w:val="el-GR" w:eastAsia="el-GR"/>
        </w:rPr>
      </w:pPr>
      <w:r>
        <w:rPr>
          <w:rStyle w:val="FontStyle44"/>
          <w:lang w:val="el-GR" w:eastAsia="el-GR"/>
        </w:rPr>
        <w:t>4.4</w:t>
      </w:r>
      <w:r>
        <w:rPr>
          <w:rStyle w:val="FontStyle44"/>
          <w:rFonts w:ascii="Times New Roman" w:hAnsi="Times New Roman" w:cs="Times New Roman"/>
          <w:b w:val="0"/>
          <w:bCs w:val="0"/>
          <w:lang w:val="el-GR" w:eastAsia="el-GR"/>
        </w:rPr>
        <w:tab/>
      </w:r>
      <w:r>
        <w:rPr>
          <w:rStyle w:val="FontStyle44"/>
          <w:lang w:val="el-GR" w:eastAsia="el-GR"/>
        </w:rPr>
        <w:t>Ειδικές προειδοποιήσεις και προφυλάξεις κατά τη χρήση</w:t>
      </w:r>
    </w:p>
    <w:p w:rsidR="00A502AA" w:rsidRDefault="00A502AA">
      <w:pPr>
        <w:pStyle w:val="Style7"/>
        <w:widowControl/>
        <w:spacing w:before="158" w:line="240" w:lineRule="auto"/>
        <w:jc w:val="left"/>
        <w:rPr>
          <w:rStyle w:val="FontStyle45"/>
          <w:u w:val="single"/>
          <w:lang w:val="el-GR" w:eastAsia="el-GR"/>
        </w:rPr>
      </w:pPr>
      <w:r>
        <w:rPr>
          <w:rStyle w:val="FontStyle45"/>
          <w:u w:val="single"/>
          <w:lang w:val="el-GR" w:eastAsia="el-GR"/>
        </w:rPr>
        <w:t>Επίδραση στους νεφρούς</w:t>
      </w:r>
    </w:p>
    <w:p w:rsidR="00A502AA" w:rsidRPr="00F7301B" w:rsidRDefault="00A502AA">
      <w:pPr>
        <w:pStyle w:val="Style7"/>
        <w:widowControl/>
        <w:spacing w:before="120" w:line="269" w:lineRule="exact"/>
        <w:rPr>
          <w:rStyle w:val="FontStyle45"/>
          <w:lang w:val="el-GR" w:eastAsia="el-GR"/>
        </w:rPr>
      </w:pPr>
      <w:r>
        <w:rPr>
          <w:rStyle w:val="FontStyle45"/>
          <w:lang w:val="el-GR" w:eastAsia="el-GR"/>
        </w:rPr>
        <w:t xml:space="preserve">Πρωτεϊνουρία, που ανιχνεύεται με χρήση ταινιών </w:t>
      </w:r>
      <w:r w:rsidRPr="00F7301B">
        <w:rPr>
          <w:rStyle w:val="FontStyle45"/>
          <w:lang w:val="el-GR" w:eastAsia="el-GR"/>
        </w:rPr>
        <w:t>(</w:t>
      </w:r>
      <w:r>
        <w:rPr>
          <w:rStyle w:val="FontStyle45"/>
          <w:lang w:eastAsia="el-GR"/>
        </w:rPr>
        <w:t>dipstick</w:t>
      </w:r>
      <w:r w:rsidRPr="00F7301B">
        <w:rPr>
          <w:rStyle w:val="FontStyle45"/>
          <w:lang w:val="el-GR" w:eastAsia="el-GR"/>
        </w:rPr>
        <w:t xml:space="preserve">) </w:t>
      </w:r>
      <w:r>
        <w:rPr>
          <w:rStyle w:val="FontStyle45"/>
          <w:lang w:val="el-GR" w:eastAsia="el-GR"/>
        </w:rPr>
        <w:t xml:space="preserve">και που είναι κυρίως σωληναριακής προέλευσης, έχει παρατηρηθεί σε ασθενείς που λαμβάνουν υψηλότερες δόσεις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ιδιαίτερα 40 </w:t>
      </w:r>
      <w:r>
        <w:rPr>
          <w:rStyle w:val="FontStyle45"/>
          <w:lang w:eastAsia="el-GR"/>
        </w:rPr>
        <w:t>mg</w:t>
      </w:r>
      <w:r w:rsidRPr="00F7301B">
        <w:rPr>
          <w:rStyle w:val="FontStyle45"/>
          <w:lang w:val="el-GR" w:eastAsia="el-GR"/>
        </w:rPr>
        <w:t xml:space="preserve">, </w:t>
      </w:r>
      <w:r>
        <w:rPr>
          <w:rStyle w:val="FontStyle45"/>
          <w:lang w:val="el-GR" w:eastAsia="el-GR"/>
        </w:rPr>
        <w:t xml:space="preserve">όπου, στις περισσότερες περιπτώσεις ήταν παροδική και διαλείπουσα. Η πρωτεϊνουρία δεν έδειξε να αποτελεί προγνωστικό οξείας ή επιδεινούμενης νεφρικής νόσου (βλ. Παράγραφο 4.8). Η συχνότητα αναφοράς σοβαρών νεφρικών συμβαμάτων που σχετίζεται με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κατά τη χρήση του μετά την κυκλοφορία είναι υψηλότερη στη δόση των 40 </w:t>
      </w:r>
      <w:r>
        <w:rPr>
          <w:rStyle w:val="FontStyle45"/>
          <w:lang w:eastAsia="el-GR"/>
        </w:rPr>
        <w:t>mg</w:t>
      </w:r>
      <w:r w:rsidRPr="00F7301B">
        <w:rPr>
          <w:rStyle w:val="FontStyle45"/>
          <w:lang w:val="el-GR" w:eastAsia="el-GR"/>
        </w:rPr>
        <w:t xml:space="preserve">. </w:t>
      </w:r>
      <w:r>
        <w:rPr>
          <w:rStyle w:val="FontStyle45"/>
          <w:lang w:val="el-GR" w:eastAsia="el-GR"/>
        </w:rPr>
        <w:t xml:space="preserve">Αξιολόγηση της νεφρικής λειτουργίας θα πρέπει να εξετάζεται στα πλαίσια των περιοδικών ελέγχων των ασθενών που λαμβάνουν δόση 40 </w:t>
      </w:r>
      <w:r>
        <w:rPr>
          <w:rStyle w:val="FontStyle45"/>
          <w:lang w:eastAsia="el-GR"/>
        </w:rPr>
        <w:t>mg</w:t>
      </w:r>
      <w:r w:rsidRPr="00F7301B">
        <w:rPr>
          <w:rStyle w:val="FontStyle45"/>
          <w:lang w:val="el-GR" w:eastAsia="el-GR"/>
        </w:rPr>
        <w:t>.</w:t>
      </w:r>
    </w:p>
    <w:p w:rsidR="00E317F9" w:rsidRPr="006C66E1" w:rsidRDefault="00E317F9">
      <w:pPr>
        <w:pStyle w:val="Style7"/>
        <w:widowControl/>
        <w:spacing w:before="144" w:line="240" w:lineRule="auto"/>
        <w:jc w:val="left"/>
        <w:rPr>
          <w:rStyle w:val="FontStyle45"/>
          <w:u w:val="single"/>
          <w:lang w:val="el-GR" w:eastAsia="el-GR"/>
        </w:rPr>
      </w:pPr>
    </w:p>
    <w:p w:rsidR="00E317F9" w:rsidRPr="006C66E1" w:rsidRDefault="00E317F9">
      <w:pPr>
        <w:pStyle w:val="Style7"/>
        <w:widowControl/>
        <w:spacing w:before="144" w:line="240" w:lineRule="auto"/>
        <w:jc w:val="left"/>
        <w:rPr>
          <w:rStyle w:val="FontStyle45"/>
          <w:u w:val="single"/>
          <w:lang w:val="el-GR" w:eastAsia="el-GR"/>
        </w:rPr>
      </w:pPr>
    </w:p>
    <w:p w:rsidR="00A502AA" w:rsidRDefault="00A502AA">
      <w:pPr>
        <w:pStyle w:val="Style7"/>
        <w:widowControl/>
        <w:spacing w:before="144" w:line="240" w:lineRule="auto"/>
        <w:jc w:val="left"/>
        <w:rPr>
          <w:rStyle w:val="FontStyle45"/>
          <w:u w:val="single"/>
          <w:lang w:val="el-GR" w:eastAsia="el-GR"/>
        </w:rPr>
      </w:pPr>
      <w:r>
        <w:rPr>
          <w:rStyle w:val="FontStyle45"/>
          <w:u w:val="single"/>
          <w:lang w:val="el-GR" w:eastAsia="el-GR"/>
        </w:rPr>
        <w:t>Επιδράσεις στους σκελετικούς μυς</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Έχουν αναφερθεί επιδράσεις στους σκελετικούς μύες, π.χ. μυαλγία, μυοπάθεια και σπάνια ραβδομυόλυση, σε ασθενείς που έλαβαν θεραπεία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όλες τις δόσεις και ιδιαίτερα με δόσεις &gt;20 </w:t>
      </w:r>
      <w:r>
        <w:rPr>
          <w:rStyle w:val="FontStyle45"/>
          <w:lang w:eastAsia="el-GR"/>
        </w:rPr>
        <w:t>mg</w:t>
      </w:r>
      <w:r w:rsidRPr="00F7301B">
        <w:rPr>
          <w:rStyle w:val="FontStyle45"/>
          <w:lang w:val="el-GR" w:eastAsia="el-GR"/>
        </w:rPr>
        <w:t xml:space="preserve">. </w:t>
      </w:r>
      <w:r>
        <w:rPr>
          <w:rStyle w:val="FontStyle45"/>
          <w:lang w:val="el-GR" w:eastAsia="el-GR"/>
        </w:rPr>
        <w:t xml:space="preserve">Έχουν αναφερθεί πολύ σπάνιες περιπτώσεις ραβδομυόλυσης με τη χρήση εζετιμίμπης σε συνδυασμό με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αναγωγάσης. Μία φαρμακοδυναμική αλληλεπίδραση δεν μπορεί να αποκλειστεί (βλ. Παράγραφο 4.5) και απαιτείται προσοχή όταν χορηγούνται μαζί.</w:t>
      </w:r>
    </w:p>
    <w:p w:rsidR="00A502AA" w:rsidRPr="00F7301B" w:rsidRDefault="00A502AA">
      <w:pPr>
        <w:pStyle w:val="Style7"/>
        <w:widowControl/>
        <w:spacing w:before="115" w:line="269" w:lineRule="exact"/>
        <w:rPr>
          <w:rStyle w:val="FontStyle45"/>
          <w:lang w:val="el-GR" w:eastAsia="el-GR"/>
        </w:rPr>
      </w:pPr>
      <w:r>
        <w:rPr>
          <w:rStyle w:val="FontStyle45"/>
          <w:lang w:val="el-GR" w:eastAsia="el-GR"/>
        </w:rPr>
        <w:t xml:space="preserve">Όπως και με τους άλλους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η συχνότητα αναφοράς της ραβδομυόλυσης που σχετίζεται με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κατά την χρήση του μετά την κυκλοφορία είναι μεγαλύτερη με τη δόση των 40 </w:t>
      </w:r>
      <w:r>
        <w:rPr>
          <w:rStyle w:val="FontStyle45"/>
          <w:lang w:eastAsia="el-GR"/>
        </w:rPr>
        <w:t>mg</w:t>
      </w:r>
      <w:r w:rsidRPr="00F7301B">
        <w:rPr>
          <w:rStyle w:val="FontStyle45"/>
          <w:lang w:val="el-GR" w:eastAsia="el-GR"/>
        </w:rPr>
        <w:t>.</w:t>
      </w:r>
    </w:p>
    <w:p w:rsidR="00A502AA" w:rsidRPr="00F7301B" w:rsidRDefault="00A502AA">
      <w:pPr>
        <w:pStyle w:val="Style29"/>
        <w:widowControl/>
        <w:spacing w:line="240" w:lineRule="exact"/>
        <w:rPr>
          <w:sz w:val="20"/>
          <w:szCs w:val="20"/>
          <w:lang w:val="el-GR"/>
        </w:rPr>
      </w:pPr>
    </w:p>
    <w:p w:rsidR="00A502AA" w:rsidRPr="00F7301B" w:rsidRDefault="00A502AA">
      <w:pPr>
        <w:pStyle w:val="Style29"/>
        <w:widowControl/>
        <w:spacing w:line="240" w:lineRule="exact"/>
        <w:rPr>
          <w:sz w:val="20"/>
          <w:szCs w:val="20"/>
          <w:lang w:val="el-GR"/>
        </w:rPr>
      </w:pPr>
    </w:p>
    <w:p w:rsidR="00A502AA" w:rsidRDefault="00A502AA">
      <w:pPr>
        <w:pStyle w:val="Style29"/>
        <w:widowControl/>
        <w:spacing w:before="53"/>
        <w:rPr>
          <w:rStyle w:val="FontStyle43"/>
          <w:lang w:val="el-GR" w:eastAsia="el-GR"/>
        </w:rPr>
      </w:pPr>
      <w:r>
        <w:rPr>
          <w:rStyle w:val="FontStyle43"/>
          <w:lang w:val="el-GR" w:eastAsia="el-GR"/>
        </w:rPr>
        <w:t>Μέτρηση της κρεατινικής κινάσης</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Η κρεατινική κινάση </w:t>
      </w:r>
      <w:r w:rsidRPr="00F7301B">
        <w:rPr>
          <w:rStyle w:val="FontStyle45"/>
          <w:lang w:val="el-GR" w:eastAsia="el-GR"/>
        </w:rPr>
        <w:t>(</w:t>
      </w:r>
      <w:r>
        <w:rPr>
          <w:rStyle w:val="FontStyle45"/>
          <w:lang w:eastAsia="el-GR"/>
        </w:rPr>
        <w:t>CK</w:t>
      </w:r>
      <w:r w:rsidRPr="00F7301B">
        <w:rPr>
          <w:rStyle w:val="FontStyle45"/>
          <w:lang w:val="el-GR" w:eastAsia="el-GR"/>
        </w:rPr>
        <w:t xml:space="preserve">) </w:t>
      </w:r>
      <w:r>
        <w:rPr>
          <w:rStyle w:val="FontStyle45"/>
          <w:lang w:val="el-GR" w:eastAsia="el-GR"/>
        </w:rPr>
        <w:t xml:space="preserve">δεν πρέπει να μετράται μετά από εντατική άσκηση ή όταν συνυπάρχει μία εύλογη εναλλακτική αιτία αύξησης της </w:t>
      </w:r>
      <w:r>
        <w:rPr>
          <w:rStyle w:val="FontStyle45"/>
          <w:lang w:eastAsia="el-GR"/>
        </w:rPr>
        <w:t>CK</w:t>
      </w:r>
      <w:r w:rsidRPr="00F7301B">
        <w:rPr>
          <w:rStyle w:val="FontStyle45"/>
          <w:lang w:val="el-GR" w:eastAsia="el-GR"/>
        </w:rPr>
        <w:t xml:space="preserve">, </w:t>
      </w:r>
      <w:r>
        <w:rPr>
          <w:rStyle w:val="FontStyle45"/>
          <w:lang w:val="el-GR" w:eastAsia="el-GR"/>
        </w:rPr>
        <w:t xml:space="preserve">που μπορεί να επηρεάσει την ερμηνεία των αποτελεσμάτων. Εάν τα επίπεδα της </w:t>
      </w:r>
      <w:r>
        <w:rPr>
          <w:rStyle w:val="FontStyle45"/>
          <w:lang w:eastAsia="el-GR"/>
        </w:rPr>
        <w:t>CK</w:t>
      </w:r>
      <w:r w:rsidRPr="00F7301B">
        <w:rPr>
          <w:rStyle w:val="FontStyle45"/>
          <w:lang w:val="el-GR" w:eastAsia="el-GR"/>
        </w:rPr>
        <w:t xml:space="preserve"> </w:t>
      </w:r>
      <w:r>
        <w:rPr>
          <w:rStyle w:val="FontStyle45"/>
          <w:lang w:val="el-GR" w:eastAsia="el-GR"/>
        </w:rPr>
        <w:t xml:space="preserve">είναι σημαντικά αυξημένα κατά την έναρξη </w:t>
      </w:r>
      <w:r w:rsidRPr="00F7301B">
        <w:rPr>
          <w:rStyle w:val="FontStyle45"/>
          <w:lang w:val="el-GR" w:eastAsia="el-GR"/>
        </w:rPr>
        <w:t>(&gt;5</w:t>
      </w:r>
      <w:r>
        <w:rPr>
          <w:rStyle w:val="FontStyle45"/>
          <w:lang w:eastAsia="el-GR"/>
        </w:rPr>
        <w:t>xULN</w:t>
      </w:r>
      <w:r w:rsidRPr="00F7301B">
        <w:rPr>
          <w:rStyle w:val="FontStyle45"/>
          <w:lang w:val="el-GR" w:eastAsia="el-GR"/>
        </w:rPr>
        <w:t xml:space="preserve">) </w:t>
      </w:r>
      <w:r>
        <w:rPr>
          <w:rStyle w:val="FontStyle45"/>
          <w:lang w:val="el-GR" w:eastAsia="el-GR"/>
        </w:rPr>
        <w:t xml:space="preserve">θα πρέπει να διενεργηθεί επιβεβαιωτικός έλεγχος εντός 5-7 ημερών. Εάν ο επαναληπτικός έλεγχος επιβεβαιώσει τιμή της </w:t>
      </w:r>
      <w:r>
        <w:rPr>
          <w:rStyle w:val="FontStyle45"/>
          <w:lang w:eastAsia="el-GR"/>
        </w:rPr>
        <w:t>CK</w:t>
      </w:r>
      <w:r w:rsidRPr="00F7301B">
        <w:rPr>
          <w:rStyle w:val="FontStyle45"/>
          <w:lang w:val="el-GR" w:eastAsia="el-GR"/>
        </w:rPr>
        <w:t xml:space="preserve"> </w:t>
      </w:r>
      <w:r>
        <w:rPr>
          <w:rStyle w:val="FontStyle45"/>
          <w:lang w:val="el-GR" w:eastAsia="el-GR"/>
        </w:rPr>
        <w:t xml:space="preserve">κατά την έναρξη &gt; 5 </w:t>
      </w:r>
      <w:r>
        <w:rPr>
          <w:rStyle w:val="FontStyle45"/>
          <w:lang w:eastAsia="el-GR"/>
        </w:rPr>
        <w:t>x</w:t>
      </w:r>
      <w:r w:rsidRPr="00F7301B">
        <w:rPr>
          <w:rStyle w:val="FontStyle45"/>
          <w:lang w:val="el-GR" w:eastAsia="el-GR"/>
        </w:rPr>
        <w:t xml:space="preserve"> </w:t>
      </w:r>
      <w:r>
        <w:rPr>
          <w:rStyle w:val="FontStyle45"/>
          <w:lang w:eastAsia="el-GR"/>
        </w:rPr>
        <w:t>ULN</w:t>
      </w:r>
      <w:r w:rsidRPr="00F7301B">
        <w:rPr>
          <w:rStyle w:val="FontStyle45"/>
          <w:lang w:val="el-GR" w:eastAsia="el-GR"/>
        </w:rPr>
        <w:t xml:space="preserve">, </w:t>
      </w:r>
      <w:r>
        <w:rPr>
          <w:rStyle w:val="FontStyle45"/>
          <w:lang w:val="el-GR" w:eastAsia="el-GR"/>
        </w:rPr>
        <w:t>δε θα πρέπει να αρχίσει θεραπεία.</w:t>
      </w:r>
    </w:p>
    <w:p w:rsidR="00A502AA" w:rsidRPr="00F7301B" w:rsidRDefault="00A502AA">
      <w:pPr>
        <w:pStyle w:val="Style29"/>
        <w:widowControl/>
        <w:spacing w:line="240" w:lineRule="exact"/>
        <w:rPr>
          <w:sz w:val="20"/>
          <w:szCs w:val="20"/>
          <w:lang w:val="el-GR"/>
        </w:rPr>
      </w:pPr>
    </w:p>
    <w:p w:rsidR="00A502AA" w:rsidRPr="00F7301B" w:rsidRDefault="00A502AA">
      <w:pPr>
        <w:pStyle w:val="Style29"/>
        <w:widowControl/>
        <w:spacing w:line="240" w:lineRule="exact"/>
        <w:rPr>
          <w:sz w:val="20"/>
          <w:szCs w:val="20"/>
          <w:lang w:val="el-GR"/>
        </w:rPr>
      </w:pPr>
    </w:p>
    <w:p w:rsidR="00A502AA" w:rsidRDefault="00A502AA">
      <w:pPr>
        <w:pStyle w:val="Style29"/>
        <w:widowControl/>
        <w:spacing w:before="62"/>
        <w:rPr>
          <w:rStyle w:val="FontStyle43"/>
          <w:lang w:val="el-GR" w:eastAsia="el-GR"/>
        </w:rPr>
      </w:pPr>
      <w:r>
        <w:rPr>
          <w:rStyle w:val="FontStyle43"/>
          <w:lang w:val="el-GR" w:eastAsia="el-GR"/>
        </w:rPr>
        <w:t>Πριν τη θεραπεία</w:t>
      </w:r>
    </w:p>
    <w:p w:rsidR="00A502AA" w:rsidRDefault="00A502AA">
      <w:pPr>
        <w:pStyle w:val="Style7"/>
        <w:widowControl/>
        <w:spacing w:before="120" w:line="264" w:lineRule="exact"/>
        <w:rPr>
          <w:rStyle w:val="FontStyle45"/>
          <w:lang w:val="el-GR" w:eastAsia="el-GR"/>
        </w:rPr>
      </w:pPr>
      <w:r>
        <w:rPr>
          <w:rStyle w:val="FontStyle45"/>
          <w:lang w:val="el-GR" w:eastAsia="el-GR"/>
        </w:rPr>
        <w:t xml:space="preserve">Όπως και με τους άλλους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πρέπει να συνταγογραφείται με προσοχή σε ασθενείς με παράγοντες που προδιαθέτουν σε μυοπάθεια/ραβδομυόλυση. Στους παράγοντες αυτούς συμπεριλαμβάνονται:</w:t>
      </w:r>
    </w:p>
    <w:p w:rsidR="00A502AA" w:rsidRDefault="00A502AA" w:rsidP="009C2308">
      <w:pPr>
        <w:pStyle w:val="Style17"/>
        <w:widowControl/>
        <w:numPr>
          <w:ilvl w:val="0"/>
          <w:numId w:val="3"/>
        </w:numPr>
        <w:tabs>
          <w:tab w:val="left" w:pos="725"/>
        </w:tabs>
        <w:spacing w:before="29" w:line="384" w:lineRule="exact"/>
        <w:ind w:left="374" w:firstLine="0"/>
        <w:jc w:val="left"/>
        <w:rPr>
          <w:rStyle w:val="FontStyle45"/>
          <w:lang w:val="el-GR" w:eastAsia="el-GR"/>
        </w:rPr>
      </w:pPr>
      <w:r>
        <w:rPr>
          <w:rStyle w:val="FontStyle45"/>
          <w:lang w:val="el-GR" w:eastAsia="el-GR"/>
        </w:rPr>
        <w:t>έκπτωση νεφρικής λειτουργίας</w:t>
      </w:r>
    </w:p>
    <w:p w:rsidR="00A502AA" w:rsidRDefault="00A502AA" w:rsidP="009C2308">
      <w:pPr>
        <w:pStyle w:val="Style17"/>
        <w:widowControl/>
        <w:numPr>
          <w:ilvl w:val="0"/>
          <w:numId w:val="3"/>
        </w:numPr>
        <w:tabs>
          <w:tab w:val="left" w:pos="725"/>
        </w:tabs>
        <w:spacing w:before="5" w:line="384" w:lineRule="exact"/>
        <w:ind w:left="374" w:firstLine="0"/>
        <w:jc w:val="left"/>
        <w:rPr>
          <w:rStyle w:val="FontStyle45"/>
          <w:lang w:val="el-GR" w:eastAsia="el-GR"/>
        </w:rPr>
      </w:pPr>
      <w:r>
        <w:rPr>
          <w:rStyle w:val="FontStyle45"/>
          <w:lang w:val="el-GR" w:eastAsia="el-GR"/>
        </w:rPr>
        <w:t>υποθυροειδισμός</w:t>
      </w:r>
    </w:p>
    <w:p w:rsidR="00A502AA" w:rsidRDefault="00A502AA" w:rsidP="009C2308">
      <w:pPr>
        <w:pStyle w:val="Style17"/>
        <w:widowControl/>
        <w:numPr>
          <w:ilvl w:val="0"/>
          <w:numId w:val="3"/>
        </w:numPr>
        <w:tabs>
          <w:tab w:val="left" w:pos="725"/>
        </w:tabs>
        <w:spacing w:line="384" w:lineRule="exact"/>
        <w:ind w:left="374" w:firstLine="0"/>
        <w:jc w:val="left"/>
        <w:rPr>
          <w:rStyle w:val="FontStyle45"/>
          <w:lang w:val="el-GR" w:eastAsia="el-GR"/>
        </w:rPr>
      </w:pPr>
      <w:r>
        <w:rPr>
          <w:rStyle w:val="FontStyle45"/>
          <w:lang w:val="el-GR" w:eastAsia="el-GR"/>
        </w:rPr>
        <w:t>ατομικό ή οικογενειακό ιστορικό κληρονομικών μυϊκών διαταραχών</w:t>
      </w:r>
    </w:p>
    <w:p w:rsidR="00A502AA" w:rsidRDefault="00A502AA" w:rsidP="009C2308">
      <w:pPr>
        <w:pStyle w:val="Style17"/>
        <w:widowControl/>
        <w:numPr>
          <w:ilvl w:val="0"/>
          <w:numId w:val="4"/>
        </w:numPr>
        <w:tabs>
          <w:tab w:val="left" w:pos="725"/>
        </w:tabs>
        <w:spacing w:before="96" w:line="269" w:lineRule="exact"/>
        <w:ind w:left="725" w:hanging="350"/>
        <w:jc w:val="left"/>
        <w:rPr>
          <w:rStyle w:val="FontStyle45"/>
          <w:lang w:val="el-GR" w:eastAsia="el-GR"/>
        </w:rPr>
      </w:pPr>
      <w:r>
        <w:rPr>
          <w:rStyle w:val="FontStyle45"/>
          <w:lang w:val="el-GR" w:eastAsia="el-GR"/>
        </w:rPr>
        <w:t xml:space="preserve">προηγούμενο ιστορικό μυϊκής βλάβης με χρήση άλλου αναστολέα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αναγωγάσης ή φιβράτη</w:t>
      </w:r>
    </w:p>
    <w:p w:rsidR="00A502AA" w:rsidRDefault="00A502AA" w:rsidP="009C2308">
      <w:pPr>
        <w:pStyle w:val="Style17"/>
        <w:widowControl/>
        <w:numPr>
          <w:ilvl w:val="0"/>
          <w:numId w:val="3"/>
        </w:numPr>
        <w:tabs>
          <w:tab w:val="left" w:pos="725"/>
        </w:tabs>
        <w:spacing w:before="149" w:line="240" w:lineRule="auto"/>
        <w:ind w:left="374" w:firstLine="0"/>
        <w:jc w:val="left"/>
        <w:rPr>
          <w:rStyle w:val="FontStyle45"/>
          <w:lang w:val="el-GR" w:eastAsia="el-GR"/>
        </w:rPr>
      </w:pPr>
      <w:r>
        <w:rPr>
          <w:rStyle w:val="FontStyle45"/>
          <w:lang w:val="el-GR" w:eastAsia="el-GR"/>
        </w:rPr>
        <w:t>κατάχρηση αλκοόλ</w:t>
      </w:r>
    </w:p>
    <w:p w:rsidR="00A502AA" w:rsidRDefault="00A502AA" w:rsidP="009C2308">
      <w:pPr>
        <w:pStyle w:val="Style17"/>
        <w:widowControl/>
        <w:numPr>
          <w:ilvl w:val="0"/>
          <w:numId w:val="3"/>
        </w:numPr>
        <w:tabs>
          <w:tab w:val="left" w:pos="725"/>
        </w:tabs>
        <w:spacing w:before="154" w:line="240" w:lineRule="auto"/>
        <w:ind w:left="374" w:firstLine="0"/>
        <w:jc w:val="left"/>
        <w:rPr>
          <w:rStyle w:val="FontStyle45"/>
          <w:lang w:val="el-GR" w:eastAsia="el-GR"/>
        </w:rPr>
      </w:pPr>
      <w:r>
        <w:rPr>
          <w:rStyle w:val="FontStyle45"/>
          <w:lang w:val="el-GR" w:eastAsia="el-GR"/>
        </w:rPr>
        <w:t>ηλικία &gt; 70 ετών</w:t>
      </w:r>
    </w:p>
    <w:p w:rsidR="00A502AA" w:rsidRDefault="00A502AA" w:rsidP="009C2308">
      <w:pPr>
        <w:pStyle w:val="Style17"/>
        <w:widowControl/>
        <w:numPr>
          <w:ilvl w:val="0"/>
          <w:numId w:val="4"/>
        </w:numPr>
        <w:tabs>
          <w:tab w:val="left" w:pos="725"/>
        </w:tabs>
        <w:spacing w:before="120" w:line="274" w:lineRule="exact"/>
        <w:ind w:left="725" w:hanging="350"/>
        <w:jc w:val="left"/>
        <w:rPr>
          <w:rStyle w:val="FontStyle45"/>
          <w:lang w:val="el-GR" w:eastAsia="el-GR"/>
        </w:rPr>
      </w:pPr>
      <w:r>
        <w:rPr>
          <w:rStyle w:val="FontStyle45"/>
          <w:lang w:val="el-GR" w:eastAsia="el-GR"/>
        </w:rPr>
        <w:t>καταστάσεις, όπου μπορεί να παρατηρηθεί αύξηση των επιπέδων του πλάσματος (βλ. Παραγράφους 4.2, 4.5 και 5.2)</w:t>
      </w:r>
    </w:p>
    <w:p w:rsidR="00A502AA" w:rsidRDefault="00A502AA" w:rsidP="009C2308">
      <w:pPr>
        <w:pStyle w:val="Style17"/>
        <w:widowControl/>
        <w:numPr>
          <w:ilvl w:val="0"/>
          <w:numId w:val="3"/>
        </w:numPr>
        <w:tabs>
          <w:tab w:val="left" w:pos="725"/>
        </w:tabs>
        <w:spacing w:before="139" w:line="240" w:lineRule="auto"/>
        <w:ind w:left="374" w:firstLine="0"/>
        <w:jc w:val="left"/>
        <w:rPr>
          <w:rStyle w:val="FontStyle45"/>
          <w:lang w:val="el-GR" w:eastAsia="el-GR"/>
        </w:rPr>
      </w:pPr>
      <w:r>
        <w:rPr>
          <w:rStyle w:val="FontStyle45"/>
          <w:lang w:val="el-GR" w:eastAsia="el-GR"/>
        </w:rPr>
        <w:t>ταυτόχρονη χορήγηση φιβρατών</w:t>
      </w:r>
    </w:p>
    <w:p w:rsidR="00A502AA" w:rsidRDefault="00A502AA">
      <w:pPr>
        <w:pStyle w:val="Style7"/>
        <w:widowControl/>
        <w:spacing w:line="240" w:lineRule="exact"/>
        <w:rPr>
          <w:sz w:val="20"/>
          <w:szCs w:val="20"/>
        </w:rPr>
      </w:pPr>
    </w:p>
    <w:p w:rsidR="00A502AA" w:rsidRDefault="00A502AA">
      <w:pPr>
        <w:pStyle w:val="Style7"/>
        <w:widowControl/>
        <w:spacing w:line="240" w:lineRule="exact"/>
        <w:rPr>
          <w:sz w:val="20"/>
          <w:szCs w:val="20"/>
        </w:rPr>
      </w:pPr>
    </w:p>
    <w:p w:rsidR="00A502AA" w:rsidRDefault="00A502AA">
      <w:pPr>
        <w:pStyle w:val="Style7"/>
        <w:widowControl/>
        <w:spacing w:before="29" w:line="269" w:lineRule="exact"/>
        <w:rPr>
          <w:rStyle w:val="FontStyle45"/>
          <w:lang w:val="el-GR" w:eastAsia="el-GR"/>
        </w:rPr>
      </w:pPr>
      <w:r>
        <w:rPr>
          <w:rStyle w:val="FontStyle45"/>
          <w:lang w:val="el-GR" w:eastAsia="el-GR"/>
        </w:rPr>
        <w:t xml:space="preserve">Σε αυτούς τους ασθενείς ο κίνδυνος από τη θεραπεία θα πρέπει να εκτιμάται σε σχέση με το πιθανό όφελος, ενώ συνιστάται κλινική παρακολούθηση. Εάν τα επίπεδα </w:t>
      </w:r>
      <w:r>
        <w:rPr>
          <w:rStyle w:val="FontStyle45"/>
          <w:lang w:eastAsia="el-GR"/>
        </w:rPr>
        <w:t>CK</w:t>
      </w:r>
      <w:r w:rsidRPr="00F7301B">
        <w:rPr>
          <w:rStyle w:val="FontStyle45"/>
          <w:lang w:val="el-GR" w:eastAsia="el-GR"/>
        </w:rPr>
        <w:t xml:space="preserve"> </w:t>
      </w:r>
      <w:r>
        <w:rPr>
          <w:rStyle w:val="FontStyle45"/>
          <w:lang w:val="el-GR" w:eastAsia="el-GR"/>
        </w:rPr>
        <w:t xml:space="preserve">είναι σημαντικά αυξημένα κατά την έναρξη (&gt;5 </w:t>
      </w:r>
      <w:r>
        <w:rPr>
          <w:rStyle w:val="FontStyle45"/>
          <w:lang w:eastAsia="el-GR"/>
        </w:rPr>
        <w:t>x</w:t>
      </w:r>
      <w:r w:rsidRPr="00F7301B">
        <w:rPr>
          <w:rStyle w:val="FontStyle45"/>
          <w:lang w:val="el-GR" w:eastAsia="el-GR"/>
        </w:rPr>
        <w:t xml:space="preserve"> </w:t>
      </w:r>
      <w:r>
        <w:rPr>
          <w:rStyle w:val="FontStyle45"/>
          <w:lang w:eastAsia="el-GR"/>
        </w:rPr>
        <w:t>ULN</w:t>
      </w:r>
      <w:r w:rsidRPr="00F7301B">
        <w:rPr>
          <w:rStyle w:val="FontStyle45"/>
          <w:lang w:val="el-GR" w:eastAsia="el-GR"/>
        </w:rPr>
        <w:t xml:space="preserve">), </w:t>
      </w:r>
      <w:r>
        <w:rPr>
          <w:rStyle w:val="FontStyle45"/>
          <w:lang w:val="el-GR" w:eastAsia="el-GR"/>
        </w:rPr>
        <w:t>η θεραπεία δε θα πρέπει να αρχίσει.</w:t>
      </w:r>
    </w:p>
    <w:p w:rsidR="001D0B59" w:rsidRPr="001D0B59" w:rsidRDefault="001D0B59">
      <w:pPr>
        <w:pStyle w:val="Style29"/>
        <w:widowControl/>
        <w:spacing w:before="48"/>
        <w:rPr>
          <w:rStyle w:val="FontStyle43"/>
          <w:lang w:val="el-GR" w:eastAsia="el-GR"/>
        </w:rPr>
      </w:pPr>
    </w:p>
    <w:p w:rsidR="00A502AA" w:rsidRDefault="00A502AA">
      <w:pPr>
        <w:pStyle w:val="Style29"/>
        <w:widowControl/>
        <w:spacing w:before="48"/>
        <w:rPr>
          <w:rStyle w:val="FontStyle43"/>
          <w:lang w:val="el-GR" w:eastAsia="el-GR"/>
        </w:rPr>
      </w:pPr>
      <w:r>
        <w:rPr>
          <w:rStyle w:val="FontStyle43"/>
          <w:lang w:val="el-GR" w:eastAsia="el-GR"/>
        </w:rPr>
        <w:t>Κατά τη διάρκεια της θεραπείας</w:t>
      </w:r>
    </w:p>
    <w:p w:rsidR="00A502AA" w:rsidRDefault="00A502AA">
      <w:pPr>
        <w:pStyle w:val="Style7"/>
        <w:widowControl/>
        <w:spacing w:before="120" w:line="264" w:lineRule="exact"/>
        <w:rPr>
          <w:rStyle w:val="FontStyle45"/>
          <w:lang w:val="el-GR" w:eastAsia="el-GR"/>
        </w:rPr>
      </w:pPr>
      <w:r>
        <w:rPr>
          <w:rStyle w:val="FontStyle45"/>
          <w:lang w:val="el-GR" w:eastAsia="el-GR"/>
        </w:rPr>
        <w:t xml:space="preserve">Πρέπει να ζητείται από τους ασθενείς να αναφέρουν αμέσως ανεξήγητο μυϊκό πόνο, αδυναμία ή κράμπες, ιδιαίτερα αν συνοδεύονται από κακουχία ή πυρετό. Σ' αυτούς τους ασθενείς πρέπει να μετρηθούν τα επίπεδα κρεατινικής κινάσης </w:t>
      </w:r>
      <w:r w:rsidRPr="00F7301B">
        <w:rPr>
          <w:rStyle w:val="FontStyle45"/>
          <w:lang w:val="el-GR" w:eastAsia="el-GR"/>
        </w:rPr>
        <w:t>(</w:t>
      </w:r>
      <w:r>
        <w:rPr>
          <w:rStyle w:val="FontStyle45"/>
          <w:lang w:eastAsia="el-GR"/>
        </w:rPr>
        <w:t>CK</w:t>
      </w:r>
      <w:r w:rsidRPr="00F7301B">
        <w:rPr>
          <w:rStyle w:val="FontStyle45"/>
          <w:lang w:val="el-GR" w:eastAsia="el-GR"/>
        </w:rPr>
        <w:t xml:space="preserve">). </w:t>
      </w:r>
      <w:r>
        <w:rPr>
          <w:rStyle w:val="FontStyle45"/>
          <w:lang w:val="el-GR" w:eastAsia="el-GR"/>
        </w:rPr>
        <w:t xml:space="preserve">Εάν τα επίπεδα της </w:t>
      </w:r>
      <w:r>
        <w:rPr>
          <w:rStyle w:val="FontStyle45"/>
          <w:lang w:eastAsia="el-GR"/>
        </w:rPr>
        <w:t>CK</w:t>
      </w:r>
      <w:r w:rsidRPr="00F7301B">
        <w:rPr>
          <w:rStyle w:val="FontStyle45"/>
          <w:lang w:val="el-GR" w:eastAsia="el-GR"/>
        </w:rPr>
        <w:t xml:space="preserve"> </w:t>
      </w:r>
      <w:r>
        <w:rPr>
          <w:rStyle w:val="FontStyle45"/>
          <w:lang w:val="el-GR" w:eastAsia="el-GR"/>
        </w:rPr>
        <w:t xml:space="preserve">είναι σαφώς αυξημένα (&gt;5 </w:t>
      </w:r>
      <w:r>
        <w:rPr>
          <w:rStyle w:val="FontStyle45"/>
          <w:lang w:eastAsia="el-GR"/>
        </w:rPr>
        <w:t>x</w:t>
      </w:r>
      <w:r w:rsidRPr="00F7301B">
        <w:rPr>
          <w:rStyle w:val="FontStyle45"/>
          <w:lang w:val="el-GR" w:eastAsia="el-GR"/>
        </w:rPr>
        <w:t xml:space="preserve"> </w:t>
      </w:r>
      <w:r>
        <w:rPr>
          <w:rStyle w:val="FontStyle45"/>
          <w:lang w:eastAsia="el-GR"/>
        </w:rPr>
        <w:t>ULN</w:t>
      </w:r>
      <w:r w:rsidRPr="00F7301B">
        <w:rPr>
          <w:rStyle w:val="FontStyle45"/>
          <w:lang w:val="el-GR" w:eastAsia="el-GR"/>
        </w:rPr>
        <w:t xml:space="preserve">) </w:t>
      </w:r>
      <w:r>
        <w:rPr>
          <w:rStyle w:val="FontStyle45"/>
          <w:lang w:val="el-GR" w:eastAsia="el-GR"/>
        </w:rPr>
        <w:t xml:space="preserve">ή τα συμπτώματα από το μυϊκό σύστημα είναι </w:t>
      </w:r>
      <w:r>
        <w:rPr>
          <w:rStyle w:val="FontStyle45"/>
          <w:lang w:val="el-GR" w:eastAsia="el-GR"/>
        </w:rPr>
        <w:lastRenderedPageBreak/>
        <w:t xml:space="preserve">σοβαρά και προκαλούν καθημερινά δυσφορία, η θεραπεία πρέπει να διακόπτεται (ακόμη και αν τα επίπεδα </w:t>
      </w:r>
      <w:r>
        <w:rPr>
          <w:rStyle w:val="FontStyle45"/>
          <w:lang w:eastAsia="el-GR"/>
        </w:rPr>
        <w:t>CK</w:t>
      </w:r>
      <w:r w:rsidRPr="00F7301B">
        <w:rPr>
          <w:rStyle w:val="FontStyle45"/>
          <w:lang w:val="el-GR" w:eastAsia="el-GR"/>
        </w:rPr>
        <w:t xml:space="preserve"> </w:t>
      </w:r>
      <w:r>
        <w:rPr>
          <w:rStyle w:val="FontStyle45"/>
          <w:lang w:val="el-GR" w:eastAsia="el-GR"/>
        </w:rPr>
        <w:t xml:space="preserve">είναι &lt; </w:t>
      </w:r>
      <w:r w:rsidRPr="00F7301B">
        <w:rPr>
          <w:rStyle w:val="FontStyle45"/>
          <w:lang w:val="el-GR" w:eastAsia="el-GR"/>
        </w:rPr>
        <w:t>5</w:t>
      </w:r>
      <w:r>
        <w:rPr>
          <w:rStyle w:val="FontStyle45"/>
          <w:lang w:eastAsia="el-GR"/>
        </w:rPr>
        <w:t>xULN</w:t>
      </w:r>
      <w:r w:rsidRPr="00F7301B">
        <w:rPr>
          <w:rStyle w:val="FontStyle45"/>
          <w:lang w:val="el-GR" w:eastAsia="el-GR"/>
        </w:rPr>
        <w:t xml:space="preserve">). </w:t>
      </w:r>
      <w:r>
        <w:rPr>
          <w:rStyle w:val="FontStyle45"/>
          <w:lang w:val="el-GR" w:eastAsia="el-GR"/>
        </w:rPr>
        <w:t xml:space="preserve">Εάν τα συμπτώματα παρέλθουν και τα επίπεδα </w:t>
      </w:r>
      <w:r>
        <w:rPr>
          <w:rStyle w:val="FontStyle45"/>
          <w:lang w:eastAsia="el-GR"/>
        </w:rPr>
        <w:t>CK</w:t>
      </w:r>
      <w:r w:rsidRPr="00F7301B">
        <w:rPr>
          <w:rStyle w:val="FontStyle45"/>
          <w:lang w:val="el-GR" w:eastAsia="el-GR"/>
        </w:rPr>
        <w:t xml:space="preserve"> </w:t>
      </w:r>
      <w:r>
        <w:rPr>
          <w:rStyle w:val="FontStyle45"/>
          <w:lang w:val="el-GR" w:eastAsia="el-GR"/>
        </w:rPr>
        <w:t xml:space="preserve">υποχωρήσουν στις φυσιολογικές τιμές, τότε μπορεί να εξετασθεί η επανέναρξη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ή εναλλακτικού αναστολέα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στη χαμηλότερη δόση και με στενή παρακολούθηση. Μέτρηση των επιπέδων </w:t>
      </w:r>
      <w:r>
        <w:rPr>
          <w:rStyle w:val="FontStyle45"/>
          <w:lang w:eastAsia="el-GR"/>
        </w:rPr>
        <w:t>CK</w:t>
      </w:r>
      <w:r w:rsidRPr="00F7301B">
        <w:rPr>
          <w:rStyle w:val="FontStyle45"/>
          <w:lang w:val="el-GR" w:eastAsia="el-GR"/>
        </w:rPr>
        <w:t xml:space="preserve">, </w:t>
      </w:r>
      <w:r>
        <w:rPr>
          <w:rStyle w:val="FontStyle45"/>
          <w:lang w:val="el-GR" w:eastAsia="el-GR"/>
        </w:rPr>
        <w:t xml:space="preserve">ως εξέταση ρουτίνας, σε ασυμπτωματικούς ασθενείς δεν δικαιολογείται. Έχουν υπάρξει πολύ σπάνιες αναφορές επαγόμενης από το ανοσοποιητικό σύστημα νεκρωτικής μυοπάθειας </w:t>
      </w:r>
      <w:r w:rsidRPr="00F7301B">
        <w:rPr>
          <w:rStyle w:val="FontStyle45"/>
          <w:lang w:val="el-GR" w:eastAsia="el-GR"/>
        </w:rPr>
        <w:t>(</w:t>
      </w:r>
      <w:r>
        <w:rPr>
          <w:rStyle w:val="FontStyle45"/>
          <w:lang w:eastAsia="el-GR"/>
        </w:rPr>
        <w:t>IMNM</w:t>
      </w:r>
      <w:r w:rsidRPr="00F7301B">
        <w:rPr>
          <w:rStyle w:val="FontStyle45"/>
          <w:lang w:val="el-GR" w:eastAsia="el-GR"/>
        </w:rPr>
        <w:t xml:space="preserve">) </w:t>
      </w:r>
      <w:r>
        <w:rPr>
          <w:rStyle w:val="FontStyle45"/>
          <w:lang w:val="el-GR" w:eastAsia="el-GR"/>
        </w:rPr>
        <w:t xml:space="preserve">κατά τη διάρκεια ή μετά τη θεραπεία με στατίνες, συμπεριλαμβανομένης της ροσουβαστατίνης. Η επαγόμενη από το ανοσοποιητικό σύστημα νεκρωτική μυοπάθεια </w:t>
      </w:r>
      <w:r w:rsidRPr="00F7301B">
        <w:rPr>
          <w:rStyle w:val="FontStyle45"/>
          <w:lang w:val="el-GR" w:eastAsia="el-GR"/>
        </w:rPr>
        <w:t>(</w:t>
      </w:r>
      <w:r>
        <w:rPr>
          <w:rStyle w:val="FontStyle45"/>
          <w:lang w:eastAsia="el-GR"/>
        </w:rPr>
        <w:t>IMNM</w:t>
      </w:r>
      <w:r w:rsidRPr="00F7301B">
        <w:rPr>
          <w:rStyle w:val="FontStyle45"/>
          <w:lang w:val="el-GR" w:eastAsia="el-GR"/>
        </w:rPr>
        <w:t xml:space="preserve">) </w:t>
      </w:r>
      <w:r>
        <w:rPr>
          <w:rStyle w:val="FontStyle45"/>
          <w:lang w:val="el-GR" w:eastAsia="el-GR"/>
        </w:rPr>
        <w:t>χαρακτηρίζεται κλινικά από εγγύς μυϊκή αδυναμία και αυξημένα επίπεδα κρεατινικής κινάσης, που επιμένουν ανεξάρτητα από τη διακοπή της θεραπείας με στατίνες.</w:t>
      </w:r>
    </w:p>
    <w:p w:rsidR="00A502AA" w:rsidRDefault="00A502AA" w:rsidP="009035A4">
      <w:pPr>
        <w:pStyle w:val="Style7"/>
        <w:widowControl/>
        <w:spacing w:before="120" w:line="264" w:lineRule="exact"/>
        <w:rPr>
          <w:rStyle w:val="FontStyle45"/>
          <w:lang w:val="el-GR" w:eastAsia="el-GR"/>
        </w:rPr>
      </w:pPr>
      <w:r>
        <w:rPr>
          <w:rStyle w:val="FontStyle45"/>
          <w:lang w:val="el-GR" w:eastAsia="el-GR"/>
        </w:rPr>
        <w:t xml:space="preserve">Σε κλινικές μελέτες, σε μικρό αριθμό ασθενών που έλαβαν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συγχρόνως με κάποια άλλη αγωγή δεν υπήρξαν ενδείξεις αυξημένων επιδράσεων στους σκελετικούς μυς. Εντούτοις, παρατηρήθηκε αύξηση στη συχνότητα εμφάνισης μυοσίτιδας και μυοπάθειας σε ασθενείς που έλαβαν άλλους αναστολείς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μαζί με παράγωγα ινικού οξέος, συμπεριλαμβανομένης της γεμφιβροζίλης, με κυκλοσπορίνη, νικοτινικό οξύ, αντιμυκητιασικά τύπου -αζολών, αναστολείς πρωτεάσης και μακρολιδικά αντιβιοτικά. Η γεμφιβροζίλη αυξάνει τον κίνδυνο μυοπάθειας όταν χορηγείται σε συνδυασμό με κάποιους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Συνεπώς ο συνδυασμός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και γεμφιμπροζίλης δε συνιστάται. Το όφελος από την περαιτέρω μεταβολή των επιπέδων των λιπιδίων από τη συνδυασμένη χρήση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φιμπράτες ή νιασίνη πρέπει να σταθμίζεται με προσοχή έναντι του ενδεχόμενου κινδύνου από τους συνδυασμούς αυτούς. </w:t>
      </w:r>
      <w:r>
        <w:rPr>
          <w:rStyle w:val="FontStyle45"/>
          <w:lang w:eastAsia="el-GR"/>
        </w:rPr>
        <w:t>H</w:t>
      </w:r>
      <w:r w:rsidRPr="00F7301B">
        <w:rPr>
          <w:rStyle w:val="FontStyle45"/>
          <w:lang w:val="el-GR" w:eastAsia="el-GR"/>
        </w:rPr>
        <w:t xml:space="preserve"> </w:t>
      </w:r>
      <w:r>
        <w:rPr>
          <w:rStyle w:val="FontStyle45"/>
          <w:lang w:val="el-GR" w:eastAsia="el-GR"/>
        </w:rPr>
        <w:t xml:space="preserve">δόση των 40 </w:t>
      </w:r>
      <w:r>
        <w:rPr>
          <w:rStyle w:val="FontStyle45"/>
          <w:lang w:eastAsia="el-GR"/>
        </w:rPr>
        <w:t>mg</w:t>
      </w:r>
      <w:r w:rsidRPr="00F7301B">
        <w:rPr>
          <w:rStyle w:val="FontStyle45"/>
          <w:lang w:val="el-GR" w:eastAsia="el-GR"/>
        </w:rPr>
        <w:t xml:space="preserve"> </w:t>
      </w:r>
      <w:r>
        <w:rPr>
          <w:rStyle w:val="FontStyle45"/>
          <w:lang w:val="el-GR" w:eastAsia="el-GR"/>
        </w:rPr>
        <w:t>αντενδείκνυται με ταυ</w:t>
      </w:r>
      <w:r w:rsidR="009035A4">
        <w:rPr>
          <w:rStyle w:val="FontStyle45"/>
          <w:lang w:val="el-GR" w:eastAsia="el-GR"/>
        </w:rPr>
        <w:t xml:space="preserve">τόχρονη χορήγηση φιβράτης </w:t>
      </w:r>
      <w:r>
        <w:rPr>
          <w:rStyle w:val="FontStyle45"/>
          <w:lang w:val="el-GR" w:eastAsia="el-GR"/>
        </w:rPr>
        <w:t xml:space="preserve">(βλ. </w:t>
      </w:r>
      <w:r w:rsidR="009035A4">
        <w:rPr>
          <w:rStyle w:val="FontStyle45"/>
          <w:lang w:val="el-GR" w:eastAsia="el-GR"/>
        </w:rPr>
        <w:t>παραγράφους</w:t>
      </w:r>
      <w:r>
        <w:rPr>
          <w:rStyle w:val="FontStyle45"/>
          <w:lang w:val="el-GR" w:eastAsia="el-GR"/>
        </w:rPr>
        <w:t xml:space="preserve"> 4.5 και 4.8).</w:t>
      </w:r>
    </w:p>
    <w:p w:rsidR="00A502AA" w:rsidRDefault="00A502AA">
      <w:pPr>
        <w:pStyle w:val="Style7"/>
        <w:widowControl/>
        <w:spacing w:line="240" w:lineRule="exact"/>
        <w:rPr>
          <w:sz w:val="20"/>
          <w:szCs w:val="20"/>
          <w:lang w:val="el-GR"/>
        </w:rPr>
      </w:pPr>
    </w:p>
    <w:p w:rsidR="00F77AEB" w:rsidRPr="00F7301B" w:rsidRDefault="00F77AEB">
      <w:pPr>
        <w:pStyle w:val="Style7"/>
        <w:widowControl/>
        <w:spacing w:line="240" w:lineRule="exact"/>
        <w:rPr>
          <w:sz w:val="20"/>
          <w:szCs w:val="20"/>
          <w:lang w:val="el-GR"/>
        </w:rPr>
      </w:pPr>
      <w:r w:rsidRPr="00F77AEB">
        <w:rPr>
          <w:sz w:val="20"/>
          <w:szCs w:val="20"/>
          <w:lang w:val="el-GR"/>
        </w:rPr>
        <w:t>Το ROSUVAL/HEREMCO  δεν πρέπει να συγχορηγείται με συστημικώς χορηγούμενο φουσιδικό οξύ ή εντός 7 ημερών από την διακοπή αγωγής του φουσιδικού οξέος. Σε ασθενείς στου οποίους η χρήση συστημικώς χορηγούμενου φουσιδικού οξέως είναι απαραίτητη, η αγωγή με στατίνη θα πρέπει να διακόπτεται καθ’ όλη τη διάρκεια αγωγής του φουσιδικού οξέως. Έχουν αναφερθεί περιπτώσεις ραβδομυόλυσης (περιλαμβανομένων και θανάτων) σε ασθενείς που έλαβαν το συνδυασμό φουσιδικού οξέος και στατ</w:t>
      </w:r>
      <w:r w:rsidR="000A6AC5">
        <w:rPr>
          <w:sz w:val="20"/>
          <w:szCs w:val="20"/>
          <w:lang w:val="el-GR"/>
        </w:rPr>
        <w:t>ί</w:t>
      </w:r>
      <w:r w:rsidRPr="00F77AEB">
        <w:rPr>
          <w:sz w:val="20"/>
          <w:szCs w:val="20"/>
          <w:lang w:val="el-GR"/>
        </w:rPr>
        <w:t>ν</w:t>
      </w:r>
      <w:r w:rsidR="000A6AC5">
        <w:rPr>
          <w:sz w:val="20"/>
          <w:szCs w:val="20"/>
          <w:lang w:val="el-GR"/>
        </w:rPr>
        <w:t>ε</w:t>
      </w:r>
      <w:r w:rsidRPr="00F77AEB">
        <w:rPr>
          <w:sz w:val="20"/>
          <w:szCs w:val="20"/>
          <w:lang w:val="el-GR"/>
        </w:rPr>
        <w:t xml:space="preserve">ς (βλ. παράγραφο 4.5.) Οι ασθενείς πρέπει να ενημερώνονται ώστε να αναζητούν αμέσως ιατρική βοήθεια σε περίπτωση που εμφανίσουν συμπτώματα μυϊκής αδυναμίας, άλγους ή ευαισθησίας. Η αγωγή με στατίνη μπορεί να επανεκκινηθεί επτά ημέρες μετά την τελευταία χορήγηση φουσιδικού οξέως. Σε εξαιρετικές περιπτώσεις, όπου απαιτείται η μακροχρόνια συστημική χορήγηση φουσιδικού οξέως, πχ για την θεραπεία σοβαρών λοιμώξεων, η ανάγκη συγχορήγησης </w:t>
      </w:r>
      <w:r w:rsidR="00603955" w:rsidRPr="00603955">
        <w:rPr>
          <w:sz w:val="20"/>
          <w:szCs w:val="20"/>
          <w:lang w:val="el-GR"/>
        </w:rPr>
        <w:t>ROSUVAL/HEREMCO</w:t>
      </w:r>
      <w:r w:rsidRPr="00F77AEB">
        <w:rPr>
          <w:sz w:val="20"/>
          <w:szCs w:val="20"/>
          <w:lang w:val="el-GR"/>
        </w:rPr>
        <w:t xml:space="preserve"> και φουσιδικού οξέως πρέπει να εξετάζεται κατά περίπτωση και να διεξάγεται υπό στενή ιατρική παρακολούθηση.</w:t>
      </w: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5"/>
          <w:lang w:val="el-GR" w:eastAsia="el-GR"/>
        </w:rPr>
        <w:t xml:space="preserve">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δε πρέπει να χορηγείται σε κανέναν ασθενή με οξεία, σοβαρή κατάσταση που υποδηλώνει μυοπάθεια ή που προδιαθέτει σε ανάπτυξη νεφρικής ανεπάρκειας, ως επακόλουθο ραβδομυόλυσης (π.χ. σήψη, υπόταση, μείζων χειρουργική επέμβαση, τραύμα, σοβαρές μεταβολικές, ενδοκρινολογικές και ηλεκτρολυτικές διαταραχές ή μη-ελεγχόμενοι σπασμοί).</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8" w:line="240" w:lineRule="auto"/>
        <w:jc w:val="left"/>
        <w:rPr>
          <w:rStyle w:val="FontStyle45"/>
          <w:u w:val="single"/>
          <w:lang w:val="el-GR" w:eastAsia="el-GR"/>
        </w:rPr>
      </w:pPr>
      <w:r>
        <w:rPr>
          <w:rStyle w:val="FontStyle45"/>
          <w:u w:val="single"/>
          <w:lang w:val="el-GR" w:eastAsia="el-GR"/>
        </w:rPr>
        <w:t>Επιδράσεις στο ήπαρ</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Όπως και με άλλους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πρέπει να χρησιμοποιείται με προσοχή σε ασθενείς που καταναλώνουν υπερβολικά μεγάλες ποσότητες αλκοόλ και/ή έχουν ιστορικό ηπατικής νόσου.</w:t>
      </w:r>
    </w:p>
    <w:p w:rsidR="00A502AA" w:rsidRPr="00F7301B" w:rsidRDefault="00A502AA">
      <w:pPr>
        <w:pStyle w:val="Style7"/>
        <w:widowControl/>
        <w:spacing w:before="48" w:line="269" w:lineRule="exact"/>
        <w:rPr>
          <w:rStyle w:val="FontStyle45"/>
          <w:lang w:val="el-GR" w:eastAsia="el-GR"/>
        </w:rPr>
      </w:pPr>
      <w:r>
        <w:rPr>
          <w:rStyle w:val="FontStyle45"/>
          <w:lang w:val="el-GR" w:eastAsia="el-GR"/>
        </w:rPr>
        <w:t xml:space="preserve">Συνιστάται να γίνεται έλεγχος της ηπατικής λειτουργίας πριν την έναρξη της θεραπείας και στους 3 μήνες μετά την έναρξη της θεραπείας. Σε αυξήσεις των τρανσαμινασών του ορού, που υπερβαίνουν το τριπλάσιο της ανώτατης φυσιολογικής τιμής, η χορήγηση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θα πρέπει να διακόπτεται ή η δόση να μειώνεται. </w:t>
      </w:r>
      <w:r>
        <w:rPr>
          <w:rStyle w:val="FontStyle45"/>
          <w:lang w:eastAsia="el-GR"/>
        </w:rPr>
        <w:t>H</w:t>
      </w:r>
      <w:r w:rsidRPr="00F7301B">
        <w:rPr>
          <w:rStyle w:val="FontStyle45"/>
          <w:lang w:val="el-GR" w:eastAsia="el-GR"/>
        </w:rPr>
        <w:t xml:space="preserve"> </w:t>
      </w:r>
      <w:r>
        <w:rPr>
          <w:rStyle w:val="FontStyle45"/>
          <w:lang w:val="el-GR" w:eastAsia="el-GR"/>
        </w:rPr>
        <w:t xml:space="preserve">συχνότητα </w:t>
      </w:r>
      <w:r>
        <w:rPr>
          <w:rStyle w:val="FontStyle45"/>
          <w:lang w:val="el-GR" w:eastAsia="el-GR"/>
        </w:rPr>
        <w:lastRenderedPageBreak/>
        <w:t xml:space="preserve">αναφοράς των σοβαρών ηπατικών συμβαμάτων (που συνίσταται κυρίως σε αύξηση των τρανσαμινασών) κατά την χρήση του προϊόντος μετά την κυκλοφορία είναι μεγαλύτερη στη δόση των 40 </w:t>
      </w:r>
      <w:r>
        <w:rPr>
          <w:rStyle w:val="FontStyle45"/>
          <w:lang w:eastAsia="el-GR"/>
        </w:rPr>
        <w:t>mg</w:t>
      </w:r>
      <w:r w:rsidRPr="00F7301B">
        <w:rPr>
          <w:rStyle w:val="FontStyle45"/>
          <w:lang w:val="el-GR" w:eastAsia="el-GR"/>
        </w:rPr>
        <w:t>.</w:t>
      </w:r>
    </w:p>
    <w:p w:rsidR="00A502AA" w:rsidRPr="00F7301B" w:rsidRDefault="00A502AA">
      <w:pPr>
        <w:pStyle w:val="Style7"/>
        <w:widowControl/>
        <w:spacing w:before="115" w:line="264" w:lineRule="exact"/>
        <w:rPr>
          <w:rStyle w:val="FontStyle45"/>
          <w:lang w:val="el-GR" w:eastAsia="el-GR"/>
        </w:rPr>
      </w:pPr>
      <w:r>
        <w:rPr>
          <w:rStyle w:val="FontStyle45"/>
          <w:lang w:val="el-GR" w:eastAsia="el-GR"/>
        </w:rPr>
        <w:t xml:space="preserve">Σε ασθενείς με δευτεροπαθή υπερχοληστερολαιμία ως επακόλουθο υποθυροειδισμού ή νεφρωσικού συνδρόμου, η υποκείμενη νόσος θα πρέπει να θεραπευτεί πριν την έναρξη της θεραπείας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8" w:line="240" w:lineRule="auto"/>
        <w:jc w:val="left"/>
        <w:rPr>
          <w:rStyle w:val="FontStyle45"/>
          <w:u w:val="single"/>
          <w:lang w:val="el-GR" w:eastAsia="el-GR"/>
        </w:rPr>
      </w:pPr>
      <w:r>
        <w:rPr>
          <w:rStyle w:val="FontStyle45"/>
          <w:u w:val="single"/>
          <w:lang w:val="el-GR" w:eastAsia="el-GR"/>
        </w:rPr>
        <w:t>Φυλή</w:t>
      </w:r>
    </w:p>
    <w:p w:rsidR="00A502AA" w:rsidRDefault="00A502AA">
      <w:pPr>
        <w:pStyle w:val="Style7"/>
        <w:widowControl/>
        <w:spacing w:before="134" w:line="264" w:lineRule="exact"/>
        <w:rPr>
          <w:rStyle w:val="FontStyle45"/>
          <w:lang w:val="el-GR" w:eastAsia="el-GR"/>
        </w:rPr>
      </w:pPr>
      <w:r>
        <w:rPr>
          <w:rStyle w:val="FontStyle45"/>
          <w:lang w:val="el-GR" w:eastAsia="el-GR"/>
        </w:rPr>
        <w:t xml:space="preserve">Οι φαρμακοκινητικές μελέτες δείχνουν αύξηση της έκθεσης σε Ασιάτες σε σύγκριση με τους Καυκάσιους (βλ. </w:t>
      </w:r>
      <w:r w:rsidR="006A2B5C">
        <w:rPr>
          <w:rStyle w:val="FontStyle45"/>
          <w:lang w:val="el-GR" w:eastAsia="el-GR"/>
        </w:rPr>
        <w:t>παραγράφους</w:t>
      </w:r>
      <w:r>
        <w:rPr>
          <w:rStyle w:val="FontStyle45"/>
          <w:lang w:val="el-GR" w:eastAsia="el-GR"/>
        </w:rPr>
        <w:t xml:space="preserve"> 4.2, 4.3 και 5.2).</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8" w:line="240" w:lineRule="auto"/>
        <w:jc w:val="left"/>
        <w:rPr>
          <w:rStyle w:val="FontStyle45"/>
          <w:u w:val="single"/>
          <w:lang w:val="el-GR" w:eastAsia="el-GR"/>
        </w:rPr>
      </w:pPr>
      <w:r>
        <w:rPr>
          <w:rStyle w:val="FontStyle45"/>
          <w:u w:val="single"/>
          <w:lang w:val="el-GR" w:eastAsia="el-GR"/>
        </w:rPr>
        <w:t>Αναστολείς πρωτεασών</w:t>
      </w:r>
    </w:p>
    <w:p w:rsidR="00A502AA" w:rsidRDefault="00A502AA">
      <w:pPr>
        <w:pStyle w:val="Style7"/>
        <w:widowControl/>
        <w:spacing w:before="120" w:line="264" w:lineRule="exact"/>
        <w:rPr>
          <w:rStyle w:val="FontStyle45"/>
          <w:lang w:val="el-GR" w:eastAsia="el-GR"/>
        </w:rPr>
      </w:pPr>
      <w:r>
        <w:rPr>
          <w:rStyle w:val="FontStyle45"/>
          <w:lang w:val="el-GR" w:eastAsia="el-GR"/>
        </w:rPr>
        <w:t xml:space="preserve">Έχει παρατηρηθεί αυξημένη συστηματική έκθεση στη ροσουβαστατίνη σε άτομα που ελάμβαναν ροσουβαστατίνη ταυτόχρονα με διάφορους αναστολείς πρωτεασών σε συνδυασμό με ριτοναβίρη. Θα πρέπει να εξετάζεται τόσο το όφελος της μείωσης των λιπιδίων με τη χρήση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σε ασθενείς με </w:t>
      </w:r>
      <w:r>
        <w:rPr>
          <w:rStyle w:val="FontStyle45"/>
          <w:lang w:eastAsia="el-GR"/>
        </w:rPr>
        <w:t>HIV</w:t>
      </w:r>
      <w:r w:rsidRPr="00F7301B">
        <w:rPr>
          <w:rStyle w:val="FontStyle45"/>
          <w:lang w:val="el-GR" w:eastAsia="el-GR"/>
        </w:rPr>
        <w:t xml:space="preserve"> </w:t>
      </w:r>
      <w:r>
        <w:rPr>
          <w:rStyle w:val="FontStyle45"/>
          <w:lang w:val="el-GR" w:eastAsia="el-GR"/>
        </w:rPr>
        <w:t xml:space="preserve">που λαμβάνουν αναστολείς πρωτεασών καθώς και το ενδεχόμενο για αυξημένες συγκεντρώσεις ροσουβαστατίνης στο πλάσμα κατά την έναρξη και την τιτλοποίηση δόσεων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σε ασθενείς που λαμβάνουν θεραπεία με αναστολείς πρωτεασών.</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Η συγχορήγηση με κάποιους από τους αναστολείς πρωτεασών δεν συνιστάται εκτός εάν ρυθμίζεται η δόση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(δείτε Παραγράφους 4.2 και 4.5)</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8" w:line="240" w:lineRule="auto"/>
        <w:jc w:val="left"/>
        <w:rPr>
          <w:rStyle w:val="FontStyle45"/>
          <w:u w:val="single"/>
          <w:lang w:val="el-GR" w:eastAsia="el-GR"/>
        </w:rPr>
      </w:pPr>
      <w:r>
        <w:rPr>
          <w:rStyle w:val="FontStyle45"/>
          <w:u w:val="single"/>
          <w:lang w:val="el-GR" w:eastAsia="el-GR"/>
        </w:rPr>
        <w:t>Δυσανεξία στη λακτόζη</w:t>
      </w:r>
    </w:p>
    <w:p w:rsidR="00A502AA" w:rsidRDefault="00A502AA">
      <w:pPr>
        <w:pStyle w:val="Style7"/>
        <w:widowControl/>
        <w:spacing w:before="120" w:line="269" w:lineRule="exact"/>
        <w:rPr>
          <w:rStyle w:val="FontStyle45"/>
          <w:lang w:val="el-GR" w:eastAsia="el-GR"/>
        </w:rPr>
      </w:pPr>
      <w:r>
        <w:rPr>
          <w:rStyle w:val="FontStyle45"/>
          <w:lang w:val="el-GR" w:eastAsia="el-GR"/>
        </w:rPr>
        <w:t xml:space="preserve">Ασθενείς με σπάνια κληρονομικά προβλήματα δυσανεξίας στη γαλακτόζη, ανεπάρκεια </w:t>
      </w:r>
      <w:r>
        <w:rPr>
          <w:rStyle w:val="FontStyle45"/>
          <w:lang w:eastAsia="el-GR"/>
        </w:rPr>
        <w:t>Lapp</w:t>
      </w:r>
      <w:r w:rsidRPr="00F7301B">
        <w:rPr>
          <w:rStyle w:val="FontStyle45"/>
          <w:lang w:val="el-GR" w:eastAsia="el-GR"/>
        </w:rPr>
        <w:t xml:space="preserve"> </w:t>
      </w:r>
      <w:r>
        <w:rPr>
          <w:rStyle w:val="FontStyle45"/>
          <w:lang w:val="el-GR" w:eastAsia="el-GR"/>
        </w:rPr>
        <w:t>λακτάσης ή δυσαπορρόφησης γλυκόζης - γαλακτόζης δεν πρέπει να πάρουν αυτό το φάρμακο.</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3" w:line="240" w:lineRule="auto"/>
        <w:jc w:val="left"/>
        <w:rPr>
          <w:rStyle w:val="FontStyle45"/>
          <w:u w:val="single"/>
          <w:lang w:val="el-GR" w:eastAsia="el-GR"/>
        </w:rPr>
      </w:pPr>
      <w:r>
        <w:rPr>
          <w:rStyle w:val="FontStyle45"/>
          <w:u w:val="single"/>
          <w:lang w:val="el-GR" w:eastAsia="el-GR"/>
        </w:rPr>
        <w:t>Διάμεση πνευμονοπάθεια</w:t>
      </w:r>
    </w:p>
    <w:p w:rsidR="00A502AA" w:rsidRDefault="00A502AA">
      <w:pPr>
        <w:pStyle w:val="Style7"/>
        <w:widowControl/>
        <w:spacing w:before="120" w:line="264" w:lineRule="exact"/>
        <w:rPr>
          <w:rStyle w:val="FontStyle45"/>
          <w:lang w:val="el-GR" w:eastAsia="el-GR"/>
        </w:rPr>
      </w:pPr>
      <w:r>
        <w:rPr>
          <w:rStyle w:val="FontStyle45"/>
          <w:lang w:val="el-GR" w:eastAsia="el-GR"/>
        </w:rPr>
        <w:t>Εξαιρετικές περιπτώσεις διάμεσης πνευμονοπάθειας έχουν αναφερθεί με ορισμένες στατίνες, ειδικά σε μακροχρόνια θεραπεία (βλ. Παράγραφο 4.8). Στα εμφανιζόμενα χαρακτηριστικά μπορεί να περιλαμβάνονται δύσπνοια, μη παραγωγικός βήχας και επιδείνωση της γενικότερης υγείας (κόπωση, απώλεια σωματικού βάρους και πυρετός). Εάν υπάρχει υποψία ότι κάποιος ασθενής έχει εμφανίσει διάμεση πνευμονοπάθεια, η θεραπεία με στατίνη πρέπει να διακόπτεται.</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8" w:line="240" w:lineRule="auto"/>
        <w:jc w:val="left"/>
        <w:rPr>
          <w:rStyle w:val="FontStyle45"/>
          <w:u w:val="single"/>
          <w:lang w:val="el-GR" w:eastAsia="el-GR"/>
        </w:rPr>
      </w:pPr>
      <w:r>
        <w:rPr>
          <w:rStyle w:val="FontStyle45"/>
          <w:u w:val="single"/>
          <w:lang w:val="el-GR" w:eastAsia="el-GR"/>
        </w:rPr>
        <w:t>Σακχαρώδης Διαβήτης</w:t>
      </w:r>
    </w:p>
    <w:p w:rsidR="00A502AA" w:rsidRDefault="00A502AA">
      <w:pPr>
        <w:pStyle w:val="Style7"/>
        <w:widowControl/>
        <w:spacing w:before="120" w:line="269" w:lineRule="exact"/>
        <w:rPr>
          <w:rStyle w:val="FontStyle45"/>
          <w:lang w:val="el-GR" w:eastAsia="el-GR"/>
        </w:rPr>
      </w:pPr>
      <w:r>
        <w:rPr>
          <w:rStyle w:val="FontStyle45"/>
          <w:lang w:val="el-GR" w:eastAsia="el-GR"/>
        </w:rPr>
        <w:t xml:space="preserve">Ορισμένα στοιχεία δείχνουν ότι οι στατίνες, ως κατηγορία αυξάνουν την γλυκόζη στο αίμα και σε ορισμένους ασθενείς, που διατρέχουν υψηλό κίνδυνο διαβήτη στο μέλλον, μπορεί να παράγει ένα επίπεδο υπεργλυκαιμίας όπου η επίσημη φροντίδα του διαβήτη είναι κατάλληλη. Αυτός ο κίνδυνος, όμως, αντισταθμίζεται από τη μείωση σε αγγειακό κίνδυνο με στατίνες και ως εκ τούτου δεν θα πρέπει να αποτελέσει λόγο για τη διακοπή της θεραπείας με στατίνες. Ασθενείς σε κίνδυνο (γλυκόζη νηστείας 5,6 με 6,9. </w:t>
      </w:r>
      <w:r>
        <w:rPr>
          <w:rStyle w:val="FontStyle45"/>
          <w:lang w:eastAsia="el-GR"/>
        </w:rPr>
        <w:t>mmol</w:t>
      </w:r>
      <w:r w:rsidRPr="00F7301B">
        <w:rPr>
          <w:rStyle w:val="FontStyle45"/>
          <w:lang w:val="el-GR" w:eastAsia="el-GR"/>
        </w:rPr>
        <w:t>/</w:t>
      </w:r>
      <w:r>
        <w:rPr>
          <w:rStyle w:val="FontStyle45"/>
          <w:lang w:eastAsia="el-GR"/>
        </w:rPr>
        <w:t>L</w:t>
      </w:r>
      <w:r w:rsidRPr="00F7301B">
        <w:rPr>
          <w:rStyle w:val="FontStyle45"/>
          <w:lang w:val="el-GR" w:eastAsia="el-GR"/>
        </w:rPr>
        <w:t xml:space="preserve">, </w:t>
      </w:r>
      <w:r>
        <w:rPr>
          <w:rStyle w:val="FontStyle45"/>
          <w:lang w:val="el-GR" w:eastAsia="el-GR"/>
        </w:rPr>
        <w:t xml:space="preserve">ΔΜΣ &gt; 30 </w:t>
      </w:r>
      <w:r>
        <w:rPr>
          <w:rStyle w:val="FontStyle45"/>
          <w:lang w:eastAsia="el-GR"/>
        </w:rPr>
        <w:t>kg</w:t>
      </w:r>
      <w:r w:rsidRPr="00F7301B">
        <w:rPr>
          <w:rStyle w:val="FontStyle45"/>
          <w:lang w:val="el-GR" w:eastAsia="el-GR"/>
        </w:rPr>
        <w:t>/</w:t>
      </w:r>
      <w:r>
        <w:rPr>
          <w:rStyle w:val="FontStyle45"/>
          <w:lang w:eastAsia="el-GR"/>
        </w:rPr>
        <w:t>m</w:t>
      </w:r>
      <w:r w:rsidRPr="00F7301B">
        <w:rPr>
          <w:rStyle w:val="FontStyle45"/>
          <w:vertAlign w:val="superscript"/>
          <w:lang w:val="el-GR" w:eastAsia="el-GR"/>
        </w:rPr>
        <w:t>2</w:t>
      </w:r>
      <w:r w:rsidRPr="00F7301B">
        <w:rPr>
          <w:rStyle w:val="FontStyle45"/>
          <w:lang w:val="el-GR" w:eastAsia="el-GR"/>
        </w:rPr>
        <w:t xml:space="preserve">, </w:t>
      </w:r>
      <w:r>
        <w:rPr>
          <w:rStyle w:val="FontStyle45"/>
          <w:lang w:val="el-GR" w:eastAsia="el-GR"/>
        </w:rPr>
        <w:t>αυξημένα τριγλυκερίδια, υπέρταση) θα πρέπει να παρακολουθούνται τόσο κλινικά και βιοχημικά, σύμφωνα με τις εθνικές οδηγίες.</w:t>
      </w:r>
    </w:p>
    <w:p w:rsidR="00A502AA" w:rsidRPr="00F7301B" w:rsidRDefault="00A502AA">
      <w:pPr>
        <w:pStyle w:val="Style7"/>
        <w:widowControl/>
        <w:spacing w:before="110" w:line="269" w:lineRule="exact"/>
        <w:rPr>
          <w:rStyle w:val="FontStyle45"/>
          <w:lang w:val="el-GR" w:eastAsia="el-GR"/>
        </w:rPr>
      </w:pPr>
      <w:r>
        <w:rPr>
          <w:rStyle w:val="FontStyle45"/>
          <w:lang w:val="el-GR" w:eastAsia="el-GR"/>
        </w:rPr>
        <w:t xml:space="preserve">Στην μελέτη </w:t>
      </w:r>
      <w:r>
        <w:rPr>
          <w:rStyle w:val="FontStyle45"/>
          <w:lang w:eastAsia="el-GR"/>
        </w:rPr>
        <w:t>JUPITER</w:t>
      </w:r>
      <w:r w:rsidRPr="00F7301B">
        <w:rPr>
          <w:rStyle w:val="FontStyle45"/>
          <w:lang w:val="el-GR" w:eastAsia="el-GR"/>
        </w:rPr>
        <w:t xml:space="preserve"> </w:t>
      </w:r>
      <w:r>
        <w:rPr>
          <w:rStyle w:val="FontStyle45"/>
          <w:lang w:val="el-GR" w:eastAsia="el-GR"/>
        </w:rPr>
        <w:t xml:space="preserve">η συνολική αναφερόμενη συχνότητα σακχαρώδη διαβήτη ήταν 2,8% για τη ροσουβαστατίνη και 2,3% για το εικονικό φάρμακο, κυρίως σε ασθενείς με γλυκόζη νηστείας (5,6 με 6,9 </w:t>
      </w:r>
      <w:r>
        <w:rPr>
          <w:rStyle w:val="FontStyle45"/>
          <w:lang w:eastAsia="el-GR"/>
        </w:rPr>
        <w:t>mmol</w:t>
      </w:r>
      <w:r w:rsidRPr="00F7301B">
        <w:rPr>
          <w:rStyle w:val="FontStyle45"/>
          <w:lang w:val="el-GR" w:eastAsia="el-GR"/>
        </w:rPr>
        <w:t>/</w:t>
      </w:r>
      <w:r>
        <w:rPr>
          <w:rStyle w:val="FontStyle45"/>
          <w:lang w:eastAsia="el-GR"/>
        </w:rPr>
        <w:t>L</w:t>
      </w:r>
      <w:r w:rsidRPr="00F7301B">
        <w:rPr>
          <w:rStyle w:val="FontStyle45"/>
          <w:lang w:val="el-GR" w:eastAsia="el-GR"/>
        </w:rPr>
        <w:t>).</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48" w:line="240" w:lineRule="auto"/>
        <w:jc w:val="left"/>
        <w:rPr>
          <w:rStyle w:val="FontStyle45"/>
          <w:u w:val="single"/>
          <w:lang w:val="el-GR" w:eastAsia="el-GR"/>
        </w:rPr>
      </w:pPr>
      <w:r>
        <w:rPr>
          <w:rStyle w:val="FontStyle45"/>
          <w:u w:val="single"/>
          <w:lang w:val="el-GR" w:eastAsia="el-GR"/>
        </w:rPr>
        <w:t>Παιδιατρικός πληθυσμός</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Η αξιολόγηση της γραμμικής ανάπτυξης (ύψος), του βάρους, του ΔΜΣ (δείκτης μάζας σώματος) και δευτερευόντων χαρακτηριστικών της σεξουαλικής ωρίμανσης - </w:t>
      </w:r>
      <w:r>
        <w:rPr>
          <w:rStyle w:val="FontStyle45"/>
          <w:lang w:eastAsia="el-GR"/>
        </w:rPr>
        <w:t>Tanner</w:t>
      </w:r>
      <w:r w:rsidRPr="00F7301B">
        <w:rPr>
          <w:rStyle w:val="FontStyle45"/>
          <w:lang w:val="el-GR" w:eastAsia="el-GR"/>
        </w:rPr>
        <w:t xml:space="preserve"> </w:t>
      </w:r>
      <w:r>
        <w:rPr>
          <w:rStyle w:val="FontStyle45"/>
          <w:lang w:eastAsia="el-GR"/>
        </w:rPr>
        <w:t>stages</w:t>
      </w:r>
      <w:r w:rsidRPr="00F7301B">
        <w:rPr>
          <w:rStyle w:val="FontStyle45"/>
          <w:lang w:val="el-GR" w:eastAsia="el-GR"/>
        </w:rPr>
        <w:t xml:space="preserve"> </w:t>
      </w:r>
      <w:r>
        <w:rPr>
          <w:rStyle w:val="FontStyle45"/>
          <w:lang w:val="el-GR" w:eastAsia="el-GR"/>
        </w:rPr>
        <w:t>σε παιδιατρικούς ασθενείς ηλικίας 6 με 17 ετών που λαμβάνουν ροσουβαστατίνη είναι περιορισμένη σε χρονική περίοδο δύο ετών. Μετά από δύο χρόνια θεραπείας της μελέτης, δεν παρατηρήθηκε επίδραση στην ανάπτυξη, το βάρος, το ΔΜΣ ή τη σεξουαλική ωρίμανση (βλ. Παράγραφο 5.1).</w:t>
      </w:r>
    </w:p>
    <w:p w:rsidR="00A502AA" w:rsidRDefault="00A502AA">
      <w:pPr>
        <w:pStyle w:val="Style7"/>
        <w:widowControl/>
        <w:spacing w:before="110" w:line="269" w:lineRule="exact"/>
        <w:rPr>
          <w:rStyle w:val="FontStyle45"/>
          <w:lang w:val="el-GR" w:eastAsia="el-GR"/>
        </w:rPr>
      </w:pPr>
      <w:r>
        <w:rPr>
          <w:rStyle w:val="FontStyle45"/>
          <w:lang w:val="el-GR" w:eastAsia="el-GR"/>
        </w:rPr>
        <w:t xml:space="preserve">Σε κλινική μελέτη σε παιδιά και εφήβους που λάμβαναν ροσουβαστατίνη για 52 εβδομάδες, παρατηρήθηκαν αυξήσεις της </w:t>
      </w:r>
      <w:r>
        <w:rPr>
          <w:rStyle w:val="FontStyle45"/>
          <w:lang w:eastAsia="el-GR"/>
        </w:rPr>
        <w:t>CK</w:t>
      </w:r>
      <w:r w:rsidRPr="00F7301B">
        <w:rPr>
          <w:rStyle w:val="FontStyle45"/>
          <w:lang w:val="el-GR" w:eastAsia="el-GR"/>
        </w:rPr>
        <w:t xml:space="preserve"> &gt;10</w:t>
      </w:r>
      <w:r>
        <w:rPr>
          <w:rStyle w:val="FontStyle45"/>
          <w:lang w:eastAsia="el-GR"/>
        </w:rPr>
        <w:t>xULN</w:t>
      </w:r>
      <w:r w:rsidRPr="00F7301B">
        <w:rPr>
          <w:rStyle w:val="FontStyle45"/>
          <w:lang w:val="el-GR" w:eastAsia="el-GR"/>
        </w:rPr>
        <w:t xml:space="preserve"> </w:t>
      </w:r>
      <w:r>
        <w:rPr>
          <w:rStyle w:val="FontStyle45"/>
          <w:lang w:val="el-GR" w:eastAsia="el-GR"/>
        </w:rPr>
        <w:t>και μυϊκά συμπτώματα μετά από άσκηση ή αυξημένη σωματική δραστηριότητα με μεγαλύτερη συχνότητα σε σχέση με αντίστοιχες κλινικές μελέτες σε ενήλικες (βλ. Παράγραφο 4.8).</w:t>
      </w:r>
    </w:p>
    <w:p w:rsidR="00A502AA" w:rsidRPr="00F7301B" w:rsidRDefault="00A502AA">
      <w:pPr>
        <w:pStyle w:val="Style22"/>
        <w:widowControl/>
        <w:spacing w:line="240" w:lineRule="exact"/>
        <w:ind w:left="566"/>
        <w:rPr>
          <w:sz w:val="20"/>
          <w:szCs w:val="20"/>
          <w:lang w:val="el-GR"/>
        </w:rPr>
      </w:pPr>
    </w:p>
    <w:p w:rsidR="00A502AA" w:rsidRPr="00F7301B" w:rsidRDefault="00A502AA">
      <w:pPr>
        <w:pStyle w:val="Style22"/>
        <w:widowControl/>
        <w:spacing w:line="240" w:lineRule="exact"/>
        <w:ind w:left="566"/>
        <w:rPr>
          <w:sz w:val="20"/>
          <w:szCs w:val="20"/>
          <w:lang w:val="el-GR"/>
        </w:rPr>
      </w:pPr>
    </w:p>
    <w:p w:rsidR="00A502AA" w:rsidRDefault="00A502AA">
      <w:pPr>
        <w:pStyle w:val="Style22"/>
        <w:widowControl/>
        <w:spacing w:before="29"/>
        <w:ind w:left="566"/>
        <w:rPr>
          <w:rStyle w:val="FontStyle44"/>
          <w:lang w:val="el-GR" w:eastAsia="el-GR"/>
        </w:rPr>
      </w:pPr>
      <w:r>
        <w:rPr>
          <w:rStyle w:val="FontStyle44"/>
          <w:lang w:val="el-GR" w:eastAsia="el-GR"/>
        </w:rPr>
        <w:t>4.5 Αλληλεπιδράσεις με άλλα φαρμακευτικά προϊόντα και άλλες μορφές αλληλεπίδρασης</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53" w:line="240" w:lineRule="auto"/>
        <w:rPr>
          <w:rStyle w:val="FontStyle45"/>
          <w:u w:val="single"/>
          <w:lang w:val="el-GR" w:eastAsia="el-GR"/>
        </w:rPr>
      </w:pPr>
      <w:r>
        <w:rPr>
          <w:rStyle w:val="FontStyle45"/>
          <w:u w:val="single"/>
          <w:lang w:val="el-GR" w:eastAsia="el-GR"/>
        </w:rPr>
        <w:t>Επίδραση των συγχορηγούμενων φαρμακευτικών προϊόντων στη ροσουβαστατίνη</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43" w:line="264" w:lineRule="exact"/>
        <w:rPr>
          <w:rStyle w:val="FontStyle45"/>
          <w:lang w:val="el-GR" w:eastAsia="el-GR"/>
        </w:rPr>
      </w:pPr>
      <w:r>
        <w:rPr>
          <w:rStyle w:val="FontStyle44"/>
          <w:lang w:val="el-GR" w:eastAsia="el-GR"/>
        </w:rPr>
        <w:t xml:space="preserve">Αναστολείς της πρωτεΐνης μεταφορέα: </w:t>
      </w:r>
      <w:r>
        <w:rPr>
          <w:rStyle w:val="FontStyle45"/>
          <w:lang w:val="el-GR" w:eastAsia="el-GR"/>
        </w:rPr>
        <w:t xml:space="preserve">Η ροσουβατατίνη είναι ένα υπόστρωμα για ορισμένες πρωτεΐνες μεταφορείς, συμπεριλαμβανομένου του μεταφορέα ηπατικής πρόσληψης </w:t>
      </w:r>
      <w:r>
        <w:rPr>
          <w:rStyle w:val="FontStyle45"/>
          <w:lang w:eastAsia="el-GR"/>
        </w:rPr>
        <w:t>OATP</w:t>
      </w:r>
      <w:r w:rsidRPr="00F7301B">
        <w:rPr>
          <w:rStyle w:val="FontStyle45"/>
          <w:lang w:val="el-GR" w:eastAsia="el-GR"/>
        </w:rPr>
        <w:t>1</w:t>
      </w:r>
      <w:r>
        <w:rPr>
          <w:rStyle w:val="FontStyle45"/>
          <w:lang w:eastAsia="el-GR"/>
        </w:rPr>
        <w:t>B</w:t>
      </w:r>
      <w:r w:rsidRPr="00F7301B">
        <w:rPr>
          <w:rStyle w:val="FontStyle45"/>
          <w:lang w:val="el-GR" w:eastAsia="el-GR"/>
        </w:rPr>
        <w:t xml:space="preserve">1 </w:t>
      </w:r>
      <w:r>
        <w:rPr>
          <w:rStyle w:val="FontStyle45"/>
          <w:lang w:val="el-GR" w:eastAsia="el-GR"/>
        </w:rPr>
        <w:t xml:space="preserve">και του μεταφορέα εκροής </w:t>
      </w:r>
      <w:r>
        <w:rPr>
          <w:rStyle w:val="FontStyle45"/>
          <w:lang w:eastAsia="el-GR"/>
        </w:rPr>
        <w:t>BCRP</w:t>
      </w:r>
      <w:r w:rsidRPr="00F7301B">
        <w:rPr>
          <w:rStyle w:val="FontStyle45"/>
          <w:lang w:val="el-GR" w:eastAsia="el-GR"/>
        </w:rPr>
        <w:t xml:space="preserve">. </w:t>
      </w:r>
      <w:r>
        <w:rPr>
          <w:rStyle w:val="FontStyle45"/>
          <w:lang w:val="el-GR" w:eastAsia="el-GR"/>
        </w:rPr>
        <w:t xml:space="preserve">Η συγχορήγηση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με φαρμακευτικά προϊόντα που είναι αναστολείς αυτών των πρωτεϊνών μεταφορέων μπορεί να οδηγήσει σε αυξημένες συγκεντρώσεις ροσουβαστατίνης στο πλάσμα και σε αυξημένο κίνδυνο για μυοπάθεια (βλέπε Παραγράφους 4.2, 4.4 και 4.5 Πίνακα 1).</w:t>
      </w:r>
    </w:p>
    <w:p w:rsidR="00A502AA" w:rsidRDefault="00A502AA">
      <w:pPr>
        <w:pStyle w:val="Style7"/>
        <w:widowControl/>
        <w:spacing w:before="110" w:line="264" w:lineRule="exact"/>
        <w:rPr>
          <w:rStyle w:val="FontStyle45"/>
          <w:lang w:val="el-GR" w:eastAsia="el-GR"/>
        </w:rPr>
      </w:pPr>
      <w:r>
        <w:rPr>
          <w:rStyle w:val="FontStyle43"/>
          <w:lang w:val="el-GR" w:eastAsia="el-GR"/>
        </w:rPr>
        <w:t xml:space="preserve">Κυκλοσπορίνη: </w:t>
      </w:r>
      <w:r>
        <w:rPr>
          <w:rStyle w:val="FontStyle45"/>
          <w:lang w:val="el-GR" w:eastAsia="el-GR"/>
        </w:rPr>
        <w:t xml:space="preserve">Κατά την ταυτόχρονη θεραπεία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και κυκλοσπορίνη, οι τιμές </w:t>
      </w:r>
      <w:r>
        <w:rPr>
          <w:rStyle w:val="FontStyle45"/>
          <w:lang w:eastAsia="el-GR"/>
        </w:rPr>
        <w:t>AUC</w:t>
      </w:r>
      <w:r w:rsidRPr="00F7301B">
        <w:rPr>
          <w:rStyle w:val="FontStyle45"/>
          <w:lang w:val="el-GR" w:eastAsia="el-GR"/>
        </w:rPr>
        <w:t xml:space="preserve"> </w:t>
      </w:r>
      <w:r>
        <w:rPr>
          <w:rStyle w:val="FontStyle45"/>
          <w:lang w:val="el-GR" w:eastAsia="el-GR"/>
        </w:rPr>
        <w:t xml:space="preserve">της ροσουβαστατίνης ήταν κατά μέσο όρο 7 φορές υψηλότερες σε σχέση με αυτές που παρατηρήθηκαν σε υγιείς εθελοντές (βλ. Πίνακα 1).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αντενδείκνυται σε ασθενείς που λαμβάνουν ταυτόχρονα κυκλοσπορίνη (βλ. Παράγραφο 4.3). Η ταυτόχρονη χορήγηση δεν επηρέασε τα επίπεδα της κυκλοσπορίνης στο πλάσμα.</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3"/>
          <w:lang w:val="el-GR" w:eastAsia="el-GR"/>
        </w:rPr>
        <w:t xml:space="preserve">Αναστολείς πρωτεασών: </w:t>
      </w:r>
      <w:r>
        <w:rPr>
          <w:rStyle w:val="FontStyle45"/>
          <w:lang w:val="el-GR" w:eastAsia="el-GR"/>
        </w:rPr>
        <w:t xml:space="preserve">Παρότι ο ακριβής μηχανισμός της αλληλεπίδρασης δεν είναι γνωστός, η ταυτόχρονη χορήγηση αναστολέα της πρωτεάσης μπορεί να αυξήσει σημαντικά την έκθεση στη ροσουβαστατίνη (βλέπε Πίνακα 1). Για παράδειγμα σε μία φαρμακοκινητική μελέτη, η συγχορήγηση 10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και ενός προϊόντος συνδυασμού δύο αναστολέων πρωτεάσης (300 </w:t>
      </w:r>
      <w:r>
        <w:rPr>
          <w:rStyle w:val="FontStyle45"/>
          <w:lang w:eastAsia="el-GR"/>
        </w:rPr>
        <w:t>mg</w:t>
      </w:r>
      <w:r w:rsidRPr="00F7301B">
        <w:rPr>
          <w:rStyle w:val="FontStyle45"/>
          <w:lang w:val="el-GR" w:eastAsia="el-GR"/>
        </w:rPr>
        <w:t xml:space="preserve"> </w:t>
      </w:r>
      <w:r>
        <w:rPr>
          <w:rStyle w:val="FontStyle45"/>
          <w:lang w:val="el-GR" w:eastAsia="el-GR"/>
        </w:rPr>
        <w:t xml:space="preserve">αταζαναβίρης / 100 </w:t>
      </w:r>
      <w:r>
        <w:rPr>
          <w:rStyle w:val="FontStyle45"/>
          <w:lang w:eastAsia="el-GR"/>
        </w:rPr>
        <w:t>mg</w:t>
      </w:r>
      <w:r w:rsidRPr="00F7301B">
        <w:rPr>
          <w:rStyle w:val="FontStyle45"/>
          <w:lang w:val="el-GR" w:eastAsia="el-GR"/>
        </w:rPr>
        <w:t xml:space="preserve"> </w:t>
      </w:r>
      <w:r>
        <w:rPr>
          <w:rStyle w:val="FontStyle45"/>
          <w:lang w:val="el-GR" w:eastAsia="el-GR"/>
        </w:rPr>
        <w:t xml:space="preserve">ριτοναβίρης) σε υγιείς εθελοντές σχετίστηκε με μία κατά προσέγγιση τριπλάσια και επταπλάσια αύξηση στην </w:t>
      </w:r>
      <w:r>
        <w:rPr>
          <w:rStyle w:val="FontStyle45"/>
          <w:lang w:eastAsia="el-GR"/>
        </w:rPr>
        <w:t>AUC</w:t>
      </w:r>
      <w:r w:rsidRPr="00F7301B">
        <w:rPr>
          <w:rStyle w:val="FontStyle45"/>
          <w:lang w:val="el-GR" w:eastAsia="el-GR"/>
        </w:rPr>
        <w:t xml:space="preserve"> </w:t>
      </w:r>
      <w:r>
        <w:rPr>
          <w:rStyle w:val="FontStyle45"/>
          <w:lang w:val="el-GR" w:eastAsia="el-GR"/>
        </w:rPr>
        <w:t xml:space="preserve">και την </w:t>
      </w:r>
      <w:r>
        <w:rPr>
          <w:rStyle w:val="FontStyle45"/>
          <w:lang w:eastAsia="el-GR"/>
        </w:rPr>
        <w:t>Cmax</w:t>
      </w:r>
      <w:r>
        <w:rPr>
          <w:rStyle w:val="FontStyle45"/>
          <w:lang w:val="el-GR" w:eastAsia="el-GR"/>
        </w:rPr>
        <w:t xml:space="preserve"> της ροσουβαστατίνης, αντίστοιχα. Μπορεί να ληφθεί υπόψη, η ταυτόχρονη χρήση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και ορισμένων συνδυασμών αναστολέων πρωτεάσης, μετά από προσεκτική εξέταση της προσαρμογής της δόσης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με βάση την αναμενόμενη αύξηση της έκθεσης της ροσουβαστατίνης (βλ. Παραγράφους 4.2, 4.4 και 4.5 Πίνακα 1).</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29" w:line="264" w:lineRule="exact"/>
        <w:rPr>
          <w:rStyle w:val="FontStyle45"/>
          <w:lang w:val="el-GR" w:eastAsia="el-GR"/>
        </w:rPr>
      </w:pPr>
      <w:r>
        <w:rPr>
          <w:rStyle w:val="FontStyle44"/>
          <w:lang w:val="el-GR" w:eastAsia="el-GR"/>
        </w:rPr>
        <w:t xml:space="preserve">Γεμφιβροζίλη και άλλα υπολιπιδαιμικά φάρμακα: </w:t>
      </w:r>
      <w:r>
        <w:rPr>
          <w:rStyle w:val="FontStyle45"/>
          <w:lang w:val="el-GR" w:eastAsia="el-GR"/>
        </w:rPr>
        <w:t xml:space="preserve">Η συγχορήγηση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γεμφιβροζίλη επέφερε διπλασιασμό της </w:t>
      </w:r>
      <w:r>
        <w:rPr>
          <w:rStyle w:val="FontStyle45"/>
          <w:lang w:eastAsia="el-GR"/>
        </w:rPr>
        <w:t>C</w:t>
      </w:r>
      <w:r>
        <w:rPr>
          <w:rStyle w:val="FontStyle37"/>
          <w:lang w:eastAsia="el-GR"/>
        </w:rPr>
        <w:t>max</w:t>
      </w:r>
      <w:r w:rsidRPr="00F7301B">
        <w:rPr>
          <w:rStyle w:val="FontStyle37"/>
          <w:lang w:val="el-GR" w:eastAsia="el-GR"/>
        </w:rPr>
        <w:t xml:space="preserve"> </w:t>
      </w:r>
      <w:r>
        <w:rPr>
          <w:rStyle w:val="FontStyle45"/>
          <w:lang w:val="el-GR" w:eastAsia="el-GR"/>
        </w:rPr>
        <w:t xml:space="preserve">και της </w:t>
      </w:r>
      <w:r>
        <w:rPr>
          <w:rStyle w:val="FontStyle45"/>
          <w:lang w:eastAsia="el-GR"/>
        </w:rPr>
        <w:t>AUC</w:t>
      </w:r>
      <w:r w:rsidRPr="00F7301B">
        <w:rPr>
          <w:rStyle w:val="FontStyle45"/>
          <w:lang w:val="el-GR" w:eastAsia="el-GR"/>
        </w:rPr>
        <w:t xml:space="preserve"> </w:t>
      </w:r>
      <w:r>
        <w:rPr>
          <w:rStyle w:val="FontStyle45"/>
          <w:lang w:val="el-GR" w:eastAsia="el-GR"/>
        </w:rPr>
        <w:t>της ροσουβαστατίνης (βλ.Παράγραφο 4.4).</w:t>
      </w:r>
    </w:p>
    <w:p w:rsidR="00A502AA" w:rsidRPr="00F7301B" w:rsidRDefault="00A502AA">
      <w:pPr>
        <w:pStyle w:val="Style7"/>
        <w:widowControl/>
        <w:spacing w:before="120" w:line="264" w:lineRule="exact"/>
        <w:rPr>
          <w:rStyle w:val="FontStyle45"/>
          <w:lang w:val="el-GR" w:eastAsia="el-GR"/>
        </w:rPr>
      </w:pPr>
      <w:r>
        <w:rPr>
          <w:rStyle w:val="FontStyle45"/>
          <w:lang w:val="el-GR" w:eastAsia="el-GR"/>
        </w:rPr>
        <w:lastRenderedPageBreak/>
        <w:t xml:space="preserve">Με βάση τα δεδομένα από ειδικές μελέτες αλληλεπίδρασης δεν αναμένονται σχετικές φαρμακοκινητικές αλληλεπιδράσεις με τη φαινοφιβράτη, εντούτοις μπορεί να παρατηρηθεί φαρμακοδυναμική αλληλεπίδραση. Η γεμφιβροζίλη, η φαινοφιβράτη, άλλες φιβράτες και υπολιπιδαιμικές δόσεις (&gt; ή ίσες με 1 </w:t>
      </w:r>
      <w:r>
        <w:rPr>
          <w:rStyle w:val="FontStyle45"/>
          <w:lang w:eastAsia="el-GR"/>
        </w:rPr>
        <w:t>g</w:t>
      </w:r>
      <w:r>
        <w:rPr>
          <w:rStyle w:val="FontStyle45"/>
          <w:lang w:val="el-GR" w:eastAsia="el-GR"/>
        </w:rPr>
        <w:t xml:space="preserve">/ημέρα) νιασίνης (νικοτινικό οξύ) αυξάνουν τον κίνδυνο μυοπάθειας όταν χορηγούνται ταυτόχρονα με κάποιους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πιθανώς γιατί μπορεί να προκαλέσουν μυοπάθεια όταν χορηγούνται και ως μονοθεραπεία. Η δόση των 40 </w:t>
      </w:r>
      <w:r>
        <w:rPr>
          <w:rStyle w:val="FontStyle45"/>
          <w:lang w:eastAsia="el-GR"/>
        </w:rPr>
        <w:t>mg</w:t>
      </w:r>
      <w:r w:rsidRPr="00F7301B">
        <w:rPr>
          <w:rStyle w:val="FontStyle45"/>
          <w:lang w:val="el-GR" w:eastAsia="el-GR"/>
        </w:rPr>
        <w:t xml:space="preserve"> </w:t>
      </w:r>
      <w:r>
        <w:rPr>
          <w:rStyle w:val="FontStyle45"/>
          <w:lang w:val="el-GR" w:eastAsia="el-GR"/>
        </w:rPr>
        <w:t xml:space="preserve">αντενδείκνυται με ταυτόχρονη χρήση φιβράτης (βλ. Παραγράφους 4.3 και 4.4). Οι ασθενείς αυτοί θα πρέπει επίσης να ξεκινούν τη θεραπεία με 5 </w:t>
      </w:r>
      <w:r>
        <w:rPr>
          <w:rStyle w:val="FontStyle45"/>
          <w:lang w:eastAsia="el-GR"/>
        </w:rPr>
        <w:t>mg</w:t>
      </w:r>
      <w:r w:rsidRPr="00F7301B">
        <w:rPr>
          <w:rStyle w:val="FontStyle45"/>
          <w:lang w:val="el-GR" w:eastAsia="el-GR"/>
        </w:rPr>
        <w:t>.</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tabs>
          <w:tab w:val="left" w:pos="7061"/>
        </w:tabs>
        <w:spacing w:before="24" w:line="269" w:lineRule="exact"/>
        <w:rPr>
          <w:rStyle w:val="FontStyle45"/>
          <w:lang w:val="el-GR" w:eastAsia="el-GR"/>
        </w:rPr>
      </w:pPr>
      <w:r>
        <w:rPr>
          <w:rStyle w:val="FontStyle44"/>
          <w:lang w:val="el-GR" w:eastAsia="el-GR"/>
        </w:rPr>
        <w:t xml:space="preserve">Εζετιμίμπη: </w:t>
      </w:r>
      <w:r>
        <w:rPr>
          <w:rStyle w:val="FontStyle45"/>
          <w:lang w:val="el-GR" w:eastAsia="el-GR"/>
        </w:rPr>
        <w:t xml:space="preserve">Η ταυτόχρονη χρήση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10 </w:t>
      </w:r>
      <w:r>
        <w:rPr>
          <w:rStyle w:val="FontStyle45"/>
          <w:lang w:eastAsia="el-GR"/>
        </w:rPr>
        <w:t>mg</w:t>
      </w:r>
      <w:r w:rsidRPr="00F7301B">
        <w:rPr>
          <w:rStyle w:val="FontStyle45"/>
          <w:lang w:val="el-GR" w:eastAsia="el-GR"/>
        </w:rPr>
        <w:t xml:space="preserve"> </w:t>
      </w:r>
      <w:r>
        <w:rPr>
          <w:rStyle w:val="FontStyle45"/>
          <w:lang w:val="el-GR" w:eastAsia="el-GR"/>
        </w:rPr>
        <w:t xml:space="preserve">και εζετιμίμπης 10 </w:t>
      </w:r>
      <w:r>
        <w:rPr>
          <w:rStyle w:val="FontStyle45"/>
          <w:lang w:eastAsia="el-GR"/>
        </w:rPr>
        <w:t>mg</w:t>
      </w:r>
      <w:r w:rsidRPr="00F7301B">
        <w:rPr>
          <w:rStyle w:val="FontStyle45"/>
          <w:lang w:val="el-GR" w:eastAsia="el-GR"/>
        </w:rPr>
        <w:t xml:space="preserve"> </w:t>
      </w:r>
      <w:r>
        <w:rPr>
          <w:rStyle w:val="FontStyle45"/>
          <w:lang w:val="el-GR" w:eastAsia="el-GR"/>
        </w:rPr>
        <w:t>οδήγησε</w:t>
      </w:r>
      <w:r>
        <w:rPr>
          <w:rStyle w:val="FontStyle45"/>
          <w:lang w:val="el-GR" w:eastAsia="el-GR"/>
        </w:rPr>
        <w:br/>
        <w:t xml:space="preserve">σε αύξηση στην </w:t>
      </w:r>
      <w:r>
        <w:rPr>
          <w:rStyle w:val="FontStyle45"/>
          <w:lang w:eastAsia="el-GR"/>
        </w:rPr>
        <w:t>AUC</w:t>
      </w:r>
      <w:r w:rsidRPr="00F7301B">
        <w:rPr>
          <w:rStyle w:val="FontStyle45"/>
          <w:lang w:val="el-GR" w:eastAsia="el-GR"/>
        </w:rPr>
        <w:t xml:space="preserve"> </w:t>
      </w:r>
      <w:r>
        <w:rPr>
          <w:rStyle w:val="FontStyle45"/>
          <w:lang w:val="el-GR" w:eastAsia="el-GR"/>
        </w:rPr>
        <w:t>της ροσουβαστατίνης κατά 1,2 φορές σε</w:t>
      </w:r>
      <w:r>
        <w:rPr>
          <w:rStyle w:val="FontStyle45"/>
          <w:lang w:val="el-GR" w:eastAsia="el-GR"/>
        </w:rPr>
        <w:br/>
        <w:t>υπερχοληστερολαιμικούς    ασθενείς    (Πίνακας    1).</w:t>
      </w:r>
      <w:r>
        <w:rPr>
          <w:rStyle w:val="FontStyle45"/>
          <w:rFonts w:ascii="Times New Roman" w:hAnsi="Times New Roman" w:cs="Times New Roman"/>
          <w:lang w:val="el-GR" w:eastAsia="el-GR"/>
        </w:rPr>
        <w:tab/>
      </w:r>
      <w:r>
        <w:rPr>
          <w:rStyle w:val="FontStyle45"/>
          <w:lang w:val="el-GR" w:eastAsia="el-GR"/>
        </w:rPr>
        <w:t>φαρμακοδυναμική</w:t>
      </w:r>
    </w:p>
    <w:p w:rsidR="00A502AA" w:rsidRDefault="00A502AA">
      <w:pPr>
        <w:pStyle w:val="Style7"/>
        <w:widowControl/>
        <w:spacing w:line="269" w:lineRule="exact"/>
        <w:rPr>
          <w:rStyle w:val="FontStyle45"/>
          <w:lang w:val="el-GR" w:eastAsia="el-GR"/>
        </w:rPr>
      </w:pPr>
      <w:r>
        <w:rPr>
          <w:rStyle w:val="FontStyle45"/>
          <w:lang w:val="el-GR" w:eastAsia="el-GR"/>
        </w:rPr>
        <w:t xml:space="preserve">αλληλεπίδραση, αναφορικά με τις ανεπιθύμητες ενέργειες, ανάμεσα σε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και εζετιμίμπη δεν μπορεί να αποκλειστεί (Βλ. Παράγραφο 4.4).</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24" w:line="264" w:lineRule="exact"/>
        <w:rPr>
          <w:rStyle w:val="FontStyle45"/>
          <w:lang w:val="el-GR" w:eastAsia="el-GR"/>
        </w:rPr>
      </w:pPr>
      <w:r>
        <w:rPr>
          <w:rStyle w:val="FontStyle44"/>
          <w:lang w:val="el-GR" w:eastAsia="el-GR"/>
        </w:rPr>
        <w:t xml:space="preserve">Αντιόξινα: </w:t>
      </w:r>
      <w:r>
        <w:rPr>
          <w:rStyle w:val="FontStyle45"/>
          <w:lang w:val="el-GR" w:eastAsia="el-GR"/>
        </w:rPr>
        <w:t xml:space="preserve">Η ταυτόχρονη χορήγηση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εναιώρημα αντιόξινου σκευάσματος που περιείχε υδροξείδιο του αργιλίου και του μαγνησίου, επέφερε μείωση της συγκέντρωσης της ροσουβαστατίνης στο πλάσμα κατά περίπου 50%. Η επίδραση αυτή μετριάστηκε όταν το αντιόξινο χορηγήθηκε 2 ώρες μετά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Η κλινική σημασία της αλληλεπίδρασης αυτής δεν έχει μελετηθεί.</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24" w:line="269" w:lineRule="exact"/>
        <w:rPr>
          <w:rStyle w:val="FontStyle45"/>
          <w:lang w:val="el-GR" w:eastAsia="el-GR"/>
        </w:rPr>
      </w:pPr>
      <w:r>
        <w:rPr>
          <w:rStyle w:val="FontStyle44"/>
          <w:lang w:val="el-GR" w:eastAsia="el-GR"/>
        </w:rPr>
        <w:t xml:space="preserve">Ερυθρομυκίνη: </w:t>
      </w:r>
      <w:r>
        <w:rPr>
          <w:rStyle w:val="FontStyle45"/>
          <w:lang w:val="el-GR" w:eastAsia="el-GR"/>
        </w:rPr>
        <w:t xml:space="preserve">Ταυτόχρονη χορήγηση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ερυθρομυκίνη οδήγησε σε μείωση κατά 20% της </w:t>
      </w:r>
      <w:r>
        <w:rPr>
          <w:rStyle w:val="FontStyle45"/>
          <w:lang w:eastAsia="el-GR"/>
        </w:rPr>
        <w:t>AUC</w:t>
      </w:r>
      <w:r w:rsidRPr="00F7301B">
        <w:rPr>
          <w:rStyle w:val="FontStyle45"/>
          <w:lang w:val="el-GR" w:eastAsia="el-GR"/>
        </w:rPr>
        <w:t xml:space="preserve"> </w:t>
      </w:r>
      <w:r>
        <w:rPr>
          <w:rStyle w:val="FontStyle45"/>
          <w:lang w:val="el-GR" w:eastAsia="el-GR"/>
        </w:rPr>
        <w:t xml:space="preserve">της ροσουβαστατίνης και κατά 30% της </w:t>
      </w:r>
      <w:r>
        <w:rPr>
          <w:rStyle w:val="FontStyle45"/>
          <w:lang w:eastAsia="el-GR"/>
        </w:rPr>
        <w:t>C</w:t>
      </w:r>
      <w:r>
        <w:rPr>
          <w:rStyle w:val="FontStyle37"/>
          <w:lang w:eastAsia="el-GR"/>
        </w:rPr>
        <w:t>max</w:t>
      </w:r>
      <w:r w:rsidRPr="00F7301B">
        <w:rPr>
          <w:rStyle w:val="FontStyle37"/>
          <w:lang w:val="el-GR" w:eastAsia="el-GR"/>
        </w:rPr>
        <w:t xml:space="preserve">. </w:t>
      </w:r>
      <w:r>
        <w:rPr>
          <w:rStyle w:val="FontStyle45"/>
          <w:lang w:val="el-GR" w:eastAsia="el-GR"/>
        </w:rPr>
        <w:t>Η αλληλεπίδραση αυτή μπορεί να οφείλεται στην αύξηση της κινητικότητας του εντέρου που προκαλείται από την ερυθρομυκίνη.</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before="29" w:line="264" w:lineRule="exact"/>
        <w:rPr>
          <w:rStyle w:val="FontStyle45"/>
          <w:lang w:val="el-GR" w:eastAsia="el-GR"/>
        </w:rPr>
      </w:pPr>
      <w:r>
        <w:rPr>
          <w:rStyle w:val="FontStyle44"/>
          <w:lang w:val="el-GR" w:eastAsia="el-GR"/>
        </w:rPr>
        <w:t xml:space="preserve">Ένζυμα του κυτοχρώματος </w:t>
      </w:r>
      <w:r>
        <w:rPr>
          <w:rStyle w:val="FontStyle44"/>
          <w:lang w:eastAsia="el-GR"/>
        </w:rPr>
        <w:t>P</w:t>
      </w:r>
      <w:r w:rsidRPr="00F7301B">
        <w:rPr>
          <w:rStyle w:val="FontStyle44"/>
          <w:lang w:val="el-GR" w:eastAsia="el-GR"/>
        </w:rPr>
        <w:t xml:space="preserve">450: </w:t>
      </w:r>
      <w:r>
        <w:rPr>
          <w:rStyle w:val="FontStyle45"/>
          <w:lang w:val="el-GR" w:eastAsia="el-GR"/>
        </w:rPr>
        <w:t xml:space="preserve">Τα αποτελέσματα </w:t>
      </w:r>
      <w:r>
        <w:rPr>
          <w:rStyle w:val="FontStyle43"/>
          <w:lang w:eastAsia="el-GR"/>
        </w:rPr>
        <w:t>in</w:t>
      </w:r>
      <w:r w:rsidRPr="00F7301B">
        <w:rPr>
          <w:rStyle w:val="FontStyle43"/>
          <w:lang w:val="el-GR" w:eastAsia="el-GR"/>
        </w:rPr>
        <w:t xml:space="preserve"> </w:t>
      </w:r>
      <w:r>
        <w:rPr>
          <w:rStyle w:val="FontStyle43"/>
          <w:lang w:eastAsia="el-GR"/>
        </w:rPr>
        <w:t>vitro</w:t>
      </w:r>
      <w:r w:rsidRPr="00F7301B">
        <w:rPr>
          <w:rStyle w:val="FontStyle43"/>
          <w:lang w:val="el-GR" w:eastAsia="el-GR"/>
        </w:rPr>
        <w:t xml:space="preserve"> </w:t>
      </w:r>
      <w:r>
        <w:rPr>
          <w:rStyle w:val="FontStyle45"/>
          <w:lang w:val="el-GR" w:eastAsia="el-GR"/>
        </w:rPr>
        <w:t xml:space="preserve">και </w:t>
      </w:r>
      <w:r>
        <w:rPr>
          <w:rStyle w:val="FontStyle43"/>
          <w:lang w:eastAsia="el-GR"/>
        </w:rPr>
        <w:t>in</w:t>
      </w:r>
      <w:r w:rsidRPr="00F7301B">
        <w:rPr>
          <w:rStyle w:val="FontStyle43"/>
          <w:lang w:val="el-GR" w:eastAsia="el-GR"/>
        </w:rPr>
        <w:t xml:space="preserve"> </w:t>
      </w:r>
      <w:r>
        <w:rPr>
          <w:rStyle w:val="FontStyle43"/>
          <w:lang w:eastAsia="el-GR"/>
        </w:rPr>
        <w:t>vivo</w:t>
      </w:r>
      <w:r w:rsidRPr="00F7301B">
        <w:rPr>
          <w:rStyle w:val="FontStyle43"/>
          <w:lang w:val="el-GR" w:eastAsia="el-GR"/>
        </w:rPr>
        <w:t xml:space="preserve"> </w:t>
      </w:r>
      <w:r>
        <w:rPr>
          <w:rStyle w:val="FontStyle45"/>
          <w:lang w:val="el-GR" w:eastAsia="el-GR"/>
        </w:rPr>
        <w:t xml:space="preserve">μελετών δείχνουν ότι η ροσουβαστατίνη δεν είναι αναστολέας ή επαγωγέας των ισοενζύμων του κυτοχρώματος </w:t>
      </w:r>
      <w:r>
        <w:rPr>
          <w:rStyle w:val="FontStyle45"/>
          <w:lang w:eastAsia="el-GR"/>
        </w:rPr>
        <w:t>P</w:t>
      </w:r>
      <w:r w:rsidRPr="00F7301B">
        <w:rPr>
          <w:rStyle w:val="FontStyle45"/>
          <w:lang w:val="el-GR" w:eastAsia="el-GR"/>
        </w:rPr>
        <w:t xml:space="preserve">450. </w:t>
      </w:r>
      <w:r>
        <w:rPr>
          <w:rStyle w:val="FontStyle45"/>
          <w:lang w:val="el-GR" w:eastAsia="el-GR"/>
        </w:rPr>
        <w:t xml:space="preserve">Επιπλέον, η ροσουβαστατίνη είναι «φτωχό» υπόστρωμα για αυτά τα ισοένζυμα. Συνεπώς δεν αναμένονται φαρμακευτικές αλληλεπιδράσεις που να προέρχονται από τον μεταβολισμό μέσω του κυτοχρώματος </w:t>
      </w:r>
      <w:r>
        <w:rPr>
          <w:rStyle w:val="FontStyle45"/>
          <w:lang w:eastAsia="el-GR"/>
        </w:rPr>
        <w:t>P</w:t>
      </w:r>
      <w:r w:rsidRPr="00F7301B">
        <w:rPr>
          <w:rStyle w:val="FontStyle45"/>
          <w:lang w:val="el-GR" w:eastAsia="el-GR"/>
        </w:rPr>
        <w:t xml:space="preserve">450. </w:t>
      </w:r>
      <w:r>
        <w:rPr>
          <w:rStyle w:val="FontStyle45"/>
          <w:lang w:val="el-GR" w:eastAsia="el-GR"/>
        </w:rPr>
        <w:t xml:space="preserve">Δεν έχουν παρατηρηθεί κλινικά σημαντικές αλληλεπιδράσεις μεταξύ της ροσουβαστατίνης και της φλουκοναζόλης (αναστολέας των </w:t>
      </w:r>
      <w:r>
        <w:rPr>
          <w:rStyle w:val="FontStyle45"/>
          <w:lang w:eastAsia="el-GR"/>
        </w:rPr>
        <w:t>CYP</w:t>
      </w:r>
      <w:r w:rsidRPr="00F7301B">
        <w:rPr>
          <w:rStyle w:val="FontStyle45"/>
          <w:lang w:val="el-GR" w:eastAsia="el-GR"/>
        </w:rPr>
        <w:t>2</w:t>
      </w:r>
      <w:r>
        <w:rPr>
          <w:rStyle w:val="FontStyle45"/>
          <w:lang w:eastAsia="el-GR"/>
        </w:rPr>
        <w:t>C</w:t>
      </w:r>
      <w:r w:rsidRPr="00F7301B">
        <w:rPr>
          <w:rStyle w:val="FontStyle45"/>
          <w:lang w:val="el-GR" w:eastAsia="el-GR"/>
        </w:rPr>
        <w:t xml:space="preserve">9 </w:t>
      </w:r>
      <w:r>
        <w:rPr>
          <w:rStyle w:val="FontStyle45"/>
          <w:lang w:val="el-GR" w:eastAsia="el-GR"/>
        </w:rPr>
        <w:t xml:space="preserve">και </w:t>
      </w:r>
      <w:r>
        <w:rPr>
          <w:rStyle w:val="FontStyle45"/>
          <w:lang w:eastAsia="el-GR"/>
        </w:rPr>
        <w:t>CYP</w:t>
      </w:r>
      <w:r w:rsidRPr="00F7301B">
        <w:rPr>
          <w:rStyle w:val="FontStyle45"/>
          <w:lang w:val="el-GR" w:eastAsia="el-GR"/>
        </w:rPr>
        <w:t>3</w:t>
      </w:r>
      <w:r>
        <w:rPr>
          <w:rStyle w:val="FontStyle45"/>
          <w:lang w:eastAsia="el-GR"/>
        </w:rPr>
        <w:t>A</w:t>
      </w:r>
      <w:r w:rsidRPr="00F7301B">
        <w:rPr>
          <w:rStyle w:val="FontStyle45"/>
          <w:lang w:val="el-GR" w:eastAsia="el-GR"/>
        </w:rPr>
        <w:t xml:space="preserve">4) </w:t>
      </w:r>
      <w:r>
        <w:rPr>
          <w:rStyle w:val="FontStyle45"/>
          <w:lang w:val="el-GR" w:eastAsia="el-GR"/>
        </w:rPr>
        <w:t xml:space="preserve">ή της κετοκοναζόλης (αναστολέας των </w:t>
      </w:r>
      <w:r>
        <w:rPr>
          <w:rStyle w:val="FontStyle45"/>
          <w:lang w:eastAsia="el-GR"/>
        </w:rPr>
        <w:t>CYP</w:t>
      </w:r>
      <w:r w:rsidRPr="00F7301B">
        <w:rPr>
          <w:rStyle w:val="FontStyle45"/>
          <w:lang w:val="el-GR" w:eastAsia="el-GR"/>
        </w:rPr>
        <w:t>2</w:t>
      </w:r>
      <w:r>
        <w:rPr>
          <w:rStyle w:val="FontStyle45"/>
          <w:lang w:eastAsia="el-GR"/>
        </w:rPr>
        <w:t>A</w:t>
      </w:r>
      <w:r w:rsidRPr="00F7301B">
        <w:rPr>
          <w:rStyle w:val="FontStyle45"/>
          <w:lang w:val="el-GR" w:eastAsia="el-GR"/>
        </w:rPr>
        <w:t xml:space="preserve">6 </w:t>
      </w:r>
      <w:r>
        <w:rPr>
          <w:rStyle w:val="FontStyle45"/>
          <w:lang w:val="el-GR" w:eastAsia="el-GR"/>
        </w:rPr>
        <w:t xml:space="preserve">και </w:t>
      </w:r>
      <w:r>
        <w:rPr>
          <w:rStyle w:val="FontStyle45"/>
          <w:lang w:eastAsia="el-GR"/>
        </w:rPr>
        <w:t>CYP</w:t>
      </w:r>
      <w:r w:rsidRPr="00F7301B">
        <w:rPr>
          <w:rStyle w:val="FontStyle45"/>
          <w:lang w:val="el-GR" w:eastAsia="el-GR"/>
        </w:rPr>
        <w:t>3</w:t>
      </w:r>
      <w:r>
        <w:rPr>
          <w:rStyle w:val="FontStyle45"/>
          <w:lang w:eastAsia="el-GR"/>
        </w:rPr>
        <w:t>A</w:t>
      </w:r>
      <w:r w:rsidRPr="00F7301B">
        <w:rPr>
          <w:rStyle w:val="FontStyle45"/>
          <w:lang w:val="el-GR" w:eastAsia="el-GR"/>
        </w:rPr>
        <w:t>4).</w:t>
      </w:r>
    </w:p>
    <w:p w:rsidR="00A502AA" w:rsidRPr="00F7301B" w:rsidRDefault="00A502AA">
      <w:pPr>
        <w:pStyle w:val="Style32"/>
        <w:widowControl/>
        <w:spacing w:line="240" w:lineRule="exact"/>
        <w:rPr>
          <w:sz w:val="20"/>
          <w:szCs w:val="20"/>
          <w:lang w:val="el-GR"/>
        </w:rPr>
      </w:pPr>
    </w:p>
    <w:p w:rsidR="00A502AA" w:rsidRPr="00F7301B" w:rsidRDefault="00A502AA">
      <w:pPr>
        <w:pStyle w:val="Style32"/>
        <w:widowControl/>
        <w:spacing w:line="240" w:lineRule="exact"/>
        <w:rPr>
          <w:sz w:val="20"/>
          <w:szCs w:val="20"/>
          <w:lang w:val="el-GR"/>
        </w:rPr>
      </w:pPr>
    </w:p>
    <w:p w:rsidR="00A502AA" w:rsidRDefault="00A502AA">
      <w:pPr>
        <w:pStyle w:val="Style32"/>
        <w:widowControl/>
        <w:spacing w:before="34"/>
        <w:rPr>
          <w:rStyle w:val="FontStyle45"/>
          <w:lang w:val="el-GR" w:eastAsia="el-GR"/>
        </w:rPr>
      </w:pPr>
      <w:r>
        <w:rPr>
          <w:rStyle w:val="FontStyle44"/>
          <w:lang w:val="el-GR" w:eastAsia="el-GR"/>
        </w:rPr>
        <w:t xml:space="preserve">Αλληλεπιδράσεις που απαιτούν προσαρμογές της δόσης της ροσουβαστατίνης   (βλ.   επίσης   Πίνακα   1):   </w:t>
      </w:r>
      <w:r>
        <w:rPr>
          <w:rStyle w:val="FontStyle45"/>
          <w:lang w:val="el-GR" w:eastAsia="el-GR"/>
        </w:rPr>
        <w:t xml:space="preserve">Όταν  είναι   απαραίτητη   η συγχορήγηση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άλλα φαρμακευτικά προϊόντα που είναι γνωστό ότι αυξάνουν την έκθεση σε ροσουβαστατίνη, θα πρέπει να προσαρμόζονται οι δόσεις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Ξεκινήστε με 5 </w:t>
      </w:r>
      <w:r>
        <w:rPr>
          <w:rStyle w:val="FontStyle45"/>
          <w:lang w:eastAsia="el-GR"/>
        </w:rPr>
        <w:t>mg</w:t>
      </w:r>
      <w:r w:rsidRPr="00F7301B">
        <w:rPr>
          <w:rStyle w:val="FontStyle45"/>
          <w:lang w:val="el-GR" w:eastAsia="el-GR"/>
        </w:rPr>
        <w:t xml:space="preserve">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μία φορά την ημέρα, εάν η αναμενόμενη αύξηση της έκθεσης </w:t>
      </w:r>
      <w:r w:rsidRPr="00F7301B">
        <w:rPr>
          <w:rStyle w:val="FontStyle45"/>
          <w:lang w:val="el-GR" w:eastAsia="el-GR"/>
        </w:rPr>
        <w:t>(</w:t>
      </w:r>
      <w:r>
        <w:rPr>
          <w:rStyle w:val="FontStyle45"/>
          <w:lang w:eastAsia="el-GR"/>
        </w:rPr>
        <w:t>AUC</w:t>
      </w:r>
      <w:r w:rsidRPr="00F7301B">
        <w:rPr>
          <w:rStyle w:val="FontStyle45"/>
          <w:lang w:val="el-GR" w:eastAsia="el-GR"/>
        </w:rPr>
        <w:t xml:space="preserve">) </w:t>
      </w:r>
      <w:r>
        <w:rPr>
          <w:rStyle w:val="FontStyle45"/>
          <w:lang w:val="el-GR" w:eastAsia="el-GR"/>
        </w:rPr>
        <w:t xml:space="preserve">είναι περίπου 2πλάσια ή μεγαλύτερη. Η μέγιστη ημερήσια δόση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θα πρέπει να ρυθμιστεί έτσι ώστε η αναμενόμενη έκθεση της ροσουβαστατίνης να μην υπερβαίνει τα 40 </w:t>
      </w:r>
      <w:r>
        <w:rPr>
          <w:rStyle w:val="FontStyle45"/>
          <w:lang w:eastAsia="el-GR"/>
        </w:rPr>
        <w:t>mg</w:t>
      </w:r>
      <w:r w:rsidRPr="00F7301B">
        <w:rPr>
          <w:rStyle w:val="FontStyle45"/>
          <w:lang w:val="el-GR" w:eastAsia="el-GR"/>
        </w:rPr>
        <w:t xml:space="preserve"> </w:t>
      </w:r>
      <w:r>
        <w:rPr>
          <w:rStyle w:val="FontStyle45"/>
          <w:lang w:val="el-GR" w:eastAsia="el-GR"/>
        </w:rPr>
        <w:t xml:space="preserve">ημερήσιας δόσης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χωρίς αλληλεπίδραση φαρμάκων, για παράδειγμα, μια δόση 20 </w:t>
      </w:r>
      <w:r>
        <w:rPr>
          <w:rStyle w:val="FontStyle45"/>
          <w:lang w:eastAsia="el-GR"/>
        </w:rPr>
        <w:t>mg</w:t>
      </w:r>
      <w:r w:rsidRPr="00F7301B">
        <w:rPr>
          <w:rStyle w:val="FontStyle45"/>
          <w:lang w:val="el-GR" w:eastAsia="el-GR"/>
        </w:rPr>
        <w:t xml:space="preserve">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γεμφιβροζίλη (1,9 φορές αύξηση), και μια δόση 10 </w:t>
      </w:r>
      <w:r>
        <w:rPr>
          <w:rStyle w:val="FontStyle45"/>
          <w:lang w:eastAsia="el-GR"/>
        </w:rPr>
        <w:t>mg</w:t>
      </w:r>
      <w:r w:rsidRPr="00F7301B">
        <w:rPr>
          <w:rStyle w:val="FontStyle45"/>
          <w:lang w:val="el-GR" w:eastAsia="el-GR"/>
        </w:rPr>
        <w:t xml:space="preserve">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με συνδυασμό αταζαναβίρης/ριτοναβίρης (3,1 φορές αύξηση).</w:t>
      </w:r>
    </w:p>
    <w:p w:rsidR="00A502AA" w:rsidRPr="00F7301B" w:rsidRDefault="007F2F04">
      <w:pPr>
        <w:pStyle w:val="Style34"/>
        <w:widowControl/>
        <w:spacing w:line="240" w:lineRule="exact"/>
        <w:rPr>
          <w:sz w:val="20"/>
          <w:szCs w:val="20"/>
          <w:lang w:val="el-GR"/>
        </w:rPr>
      </w:pPr>
      <w:r>
        <w:rPr>
          <w:noProof/>
          <w:lang w:val="el-GR" w:eastAsia="el-GR"/>
        </w:rPr>
        <w:lastRenderedPageBreak/>
        <mc:AlternateContent>
          <mc:Choice Requires="wpg">
            <w:drawing>
              <wp:anchor distT="27305" distB="0" distL="24130" distR="24130" simplePos="0" relativeHeight="251658240" behindDoc="0" locked="0" layoutInCell="1" allowOverlap="1">
                <wp:simplePos x="0" y="0"/>
                <wp:positionH relativeFrom="margin">
                  <wp:posOffset>33655</wp:posOffset>
                </wp:positionH>
                <wp:positionV relativeFrom="paragraph">
                  <wp:posOffset>905510</wp:posOffset>
                </wp:positionV>
                <wp:extent cx="5733415" cy="672084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6720840"/>
                          <a:chOff x="1339" y="5011"/>
                          <a:chExt cx="9029" cy="10584"/>
                        </a:xfrm>
                      </wpg:grpSpPr>
                      <wps:wsp>
                        <wps:cNvPr id="9" name="Text Box 3"/>
                        <wps:cNvSpPr txBox="1">
                          <a:spLocks noChangeArrowheads="1"/>
                        </wps:cNvSpPr>
                        <wps:spPr bwMode="auto">
                          <a:xfrm>
                            <a:off x="1339" y="5726"/>
                            <a:ext cx="8847" cy="986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954"/>
                                <w:gridCol w:w="1277"/>
                                <w:gridCol w:w="556"/>
                                <w:gridCol w:w="125"/>
                                <w:gridCol w:w="615"/>
                                <w:gridCol w:w="1963"/>
                                <w:gridCol w:w="311"/>
                                <w:gridCol w:w="29"/>
                                <w:gridCol w:w="1407"/>
                                <w:gridCol w:w="609"/>
                                <w:gridCol w:w="437"/>
                                <w:gridCol w:w="591"/>
                              </w:tblGrid>
                              <w:tr w:rsidR="00E317F9">
                                <w:tblPrEx>
                                  <w:tblCellMar>
                                    <w:top w:w="0" w:type="dxa"/>
                                    <w:bottom w:w="0" w:type="dxa"/>
                                  </w:tblCellMar>
                                </w:tblPrEx>
                                <w:trPr>
                                  <w:gridAfter w:val="2"/>
                                  <w:wAfter w:w="1028" w:type="dxa"/>
                                </w:trPr>
                                <w:tc>
                                  <w:tcPr>
                                    <w:tcW w:w="3912" w:type="dxa"/>
                                    <w:gridSpan w:val="4"/>
                                    <w:tcBorders>
                                      <w:top w:val="single" w:sz="6" w:space="0" w:color="auto"/>
                                      <w:left w:val="nil"/>
                                      <w:bottom w:val="nil"/>
                                      <w:right w:val="nil"/>
                                    </w:tcBorders>
                                  </w:tcPr>
                                  <w:p w:rsidR="00E317F9" w:rsidRDefault="00E317F9">
                                    <w:pPr>
                                      <w:pStyle w:val="Style15"/>
                                      <w:widowControl/>
                                      <w:ind w:firstLine="5"/>
                                      <w:rPr>
                                        <w:rStyle w:val="FontStyle41"/>
                                        <w:lang w:val="el-GR" w:eastAsia="el-GR"/>
                                      </w:rPr>
                                    </w:pPr>
                                    <w:r>
                                      <w:rPr>
                                        <w:rStyle w:val="FontStyle41"/>
                                        <w:lang w:val="el-GR" w:eastAsia="el-GR"/>
                                      </w:rPr>
                                      <w:t xml:space="preserve">Κυκλοσπορίνη 75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 xml:space="preserve">έως 200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6 μήνες</w:t>
                                    </w:r>
                                  </w:p>
                                </w:tc>
                                <w:tc>
                                  <w:tcPr>
                                    <w:tcW w:w="2918" w:type="dxa"/>
                                    <w:gridSpan w:val="4"/>
                                    <w:tcBorders>
                                      <w:top w:val="single" w:sz="6" w:space="0" w:color="auto"/>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OD, </w:t>
                                    </w:r>
                                    <w:r>
                                      <w:rPr>
                                        <w:rStyle w:val="FontStyle41"/>
                                        <w:lang w:val="el-GR" w:eastAsia="el-GR"/>
                                      </w:rPr>
                                      <w:t>10 ημερών</w:t>
                                    </w:r>
                                  </w:p>
                                </w:tc>
                                <w:tc>
                                  <w:tcPr>
                                    <w:tcW w:w="2016" w:type="dxa"/>
                                    <w:gridSpan w:val="2"/>
                                    <w:tcBorders>
                                      <w:top w:val="single" w:sz="6" w:space="0" w:color="auto"/>
                                      <w:left w:val="nil"/>
                                      <w:bottom w:val="nil"/>
                                      <w:right w:val="nil"/>
                                    </w:tcBorders>
                                  </w:tcPr>
                                  <w:p w:rsidR="00E317F9" w:rsidRDefault="00E317F9">
                                    <w:pPr>
                                      <w:pStyle w:val="Style15"/>
                                      <w:widowControl/>
                                      <w:spacing w:line="240" w:lineRule="auto"/>
                                      <w:ind w:left="518"/>
                                      <w:rPr>
                                        <w:rStyle w:val="FontStyle38"/>
                                        <w:lang w:eastAsia="el-GR"/>
                                      </w:rPr>
                                    </w:pPr>
                                    <w:r>
                                      <w:rPr>
                                        <w:rStyle w:val="FontStyle41"/>
                                        <w:lang w:val="el-GR" w:eastAsia="el-GR"/>
                                      </w:rPr>
                                      <w:t xml:space="preserve">7,1-φορές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exact"/>
                                      <w:ind w:left="10" w:hanging="10"/>
                                      <w:rPr>
                                        <w:rStyle w:val="FontStyle41"/>
                                        <w:lang w:val="el-GR" w:eastAsia="el-GR"/>
                                      </w:rPr>
                                    </w:pPr>
                                    <w:r>
                                      <w:rPr>
                                        <w:rStyle w:val="FontStyle41"/>
                                        <w:lang w:val="el-GR" w:eastAsia="el-GR"/>
                                      </w:rPr>
                                      <w:t xml:space="preserve">Αταζαναβίρη 300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100 </w:t>
                                    </w:r>
                                    <w:r>
                                      <w:rPr>
                                        <w:rStyle w:val="FontStyle41"/>
                                        <w:lang w:eastAsia="el-GR"/>
                                      </w:rPr>
                                      <w:t>mg</w:t>
                                    </w:r>
                                    <w:r w:rsidRPr="00F7301B">
                                      <w:rPr>
                                        <w:rStyle w:val="FontStyle41"/>
                                        <w:lang w:val="el-GR" w:eastAsia="el-GR"/>
                                      </w:rPr>
                                      <w:t xml:space="preserve"> </w:t>
                                    </w:r>
                                    <w:r>
                                      <w:rPr>
                                        <w:rStyle w:val="FontStyle41"/>
                                        <w:lang w:eastAsia="el-GR"/>
                                      </w:rPr>
                                      <w:t>OD</w:t>
                                    </w:r>
                                    <w:r w:rsidRPr="00F7301B">
                                      <w:rPr>
                                        <w:rStyle w:val="FontStyle41"/>
                                        <w:lang w:val="el-GR" w:eastAsia="el-GR"/>
                                      </w:rPr>
                                      <w:t xml:space="preserve">, </w:t>
                                    </w:r>
                                    <w:r>
                                      <w:rPr>
                                        <w:rStyle w:val="FontStyle41"/>
                                        <w:lang w:val="el-GR" w:eastAsia="el-GR"/>
                                      </w:rPr>
                                      <w:t>8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18"/>
                                      <w:rPr>
                                        <w:rStyle w:val="FontStyle38"/>
                                        <w:lang w:eastAsia="el-GR"/>
                                      </w:rPr>
                                    </w:pPr>
                                    <w:r>
                                      <w:rPr>
                                        <w:rStyle w:val="FontStyle41"/>
                                        <w:lang w:val="el-GR" w:eastAsia="el-GR"/>
                                      </w:rPr>
                                      <w:t xml:space="preserve">3,1-φορές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5" w:lineRule="exact"/>
                                      <w:ind w:left="10" w:hanging="10"/>
                                      <w:rPr>
                                        <w:rStyle w:val="FontStyle41"/>
                                        <w:lang w:val="el-GR" w:eastAsia="el-GR"/>
                                      </w:rPr>
                                    </w:pPr>
                                    <w:r>
                                      <w:rPr>
                                        <w:rStyle w:val="FontStyle41"/>
                                        <w:lang w:val="el-GR" w:eastAsia="el-GR"/>
                                      </w:rPr>
                                      <w:t xml:space="preserve">Λοπιναβίρη 400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100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17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20 </w:t>
                                    </w:r>
                                    <w:r>
                                      <w:rPr>
                                        <w:rStyle w:val="FontStyle41"/>
                                        <w:lang w:eastAsia="el-GR"/>
                                      </w:rPr>
                                      <w:t xml:space="preserve">mg OD,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15"/>
                                      <w:widowControl/>
                                      <w:spacing w:line="240" w:lineRule="auto"/>
                                      <w:ind w:left="518"/>
                                      <w:rPr>
                                        <w:rStyle w:val="FontStyle38"/>
                                        <w:lang w:eastAsia="el-GR"/>
                                      </w:rPr>
                                    </w:pPr>
                                    <w:r>
                                      <w:rPr>
                                        <w:rStyle w:val="FontStyle41"/>
                                        <w:lang w:val="el-GR" w:eastAsia="el-GR"/>
                                      </w:rPr>
                                      <w:t xml:space="preserve">2,1-φορές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5" w:lineRule="exact"/>
                                      <w:ind w:firstLine="5"/>
                                      <w:rPr>
                                        <w:rStyle w:val="FontStyle41"/>
                                        <w:lang w:val="el-GR" w:eastAsia="el-GR"/>
                                      </w:rPr>
                                    </w:pPr>
                                    <w:r>
                                      <w:rPr>
                                        <w:rStyle w:val="FontStyle41"/>
                                        <w:lang w:val="el-GR" w:eastAsia="el-GR"/>
                                      </w:rPr>
                                      <w:t xml:space="preserve">Κλοπιδογρέλη 300 </w:t>
                                    </w:r>
                                    <w:r>
                                      <w:rPr>
                                        <w:rStyle w:val="FontStyle41"/>
                                        <w:lang w:eastAsia="el-GR"/>
                                      </w:rPr>
                                      <w:t>mg</w:t>
                                    </w:r>
                                    <w:r w:rsidRPr="00F7301B">
                                      <w:rPr>
                                        <w:rStyle w:val="FontStyle41"/>
                                        <w:lang w:val="el-GR" w:eastAsia="el-GR"/>
                                      </w:rPr>
                                      <w:t xml:space="preserve"> </w:t>
                                    </w:r>
                                    <w:r>
                                      <w:rPr>
                                        <w:rStyle w:val="FontStyle41"/>
                                        <w:lang w:val="el-GR" w:eastAsia="el-GR"/>
                                      </w:rPr>
                                      <w:t xml:space="preserve">δόση φόρτισης, ακολουθείται από 75 </w:t>
                                    </w:r>
                                    <w:r>
                                      <w:rPr>
                                        <w:rStyle w:val="FontStyle41"/>
                                        <w:lang w:eastAsia="el-GR"/>
                                      </w:rPr>
                                      <w:t>mg</w:t>
                                    </w:r>
                                    <w:r w:rsidRPr="00F7301B">
                                      <w:rPr>
                                        <w:rStyle w:val="FontStyle41"/>
                                        <w:lang w:val="el-GR" w:eastAsia="el-GR"/>
                                      </w:rPr>
                                      <w:t xml:space="preserve"> </w:t>
                                    </w:r>
                                    <w:r>
                                      <w:rPr>
                                        <w:rStyle w:val="FontStyle41"/>
                                        <w:lang w:val="el-GR" w:eastAsia="el-GR"/>
                                      </w:rPr>
                                      <w:t>μετά από 24 ώρες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20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725"/>
                                      <w:rPr>
                                        <w:rStyle w:val="FontStyle41"/>
                                        <w:lang w:val="el-GR"/>
                                      </w:rPr>
                                    </w:pPr>
                                    <w:r>
                                      <w:rPr>
                                        <w:rStyle w:val="FontStyle41"/>
                                      </w:rPr>
                                      <w:t xml:space="preserve">2 </w:t>
                                    </w:r>
                                    <w:r>
                                      <w:rPr>
                                        <w:rStyle w:val="FontStyle41"/>
                                        <w:lang w:val="el-GR"/>
                                      </w:rPr>
                                      <w:t>φορές</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Γεμφιβροζίλη 600 </w:t>
                                    </w:r>
                                    <w:r>
                                      <w:rPr>
                                        <w:rStyle w:val="FontStyle41"/>
                                        <w:lang w:eastAsia="el-GR"/>
                                      </w:rPr>
                                      <w:t xml:space="preserve">mg BID, </w:t>
                                    </w:r>
                                    <w:r>
                                      <w:rPr>
                                        <w:rStyle w:val="FontStyle41"/>
                                        <w:lang w:val="el-GR" w:eastAsia="el-GR"/>
                                      </w:rPr>
                                      <w:t>7</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33"/>
                                      <w:rPr>
                                        <w:rStyle w:val="FontStyle38"/>
                                        <w:lang w:eastAsia="el-GR"/>
                                      </w:rPr>
                                    </w:pPr>
                                    <w:r>
                                      <w:rPr>
                                        <w:rStyle w:val="FontStyle41"/>
                                        <w:lang w:val="el-GR" w:eastAsia="el-GR"/>
                                      </w:rPr>
                                      <w:t xml:space="preserve">1,9-φορές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rPr>
                                    </w:pPr>
                                    <w:r>
                                      <w:rPr>
                                        <w:rStyle w:val="FontStyle41"/>
                                      </w:rPr>
                                      <w:t xml:space="preserve">Eltrombopag </w:t>
                                    </w:r>
                                    <w:r>
                                      <w:rPr>
                                        <w:rStyle w:val="FontStyle41"/>
                                        <w:lang w:val="el-GR"/>
                                      </w:rPr>
                                      <w:t xml:space="preserve">75 </w:t>
                                    </w:r>
                                    <w:r>
                                      <w:rPr>
                                        <w:rStyle w:val="FontStyle41"/>
                                      </w:rPr>
                                      <w:t xml:space="preserve">mg OD, </w:t>
                                    </w:r>
                                    <w:r>
                                      <w:rPr>
                                        <w:rStyle w:val="FontStyle41"/>
                                        <w:lang w:val="el-GR"/>
                                      </w:rPr>
                                      <w:t>10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1,6-φορές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exact"/>
                                      <w:ind w:left="10" w:hanging="10"/>
                                      <w:rPr>
                                        <w:rStyle w:val="FontStyle41"/>
                                        <w:lang w:val="el-GR" w:eastAsia="el-GR"/>
                                      </w:rPr>
                                    </w:pPr>
                                    <w:r>
                                      <w:rPr>
                                        <w:rStyle w:val="FontStyle41"/>
                                        <w:lang w:val="el-GR" w:eastAsia="el-GR"/>
                                      </w:rPr>
                                      <w:t xml:space="preserve">Δαρουναβίρη 600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100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7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OD,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1,5-φορές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5" w:lineRule="exact"/>
                                      <w:ind w:left="14" w:hanging="14"/>
                                      <w:rPr>
                                        <w:rStyle w:val="FontStyle41"/>
                                        <w:lang w:val="el-GR" w:eastAsia="el-GR"/>
                                      </w:rPr>
                                    </w:pPr>
                                    <w:r>
                                      <w:rPr>
                                        <w:rStyle w:val="FontStyle41"/>
                                        <w:lang w:val="el-GR" w:eastAsia="el-GR"/>
                                      </w:rPr>
                                      <w:t xml:space="preserve">Τιπραναβίρη 500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200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11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1,4-φορές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eastAsia="el-GR"/>
                                      </w:rPr>
                                    </w:pPr>
                                    <w:r>
                                      <w:rPr>
                                        <w:rStyle w:val="FontStyle41"/>
                                        <w:lang w:val="el-GR" w:eastAsia="el-GR"/>
                                      </w:rPr>
                                      <w:t xml:space="preserve">Δρονεδαρόνη 400 </w:t>
                                    </w:r>
                                    <w:r>
                                      <w:rPr>
                                        <w:rStyle w:val="FontStyle41"/>
                                        <w:lang w:eastAsia="el-GR"/>
                                      </w:rPr>
                                      <w:t>mg BID</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Μη διαθέσιμο</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1,4-φορές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Ιτρακοναζόλη 200 </w:t>
                                    </w:r>
                                    <w:r>
                                      <w:rPr>
                                        <w:rStyle w:val="FontStyle41"/>
                                        <w:lang w:eastAsia="el-GR"/>
                                      </w:rPr>
                                      <w:t xml:space="preserve">mg OD, </w:t>
                                    </w:r>
                                    <w:r>
                                      <w:rPr>
                                        <w:rStyle w:val="FontStyle41"/>
                                        <w:lang w:val="el-GR" w:eastAsia="el-GR"/>
                                      </w:rPr>
                                      <w:t>5</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408"/>
                                      <w:rPr>
                                        <w:rStyle w:val="FontStyle38"/>
                                        <w:lang w:eastAsia="el-GR"/>
                                      </w:rPr>
                                    </w:pPr>
                                    <w:r>
                                      <w:rPr>
                                        <w:rStyle w:val="FontStyle41"/>
                                        <w:lang w:val="el-GR" w:eastAsia="el-GR"/>
                                      </w:rPr>
                                      <w:t xml:space="preserve">1,4-φορές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Εζετιμίμπη 10 </w:t>
                                    </w:r>
                                    <w:r>
                                      <w:rPr>
                                        <w:rStyle w:val="FontStyle41"/>
                                        <w:lang w:eastAsia="el-GR"/>
                                      </w:rPr>
                                      <w:t xml:space="preserve">mg OD, </w:t>
                                    </w:r>
                                    <w:r>
                                      <w:rPr>
                                        <w:rStyle w:val="FontStyle41"/>
                                        <w:lang w:val="el-GR" w:eastAsia="el-GR"/>
                                      </w:rPr>
                                      <w:t>14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OD, </w:t>
                                    </w:r>
                                    <w:r>
                                      <w:rPr>
                                        <w:rStyle w:val="FontStyle41"/>
                                        <w:lang w:val="el-GR" w:eastAsia="el-GR"/>
                                      </w:rPr>
                                      <w:t>14 ημερών</w:t>
                                    </w:r>
                                  </w:p>
                                </w:tc>
                                <w:tc>
                                  <w:tcPr>
                                    <w:tcW w:w="2016" w:type="dxa"/>
                                    <w:gridSpan w:val="2"/>
                                    <w:tcBorders>
                                      <w:top w:val="nil"/>
                                      <w:left w:val="nil"/>
                                      <w:bottom w:val="nil"/>
                                      <w:right w:val="nil"/>
                                    </w:tcBorders>
                                  </w:tcPr>
                                  <w:p w:rsidR="00E317F9" w:rsidRDefault="00E317F9">
                                    <w:pPr>
                                      <w:pStyle w:val="Style15"/>
                                      <w:widowControl/>
                                      <w:spacing w:line="240" w:lineRule="auto"/>
                                      <w:ind w:left="413"/>
                                      <w:rPr>
                                        <w:rStyle w:val="FontStyle38"/>
                                      </w:rPr>
                                    </w:pPr>
                                    <w:r>
                                      <w:rPr>
                                        <w:rStyle w:val="FontStyle41"/>
                                      </w:rPr>
                                      <w:t xml:space="preserve">1,2- </w:t>
                                    </w:r>
                                    <w:r>
                                      <w:rPr>
                                        <w:rStyle w:val="FontStyle41"/>
                                        <w:lang w:val="el-GR"/>
                                      </w:rPr>
                                      <w:t xml:space="preserve">φορές </w:t>
                                    </w:r>
                                    <w:r>
                                      <w:rPr>
                                        <w:rStyle w:val="FontStyle38"/>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Pr="00F7301B" w:rsidRDefault="00E317F9">
                                    <w:pPr>
                                      <w:pStyle w:val="Style15"/>
                                      <w:widowControl/>
                                      <w:spacing w:line="235" w:lineRule="exact"/>
                                      <w:ind w:left="5" w:hanging="5"/>
                                      <w:rPr>
                                        <w:rStyle w:val="FontStyle41"/>
                                        <w:lang w:eastAsia="el-GR"/>
                                      </w:rPr>
                                    </w:pPr>
                                    <w:r>
                                      <w:rPr>
                                        <w:rStyle w:val="FontStyle41"/>
                                        <w:lang w:val="el-GR" w:eastAsia="el-GR"/>
                                      </w:rPr>
                                      <w:t>Φοσαμπρεναβίρη</w:t>
                                    </w:r>
                                    <w:r w:rsidRPr="00F7301B">
                                      <w:rPr>
                                        <w:rStyle w:val="FontStyle41"/>
                                        <w:lang w:eastAsia="el-GR"/>
                                      </w:rPr>
                                      <w:t xml:space="preserve"> 700 </w:t>
                                    </w:r>
                                    <w:r>
                                      <w:rPr>
                                        <w:rStyle w:val="FontStyle41"/>
                                        <w:lang w:eastAsia="el-GR"/>
                                      </w:rPr>
                                      <w:t xml:space="preserve">mg/ </w:t>
                                    </w:r>
                                    <w:r>
                                      <w:rPr>
                                        <w:rStyle w:val="FontStyle41"/>
                                        <w:lang w:val="el-GR" w:eastAsia="el-GR"/>
                                      </w:rPr>
                                      <w:t>ριτοναβίρη</w:t>
                                    </w:r>
                                    <w:r w:rsidRPr="00F7301B">
                                      <w:rPr>
                                        <w:rStyle w:val="FontStyle41"/>
                                        <w:lang w:eastAsia="el-GR"/>
                                      </w:rPr>
                                      <w:t xml:space="preserve"> </w:t>
                                    </w:r>
                                    <w:r>
                                      <w:rPr>
                                        <w:rStyle w:val="FontStyle41"/>
                                        <w:lang w:eastAsia="el-GR"/>
                                      </w:rPr>
                                      <w:t xml:space="preserve">100 mg BID, 8 </w:t>
                                    </w: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rPr>
                                    </w:pPr>
                                    <w:r>
                                      <w:rPr>
                                        <w:rStyle w:val="FontStyle41"/>
                                      </w:rPr>
                                      <w:t xml:space="preserve">Aleglitazar 0,3 mg, 7 </w:t>
                                    </w:r>
                                    <w:r>
                                      <w:rPr>
                                        <w:rStyle w:val="FontStyle41"/>
                                        <w:lang w:val="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40 </w:t>
                                    </w:r>
                                    <w:r>
                                      <w:rPr>
                                        <w:rStyle w:val="FontStyle41"/>
                                        <w:lang w:eastAsia="el-GR"/>
                                      </w:rPr>
                                      <w:t xml:space="preserve">mg,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rPr>
                                    </w:pPr>
                                    <w:r>
                                      <w:rPr>
                                        <w:rStyle w:val="FontStyle41"/>
                                      </w:rPr>
                                      <w:t xml:space="preserve">Silymarin 140 mg TID, 5 </w:t>
                                    </w:r>
                                    <w:r>
                                      <w:rPr>
                                        <w:rStyle w:val="FontStyle41"/>
                                        <w:lang w:val="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eastAsia="el-GR"/>
                                      </w:rPr>
                                    </w:pPr>
                                    <w:r>
                                      <w:rPr>
                                        <w:rStyle w:val="FontStyle41"/>
                                        <w:lang w:val="el-GR" w:eastAsia="el-GR"/>
                                      </w:rPr>
                                      <w:t xml:space="preserve">Φαινοφιβράτη </w:t>
                                    </w:r>
                                    <w:r>
                                      <w:rPr>
                                        <w:rStyle w:val="FontStyle41"/>
                                        <w:lang w:eastAsia="el-GR"/>
                                      </w:rPr>
                                      <w:t>67 mg TID, 7</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Ριφαμπίνη 450 </w:t>
                                    </w:r>
                                    <w:r>
                                      <w:rPr>
                                        <w:rStyle w:val="FontStyle41"/>
                                        <w:lang w:eastAsia="el-GR"/>
                                      </w:rPr>
                                      <w:t xml:space="preserve">mg OD, </w:t>
                                    </w:r>
                                    <w:r>
                                      <w:rPr>
                                        <w:rStyle w:val="FontStyle41"/>
                                        <w:lang w:val="el-GR" w:eastAsia="el-GR"/>
                                      </w:rPr>
                                      <w:t>7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20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Κετοκοναζόλη 200 </w:t>
                                    </w:r>
                                    <w:r>
                                      <w:rPr>
                                        <w:rStyle w:val="FontStyle41"/>
                                        <w:lang w:eastAsia="el-GR"/>
                                      </w:rPr>
                                      <w:t xml:space="preserve">mg BID, </w:t>
                                    </w:r>
                                    <w:r>
                                      <w:rPr>
                                        <w:rStyle w:val="FontStyle41"/>
                                        <w:lang w:val="el-GR" w:eastAsia="el-GR"/>
                                      </w:rPr>
                                      <w:t>7</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Φλουκοναζόλη 200 </w:t>
                                    </w:r>
                                    <w:r>
                                      <w:rPr>
                                        <w:rStyle w:val="FontStyle41"/>
                                        <w:lang w:eastAsia="el-GR"/>
                                      </w:rPr>
                                      <w:t xml:space="preserve">mg OD, </w:t>
                                    </w:r>
                                    <w:r>
                                      <w:rPr>
                                        <w:rStyle w:val="FontStyle41"/>
                                        <w:lang w:val="el-GR" w:eastAsia="el-GR"/>
                                      </w:rPr>
                                      <w:t>11</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bl>
                          </w:txbxContent>
                        </wps:txbx>
                        <wps:bodyPr rot="0" vert="horz" wrap="square" lIns="0" tIns="0" rIns="0" bIns="0" anchor="t" anchorCtr="0" upright="1">
                          <a:noAutofit/>
                        </wps:bodyPr>
                      </wps:wsp>
                      <wps:wsp>
                        <wps:cNvPr id="10" name="Text Box 4"/>
                        <wps:cNvSpPr txBox="1">
                          <a:spLocks noChangeArrowheads="1"/>
                        </wps:cNvSpPr>
                        <wps:spPr bwMode="auto">
                          <a:xfrm>
                            <a:off x="1397" y="5011"/>
                            <a:ext cx="8971" cy="73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317F9" w:rsidRDefault="00E317F9">
                              <w:pPr>
                                <w:pStyle w:val="Style19"/>
                                <w:widowControl/>
                                <w:tabs>
                                  <w:tab w:val="left" w:leader="underscore" w:pos="7046"/>
                                  <w:tab w:val="left" w:pos="7171"/>
                                  <w:tab w:val="left" w:pos="7488"/>
                                </w:tabs>
                                <w:spacing w:line="240" w:lineRule="exact"/>
                                <w:rPr>
                                  <w:rStyle w:val="FontStyle39"/>
                                  <w:u w:val="single"/>
                                  <w:lang w:val="el-GR" w:eastAsia="el-GR"/>
                                </w:rPr>
                              </w:pPr>
                              <w:r>
                                <w:rPr>
                                  <w:rStyle w:val="FontStyle39"/>
                                  <w:lang w:val="el-GR" w:eastAsia="el-GR"/>
                                </w:rPr>
                                <w:t>Αλληλεπιδρών δοσολογικό               Δοσολογικό σχήμα</w:t>
                              </w:r>
                              <w:r>
                                <w:rPr>
                                  <w:rStyle w:val="FontStyle39"/>
                                  <w:rFonts w:ascii="Times New Roman" w:hAnsi="Times New Roman" w:cs="Times New Roman"/>
                                  <w:b w:val="0"/>
                                  <w:bCs w:val="0"/>
                                  <w:sz w:val="20"/>
                                  <w:szCs w:val="20"/>
                                  <w:lang w:val="el-GR" w:eastAsia="el-GR"/>
                                </w:rPr>
                                <w:tab/>
                              </w:r>
                              <w:r>
                                <w:rPr>
                                  <w:rStyle w:val="FontStyle39"/>
                                  <w:lang w:val="el-GR" w:eastAsia="el-GR"/>
                                </w:rPr>
                                <w:t>Μεταβολή στην</w:t>
                              </w:r>
                              <w:r>
                                <w:rPr>
                                  <w:rStyle w:val="FontStyle39"/>
                                  <w:lang w:val="el-GR" w:eastAsia="el-GR"/>
                                </w:rPr>
                                <w:br/>
                                <w:t>σχήμα                                             ροσουβαστατίνης</w:t>
                              </w:r>
                              <w:r>
                                <w:rPr>
                                  <w:rStyle w:val="FontStyle39"/>
                                  <w:rFonts w:ascii="Times New Roman" w:hAnsi="Times New Roman" w:cs="Times New Roman"/>
                                  <w:b w:val="0"/>
                                  <w:bCs w:val="0"/>
                                  <w:sz w:val="20"/>
                                  <w:szCs w:val="20"/>
                                  <w:lang w:val="el-GR" w:eastAsia="el-GR"/>
                                </w:rPr>
                                <w:tab/>
                              </w:r>
                              <w:r>
                                <w:rPr>
                                  <w:rStyle w:val="FontStyle39"/>
                                  <w:lang w:eastAsia="el-GR"/>
                                </w:rPr>
                                <w:t>AUC</w:t>
                              </w:r>
                              <w:r w:rsidRPr="00F7301B">
                                <w:rPr>
                                  <w:rStyle w:val="FontStyle39"/>
                                  <w:lang w:val="el-GR" w:eastAsia="el-GR"/>
                                </w:rPr>
                                <w:t xml:space="preserve">* </w:t>
                              </w:r>
                              <w:r>
                                <w:rPr>
                                  <w:rStyle w:val="FontStyle39"/>
                                  <w:lang w:val="el-GR" w:eastAsia="el-GR"/>
                                </w:rPr>
                                <w:t>της</w:t>
                              </w:r>
                              <w:r>
                                <w:rPr>
                                  <w:rStyle w:val="FontStyle39"/>
                                  <w:lang w:val="el-GR" w:eastAsia="el-GR"/>
                                </w:rPr>
                                <w:br/>
                              </w:r>
                              <w:r w:rsidRPr="00F7301B">
                                <w:rPr>
                                  <w:rStyle w:val="FontStyle39"/>
                                  <w:lang w:val="el-GR" w:eastAsia="el-GR"/>
                                </w:rPr>
                                <w:tab/>
                              </w:r>
                              <w:r>
                                <w:rPr>
                                  <w:rStyle w:val="FontStyle39"/>
                                  <w:u w:val="single"/>
                                  <w:lang w:val="el-GR" w:eastAsia="el-GR"/>
                                </w:rPr>
                                <w:t>ροσουβαστατίνης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5pt;margin-top:71.3pt;width:451.45pt;height:529.2pt;z-index:251658240;mso-wrap-distance-left:1.9pt;mso-wrap-distance-top:2.15pt;mso-wrap-distance-right:1.9pt;mso-position-horizontal-relative:margin" coordorigin="1339,5011" coordsize="9029,1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1339;top:5726;width:8847;height:9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954"/>
                          <w:gridCol w:w="1277"/>
                          <w:gridCol w:w="556"/>
                          <w:gridCol w:w="125"/>
                          <w:gridCol w:w="615"/>
                          <w:gridCol w:w="1963"/>
                          <w:gridCol w:w="311"/>
                          <w:gridCol w:w="29"/>
                          <w:gridCol w:w="1407"/>
                          <w:gridCol w:w="609"/>
                          <w:gridCol w:w="437"/>
                          <w:gridCol w:w="591"/>
                        </w:tblGrid>
                        <w:tr w:rsidR="00E317F9">
                          <w:tblPrEx>
                            <w:tblCellMar>
                              <w:top w:w="0" w:type="dxa"/>
                              <w:bottom w:w="0" w:type="dxa"/>
                            </w:tblCellMar>
                          </w:tblPrEx>
                          <w:trPr>
                            <w:gridAfter w:val="2"/>
                            <w:wAfter w:w="1028" w:type="dxa"/>
                          </w:trPr>
                          <w:tc>
                            <w:tcPr>
                              <w:tcW w:w="3912" w:type="dxa"/>
                              <w:gridSpan w:val="4"/>
                              <w:tcBorders>
                                <w:top w:val="single" w:sz="6" w:space="0" w:color="auto"/>
                                <w:left w:val="nil"/>
                                <w:bottom w:val="nil"/>
                                <w:right w:val="nil"/>
                              </w:tcBorders>
                            </w:tcPr>
                            <w:p w:rsidR="00E317F9" w:rsidRDefault="00E317F9">
                              <w:pPr>
                                <w:pStyle w:val="Style15"/>
                                <w:widowControl/>
                                <w:ind w:firstLine="5"/>
                                <w:rPr>
                                  <w:rStyle w:val="FontStyle41"/>
                                  <w:lang w:val="el-GR" w:eastAsia="el-GR"/>
                                </w:rPr>
                              </w:pPr>
                              <w:r>
                                <w:rPr>
                                  <w:rStyle w:val="FontStyle41"/>
                                  <w:lang w:val="el-GR" w:eastAsia="el-GR"/>
                                </w:rPr>
                                <w:t xml:space="preserve">Κυκλοσπορίνη 75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 xml:space="preserve">έως 200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6 μήνες</w:t>
                              </w:r>
                            </w:p>
                          </w:tc>
                          <w:tc>
                            <w:tcPr>
                              <w:tcW w:w="2918" w:type="dxa"/>
                              <w:gridSpan w:val="4"/>
                              <w:tcBorders>
                                <w:top w:val="single" w:sz="6" w:space="0" w:color="auto"/>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OD, </w:t>
                              </w:r>
                              <w:r>
                                <w:rPr>
                                  <w:rStyle w:val="FontStyle41"/>
                                  <w:lang w:val="el-GR" w:eastAsia="el-GR"/>
                                </w:rPr>
                                <w:t>10 ημερών</w:t>
                              </w:r>
                            </w:p>
                          </w:tc>
                          <w:tc>
                            <w:tcPr>
                              <w:tcW w:w="2016" w:type="dxa"/>
                              <w:gridSpan w:val="2"/>
                              <w:tcBorders>
                                <w:top w:val="single" w:sz="6" w:space="0" w:color="auto"/>
                                <w:left w:val="nil"/>
                                <w:bottom w:val="nil"/>
                                <w:right w:val="nil"/>
                              </w:tcBorders>
                            </w:tcPr>
                            <w:p w:rsidR="00E317F9" w:rsidRDefault="00E317F9">
                              <w:pPr>
                                <w:pStyle w:val="Style15"/>
                                <w:widowControl/>
                                <w:spacing w:line="240" w:lineRule="auto"/>
                                <w:ind w:left="518"/>
                                <w:rPr>
                                  <w:rStyle w:val="FontStyle38"/>
                                  <w:lang w:eastAsia="el-GR"/>
                                </w:rPr>
                              </w:pPr>
                              <w:r>
                                <w:rPr>
                                  <w:rStyle w:val="FontStyle41"/>
                                  <w:lang w:val="el-GR" w:eastAsia="el-GR"/>
                                </w:rPr>
                                <w:t xml:space="preserve">7,1-φορές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exact"/>
                                <w:ind w:left="10" w:hanging="10"/>
                                <w:rPr>
                                  <w:rStyle w:val="FontStyle41"/>
                                  <w:lang w:val="el-GR" w:eastAsia="el-GR"/>
                                </w:rPr>
                              </w:pPr>
                              <w:r>
                                <w:rPr>
                                  <w:rStyle w:val="FontStyle41"/>
                                  <w:lang w:val="el-GR" w:eastAsia="el-GR"/>
                                </w:rPr>
                                <w:t xml:space="preserve">Αταζαναβίρη 300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100 </w:t>
                              </w:r>
                              <w:r>
                                <w:rPr>
                                  <w:rStyle w:val="FontStyle41"/>
                                  <w:lang w:eastAsia="el-GR"/>
                                </w:rPr>
                                <w:t>mg</w:t>
                              </w:r>
                              <w:r w:rsidRPr="00F7301B">
                                <w:rPr>
                                  <w:rStyle w:val="FontStyle41"/>
                                  <w:lang w:val="el-GR" w:eastAsia="el-GR"/>
                                </w:rPr>
                                <w:t xml:space="preserve"> </w:t>
                              </w:r>
                              <w:r>
                                <w:rPr>
                                  <w:rStyle w:val="FontStyle41"/>
                                  <w:lang w:eastAsia="el-GR"/>
                                </w:rPr>
                                <w:t>OD</w:t>
                              </w:r>
                              <w:r w:rsidRPr="00F7301B">
                                <w:rPr>
                                  <w:rStyle w:val="FontStyle41"/>
                                  <w:lang w:val="el-GR" w:eastAsia="el-GR"/>
                                </w:rPr>
                                <w:t xml:space="preserve">, </w:t>
                              </w:r>
                              <w:r>
                                <w:rPr>
                                  <w:rStyle w:val="FontStyle41"/>
                                  <w:lang w:val="el-GR" w:eastAsia="el-GR"/>
                                </w:rPr>
                                <w:t>8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18"/>
                                <w:rPr>
                                  <w:rStyle w:val="FontStyle38"/>
                                  <w:lang w:eastAsia="el-GR"/>
                                </w:rPr>
                              </w:pPr>
                              <w:r>
                                <w:rPr>
                                  <w:rStyle w:val="FontStyle41"/>
                                  <w:lang w:val="el-GR" w:eastAsia="el-GR"/>
                                </w:rPr>
                                <w:t xml:space="preserve">3,1-φορές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5" w:lineRule="exact"/>
                                <w:ind w:left="10" w:hanging="10"/>
                                <w:rPr>
                                  <w:rStyle w:val="FontStyle41"/>
                                  <w:lang w:val="el-GR" w:eastAsia="el-GR"/>
                                </w:rPr>
                              </w:pPr>
                              <w:r>
                                <w:rPr>
                                  <w:rStyle w:val="FontStyle41"/>
                                  <w:lang w:val="el-GR" w:eastAsia="el-GR"/>
                                </w:rPr>
                                <w:t xml:space="preserve">Λοπιναβίρη 400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100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17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20 </w:t>
                              </w:r>
                              <w:r>
                                <w:rPr>
                                  <w:rStyle w:val="FontStyle41"/>
                                  <w:lang w:eastAsia="el-GR"/>
                                </w:rPr>
                                <w:t xml:space="preserve">mg OD,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15"/>
                                <w:widowControl/>
                                <w:spacing w:line="240" w:lineRule="auto"/>
                                <w:ind w:left="518"/>
                                <w:rPr>
                                  <w:rStyle w:val="FontStyle38"/>
                                  <w:lang w:eastAsia="el-GR"/>
                                </w:rPr>
                              </w:pPr>
                              <w:r>
                                <w:rPr>
                                  <w:rStyle w:val="FontStyle41"/>
                                  <w:lang w:val="el-GR" w:eastAsia="el-GR"/>
                                </w:rPr>
                                <w:t xml:space="preserve">2,1-φορές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5" w:lineRule="exact"/>
                                <w:ind w:firstLine="5"/>
                                <w:rPr>
                                  <w:rStyle w:val="FontStyle41"/>
                                  <w:lang w:val="el-GR" w:eastAsia="el-GR"/>
                                </w:rPr>
                              </w:pPr>
                              <w:r>
                                <w:rPr>
                                  <w:rStyle w:val="FontStyle41"/>
                                  <w:lang w:val="el-GR" w:eastAsia="el-GR"/>
                                </w:rPr>
                                <w:t xml:space="preserve">Κλοπιδογρέλη 300 </w:t>
                              </w:r>
                              <w:r>
                                <w:rPr>
                                  <w:rStyle w:val="FontStyle41"/>
                                  <w:lang w:eastAsia="el-GR"/>
                                </w:rPr>
                                <w:t>mg</w:t>
                              </w:r>
                              <w:r w:rsidRPr="00F7301B">
                                <w:rPr>
                                  <w:rStyle w:val="FontStyle41"/>
                                  <w:lang w:val="el-GR" w:eastAsia="el-GR"/>
                                </w:rPr>
                                <w:t xml:space="preserve"> </w:t>
                              </w:r>
                              <w:r>
                                <w:rPr>
                                  <w:rStyle w:val="FontStyle41"/>
                                  <w:lang w:val="el-GR" w:eastAsia="el-GR"/>
                                </w:rPr>
                                <w:t xml:space="preserve">δόση φόρτισης, ακολουθείται από 75 </w:t>
                              </w:r>
                              <w:r>
                                <w:rPr>
                                  <w:rStyle w:val="FontStyle41"/>
                                  <w:lang w:eastAsia="el-GR"/>
                                </w:rPr>
                                <w:t>mg</w:t>
                              </w:r>
                              <w:r w:rsidRPr="00F7301B">
                                <w:rPr>
                                  <w:rStyle w:val="FontStyle41"/>
                                  <w:lang w:val="el-GR" w:eastAsia="el-GR"/>
                                </w:rPr>
                                <w:t xml:space="preserve"> </w:t>
                              </w:r>
                              <w:r>
                                <w:rPr>
                                  <w:rStyle w:val="FontStyle41"/>
                                  <w:lang w:val="el-GR" w:eastAsia="el-GR"/>
                                </w:rPr>
                                <w:t>μετά από 24 ώρες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20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725"/>
                                <w:rPr>
                                  <w:rStyle w:val="FontStyle41"/>
                                  <w:lang w:val="el-GR"/>
                                </w:rPr>
                              </w:pPr>
                              <w:r>
                                <w:rPr>
                                  <w:rStyle w:val="FontStyle41"/>
                                </w:rPr>
                                <w:t xml:space="preserve">2 </w:t>
                              </w:r>
                              <w:r>
                                <w:rPr>
                                  <w:rStyle w:val="FontStyle41"/>
                                  <w:lang w:val="el-GR"/>
                                </w:rPr>
                                <w:t>φορές</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Γεμφιβροζίλη 600 </w:t>
                              </w:r>
                              <w:r>
                                <w:rPr>
                                  <w:rStyle w:val="FontStyle41"/>
                                  <w:lang w:eastAsia="el-GR"/>
                                </w:rPr>
                                <w:t xml:space="preserve">mg BID, </w:t>
                              </w:r>
                              <w:r>
                                <w:rPr>
                                  <w:rStyle w:val="FontStyle41"/>
                                  <w:lang w:val="el-GR" w:eastAsia="el-GR"/>
                                </w:rPr>
                                <w:t>7</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33"/>
                                <w:rPr>
                                  <w:rStyle w:val="FontStyle38"/>
                                  <w:lang w:eastAsia="el-GR"/>
                                </w:rPr>
                              </w:pPr>
                              <w:r>
                                <w:rPr>
                                  <w:rStyle w:val="FontStyle41"/>
                                  <w:lang w:val="el-GR" w:eastAsia="el-GR"/>
                                </w:rPr>
                                <w:t xml:space="preserve">1,9-φορές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rPr>
                              </w:pPr>
                              <w:r>
                                <w:rPr>
                                  <w:rStyle w:val="FontStyle41"/>
                                </w:rPr>
                                <w:t xml:space="preserve">Eltrombopag </w:t>
                              </w:r>
                              <w:r>
                                <w:rPr>
                                  <w:rStyle w:val="FontStyle41"/>
                                  <w:lang w:val="el-GR"/>
                                </w:rPr>
                                <w:t xml:space="preserve">75 </w:t>
                              </w:r>
                              <w:r>
                                <w:rPr>
                                  <w:rStyle w:val="FontStyle41"/>
                                </w:rPr>
                                <w:t xml:space="preserve">mg OD, </w:t>
                              </w:r>
                              <w:r>
                                <w:rPr>
                                  <w:rStyle w:val="FontStyle41"/>
                                  <w:lang w:val="el-GR"/>
                                </w:rPr>
                                <w:t>10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1,6-φορές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exact"/>
                                <w:ind w:left="10" w:hanging="10"/>
                                <w:rPr>
                                  <w:rStyle w:val="FontStyle41"/>
                                  <w:lang w:val="el-GR" w:eastAsia="el-GR"/>
                                </w:rPr>
                              </w:pPr>
                              <w:r>
                                <w:rPr>
                                  <w:rStyle w:val="FontStyle41"/>
                                  <w:lang w:val="el-GR" w:eastAsia="el-GR"/>
                                </w:rPr>
                                <w:t xml:space="preserve">Δαρουναβίρη 600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100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7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OD,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1,5-φορές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5" w:lineRule="exact"/>
                                <w:ind w:left="14" w:hanging="14"/>
                                <w:rPr>
                                  <w:rStyle w:val="FontStyle41"/>
                                  <w:lang w:val="el-GR" w:eastAsia="el-GR"/>
                                </w:rPr>
                              </w:pPr>
                              <w:r>
                                <w:rPr>
                                  <w:rStyle w:val="FontStyle41"/>
                                  <w:lang w:val="el-GR" w:eastAsia="el-GR"/>
                                </w:rPr>
                                <w:t xml:space="preserve">Τιπραναβίρη 500 </w:t>
                              </w:r>
                              <w:r>
                                <w:rPr>
                                  <w:rStyle w:val="FontStyle41"/>
                                  <w:lang w:eastAsia="el-GR"/>
                                </w:rPr>
                                <w:t>mg</w:t>
                              </w:r>
                              <w:r w:rsidRPr="00F7301B">
                                <w:rPr>
                                  <w:rStyle w:val="FontStyle41"/>
                                  <w:lang w:val="el-GR" w:eastAsia="el-GR"/>
                                </w:rPr>
                                <w:t xml:space="preserve">/ </w:t>
                              </w:r>
                              <w:r>
                                <w:rPr>
                                  <w:rStyle w:val="FontStyle41"/>
                                  <w:lang w:val="el-GR" w:eastAsia="el-GR"/>
                                </w:rPr>
                                <w:t xml:space="preserve">ριτοναβίρη 200 </w:t>
                              </w:r>
                              <w:r>
                                <w:rPr>
                                  <w:rStyle w:val="FontStyle41"/>
                                  <w:lang w:eastAsia="el-GR"/>
                                </w:rPr>
                                <w:t>mg</w:t>
                              </w:r>
                              <w:r w:rsidRPr="00F7301B">
                                <w:rPr>
                                  <w:rStyle w:val="FontStyle41"/>
                                  <w:lang w:val="el-GR" w:eastAsia="el-GR"/>
                                </w:rPr>
                                <w:t xml:space="preserve"> </w:t>
                              </w:r>
                              <w:r>
                                <w:rPr>
                                  <w:rStyle w:val="FontStyle41"/>
                                  <w:lang w:eastAsia="el-GR"/>
                                </w:rPr>
                                <w:t>BID</w:t>
                              </w:r>
                              <w:r w:rsidRPr="00F7301B">
                                <w:rPr>
                                  <w:rStyle w:val="FontStyle41"/>
                                  <w:lang w:val="el-GR" w:eastAsia="el-GR"/>
                                </w:rPr>
                                <w:t xml:space="preserve">, </w:t>
                              </w:r>
                              <w:r>
                                <w:rPr>
                                  <w:rStyle w:val="FontStyle41"/>
                                  <w:lang w:val="el-GR" w:eastAsia="el-GR"/>
                                </w:rPr>
                                <w:t>11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1,4-φορές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eastAsia="el-GR"/>
                                </w:rPr>
                              </w:pPr>
                              <w:r>
                                <w:rPr>
                                  <w:rStyle w:val="FontStyle41"/>
                                  <w:lang w:val="el-GR" w:eastAsia="el-GR"/>
                                </w:rPr>
                                <w:t xml:space="preserve">Δρονεδαρόνη 400 </w:t>
                              </w:r>
                              <w:r>
                                <w:rPr>
                                  <w:rStyle w:val="FontStyle41"/>
                                  <w:lang w:eastAsia="el-GR"/>
                                </w:rPr>
                                <w:t>mg BID</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Μη διαθέσιμο</w:t>
                              </w:r>
                            </w:p>
                          </w:tc>
                          <w:tc>
                            <w:tcPr>
                              <w:tcW w:w="2016" w:type="dxa"/>
                              <w:gridSpan w:val="2"/>
                              <w:tcBorders>
                                <w:top w:val="nil"/>
                                <w:left w:val="nil"/>
                                <w:bottom w:val="nil"/>
                                <w:right w:val="nil"/>
                              </w:tcBorders>
                            </w:tcPr>
                            <w:p w:rsidR="00E317F9" w:rsidRDefault="00E317F9">
                              <w:pPr>
                                <w:pStyle w:val="Style15"/>
                                <w:widowControl/>
                                <w:spacing w:line="240" w:lineRule="auto"/>
                                <w:ind w:left="538"/>
                                <w:rPr>
                                  <w:rStyle w:val="FontStyle38"/>
                                  <w:lang w:eastAsia="el-GR"/>
                                </w:rPr>
                              </w:pPr>
                              <w:r>
                                <w:rPr>
                                  <w:rStyle w:val="FontStyle41"/>
                                  <w:lang w:val="el-GR" w:eastAsia="el-GR"/>
                                </w:rPr>
                                <w:t xml:space="preserve">1,4-φορές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Ιτρακοναζόλη 200 </w:t>
                              </w:r>
                              <w:r>
                                <w:rPr>
                                  <w:rStyle w:val="FontStyle41"/>
                                  <w:lang w:eastAsia="el-GR"/>
                                </w:rPr>
                                <w:t xml:space="preserve">mg OD, </w:t>
                              </w:r>
                              <w:r>
                                <w:rPr>
                                  <w:rStyle w:val="FontStyle41"/>
                                  <w:lang w:val="el-GR" w:eastAsia="el-GR"/>
                                </w:rPr>
                                <w:t>5</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15"/>
                                <w:widowControl/>
                                <w:spacing w:line="240" w:lineRule="auto"/>
                                <w:ind w:left="408"/>
                                <w:rPr>
                                  <w:rStyle w:val="FontStyle38"/>
                                  <w:lang w:eastAsia="el-GR"/>
                                </w:rPr>
                              </w:pPr>
                              <w:r>
                                <w:rPr>
                                  <w:rStyle w:val="FontStyle41"/>
                                  <w:lang w:val="el-GR" w:eastAsia="el-GR"/>
                                </w:rPr>
                                <w:t xml:space="preserve">1,4-φορές </w:t>
                              </w:r>
                              <w:r>
                                <w:rPr>
                                  <w:rStyle w:val="FontStyle38"/>
                                  <w:lang w:eastAsia="el-GR"/>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Εζετιμίμπη 10 </w:t>
                              </w:r>
                              <w:r>
                                <w:rPr>
                                  <w:rStyle w:val="FontStyle41"/>
                                  <w:lang w:eastAsia="el-GR"/>
                                </w:rPr>
                                <w:t xml:space="preserve">mg OD, </w:t>
                              </w:r>
                              <w:r>
                                <w:rPr>
                                  <w:rStyle w:val="FontStyle41"/>
                                  <w:lang w:val="el-GR" w:eastAsia="el-GR"/>
                                </w:rPr>
                                <w:t>14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OD, </w:t>
                              </w:r>
                              <w:r>
                                <w:rPr>
                                  <w:rStyle w:val="FontStyle41"/>
                                  <w:lang w:val="el-GR" w:eastAsia="el-GR"/>
                                </w:rPr>
                                <w:t>14 ημερών</w:t>
                              </w:r>
                            </w:p>
                          </w:tc>
                          <w:tc>
                            <w:tcPr>
                              <w:tcW w:w="2016" w:type="dxa"/>
                              <w:gridSpan w:val="2"/>
                              <w:tcBorders>
                                <w:top w:val="nil"/>
                                <w:left w:val="nil"/>
                                <w:bottom w:val="nil"/>
                                <w:right w:val="nil"/>
                              </w:tcBorders>
                            </w:tcPr>
                            <w:p w:rsidR="00E317F9" w:rsidRDefault="00E317F9">
                              <w:pPr>
                                <w:pStyle w:val="Style15"/>
                                <w:widowControl/>
                                <w:spacing w:line="240" w:lineRule="auto"/>
                                <w:ind w:left="413"/>
                                <w:rPr>
                                  <w:rStyle w:val="FontStyle38"/>
                                </w:rPr>
                              </w:pPr>
                              <w:r>
                                <w:rPr>
                                  <w:rStyle w:val="FontStyle41"/>
                                </w:rPr>
                                <w:t xml:space="preserve">1,2- </w:t>
                              </w:r>
                              <w:r>
                                <w:rPr>
                                  <w:rStyle w:val="FontStyle41"/>
                                  <w:lang w:val="el-GR"/>
                                </w:rPr>
                                <w:t xml:space="preserve">φορές </w:t>
                              </w:r>
                              <w:r>
                                <w:rPr>
                                  <w:rStyle w:val="FontStyle38"/>
                                </w:rPr>
                                <w:t>t**</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Pr="00F7301B" w:rsidRDefault="00E317F9">
                              <w:pPr>
                                <w:pStyle w:val="Style15"/>
                                <w:widowControl/>
                                <w:spacing w:line="235" w:lineRule="exact"/>
                                <w:ind w:left="5" w:hanging="5"/>
                                <w:rPr>
                                  <w:rStyle w:val="FontStyle41"/>
                                  <w:lang w:eastAsia="el-GR"/>
                                </w:rPr>
                              </w:pPr>
                              <w:r>
                                <w:rPr>
                                  <w:rStyle w:val="FontStyle41"/>
                                  <w:lang w:val="el-GR" w:eastAsia="el-GR"/>
                                </w:rPr>
                                <w:t>Φοσαμπρεναβίρη</w:t>
                              </w:r>
                              <w:r w:rsidRPr="00F7301B">
                                <w:rPr>
                                  <w:rStyle w:val="FontStyle41"/>
                                  <w:lang w:eastAsia="el-GR"/>
                                </w:rPr>
                                <w:t xml:space="preserve"> 700 </w:t>
                              </w:r>
                              <w:r>
                                <w:rPr>
                                  <w:rStyle w:val="FontStyle41"/>
                                  <w:lang w:eastAsia="el-GR"/>
                                </w:rPr>
                                <w:t xml:space="preserve">mg/ </w:t>
                              </w:r>
                              <w:r>
                                <w:rPr>
                                  <w:rStyle w:val="FontStyle41"/>
                                  <w:lang w:val="el-GR" w:eastAsia="el-GR"/>
                                </w:rPr>
                                <w:t>ριτοναβίρη</w:t>
                              </w:r>
                              <w:r w:rsidRPr="00F7301B">
                                <w:rPr>
                                  <w:rStyle w:val="FontStyle41"/>
                                  <w:lang w:eastAsia="el-GR"/>
                                </w:rPr>
                                <w:t xml:space="preserve"> </w:t>
                              </w:r>
                              <w:r>
                                <w:rPr>
                                  <w:rStyle w:val="FontStyle41"/>
                                  <w:lang w:eastAsia="el-GR"/>
                                </w:rPr>
                                <w:t xml:space="preserve">100 mg BID, 8 </w:t>
                              </w: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rPr>
                              </w:pPr>
                              <w:r>
                                <w:rPr>
                                  <w:rStyle w:val="FontStyle41"/>
                                </w:rPr>
                                <w:t xml:space="preserve">Aleglitazar 0,3 mg, 7 </w:t>
                              </w:r>
                              <w:r>
                                <w:rPr>
                                  <w:rStyle w:val="FontStyle41"/>
                                  <w:lang w:val="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40 </w:t>
                              </w:r>
                              <w:r>
                                <w:rPr>
                                  <w:rStyle w:val="FontStyle41"/>
                                  <w:lang w:eastAsia="el-GR"/>
                                </w:rPr>
                                <w:t xml:space="preserve">mg,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rPr>
                              </w:pPr>
                              <w:r>
                                <w:rPr>
                                  <w:rStyle w:val="FontStyle41"/>
                                </w:rPr>
                                <w:t xml:space="preserve">Silymarin 140 mg TID, 5 </w:t>
                              </w:r>
                              <w:r>
                                <w:rPr>
                                  <w:rStyle w:val="FontStyle41"/>
                                  <w:lang w:val="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eastAsia="el-GR"/>
                                </w:rPr>
                              </w:pPr>
                              <w:r>
                                <w:rPr>
                                  <w:rStyle w:val="FontStyle41"/>
                                  <w:lang w:val="el-GR" w:eastAsia="el-GR"/>
                                </w:rPr>
                                <w:t xml:space="preserve">Φαινοφιβράτη </w:t>
                              </w:r>
                              <w:r>
                                <w:rPr>
                                  <w:rStyle w:val="FontStyle41"/>
                                  <w:lang w:eastAsia="el-GR"/>
                                </w:rPr>
                                <w:t>67 mg TID, 7</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10 </w:t>
                              </w:r>
                              <w:r>
                                <w:rPr>
                                  <w:rStyle w:val="FontStyle41"/>
                                  <w:lang w:eastAsia="el-GR"/>
                                </w:rPr>
                                <w:t xml:space="preserve">mg, </w:t>
                              </w:r>
                              <w:r>
                                <w:rPr>
                                  <w:rStyle w:val="FontStyle41"/>
                                  <w:lang w:val="el-GR" w:eastAsia="el-GR"/>
                                </w:rPr>
                                <w:t>7 ημερών</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Ριφαμπίνη 450 </w:t>
                              </w:r>
                              <w:r>
                                <w:rPr>
                                  <w:rStyle w:val="FontStyle41"/>
                                  <w:lang w:eastAsia="el-GR"/>
                                </w:rPr>
                                <w:t xml:space="preserve">mg OD, </w:t>
                              </w:r>
                              <w:r>
                                <w:rPr>
                                  <w:rStyle w:val="FontStyle41"/>
                                  <w:lang w:val="el-GR" w:eastAsia="el-GR"/>
                                </w:rPr>
                                <w:t>7 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20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Κετοκοναζόλη 200 </w:t>
                              </w:r>
                              <w:r>
                                <w:rPr>
                                  <w:rStyle w:val="FontStyle41"/>
                                  <w:lang w:eastAsia="el-GR"/>
                                </w:rPr>
                                <w:t xml:space="preserve">mg BID, </w:t>
                              </w:r>
                              <w:r>
                                <w:rPr>
                                  <w:rStyle w:val="FontStyle41"/>
                                  <w:lang w:val="el-GR" w:eastAsia="el-GR"/>
                                </w:rPr>
                                <w:t>7</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r w:rsidR="00E317F9">
                          <w:tblPrEx>
                            <w:tblCellMar>
                              <w:top w:w="0" w:type="dxa"/>
                              <w:bottom w:w="0" w:type="dxa"/>
                            </w:tblCellMar>
                          </w:tblPrEx>
                          <w:trPr>
                            <w:gridAfter w:val="2"/>
                            <w:wAfter w:w="1028" w:type="dxa"/>
                          </w:trPr>
                          <w:tc>
                            <w:tcPr>
                              <w:tcW w:w="3912" w:type="dxa"/>
                              <w:gridSpan w:val="4"/>
                              <w:tcBorders>
                                <w:top w:val="nil"/>
                                <w:left w:val="nil"/>
                                <w:bottom w:val="nil"/>
                                <w:right w:val="nil"/>
                              </w:tcBorders>
                            </w:tcPr>
                            <w:p w:rsidR="00E317F9" w:rsidRDefault="00E317F9">
                              <w:pPr>
                                <w:pStyle w:val="Style15"/>
                                <w:widowControl/>
                                <w:spacing w:line="240" w:lineRule="auto"/>
                                <w:rPr>
                                  <w:rStyle w:val="FontStyle41"/>
                                  <w:lang w:val="el-GR" w:eastAsia="el-GR"/>
                                </w:rPr>
                              </w:pPr>
                              <w:r>
                                <w:rPr>
                                  <w:rStyle w:val="FontStyle41"/>
                                  <w:lang w:val="el-GR" w:eastAsia="el-GR"/>
                                </w:rPr>
                                <w:t xml:space="preserve">Φλουκοναζόλη 200 </w:t>
                              </w:r>
                              <w:r>
                                <w:rPr>
                                  <w:rStyle w:val="FontStyle41"/>
                                  <w:lang w:eastAsia="el-GR"/>
                                </w:rPr>
                                <w:t xml:space="preserve">mg OD, </w:t>
                              </w:r>
                              <w:r>
                                <w:rPr>
                                  <w:rStyle w:val="FontStyle41"/>
                                  <w:lang w:val="el-GR" w:eastAsia="el-GR"/>
                                </w:rPr>
                                <w:t>11</w:t>
                              </w:r>
                            </w:p>
                            <w:p w:rsidR="00E317F9" w:rsidRDefault="00E317F9">
                              <w:pPr>
                                <w:pStyle w:val="Style15"/>
                                <w:widowControl/>
                                <w:spacing w:line="240" w:lineRule="auto"/>
                                <w:rPr>
                                  <w:rStyle w:val="FontStyle41"/>
                                  <w:lang w:val="el-GR" w:eastAsia="el-GR"/>
                                </w:rPr>
                              </w:pPr>
                              <w:r>
                                <w:rPr>
                                  <w:rStyle w:val="FontStyle41"/>
                                  <w:lang w:val="el-GR" w:eastAsia="el-GR"/>
                                </w:rPr>
                                <w:t>ημέρες</w:t>
                              </w:r>
                            </w:p>
                          </w:tc>
                          <w:tc>
                            <w:tcPr>
                              <w:tcW w:w="2918" w:type="dxa"/>
                              <w:gridSpan w:val="4"/>
                              <w:tcBorders>
                                <w:top w:val="nil"/>
                                <w:left w:val="nil"/>
                                <w:bottom w:val="nil"/>
                                <w:right w:val="nil"/>
                              </w:tcBorders>
                            </w:tcPr>
                            <w:p w:rsidR="00E317F9" w:rsidRDefault="00E317F9">
                              <w:pPr>
                                <w:pStyle w:val="Style15"/>
                                <w:widowControl/>
                                <w:spacing w:line="240" w:lineRule="auto"/>
                                <w:jc w:val="center"/>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016" w:type="dxa"/>
                              <w:gridSpan w:val="2"/>
                              <w:tcBorders>
                                <w:top w:val="nil"/>
                                <w:left w:val="nil"/>
                                <w:bottom w:val="nil"/>
                                <w:right w:val="nil"/>
                              </w:tcBorders>
                            </w:tcPr>
                            <w:p w:rsidR="00E317F9" w:rsidRDefault="00E317F9">
                              <w:pPr>
                                <w:pStyle w:val="Style26"/>
                                <w:widowControl/>
                                <w:ind w:left="1013"/>
                                <w:rPr>
                                  <w:rStyle w:val="FontStyle38"/>
                                  <w:lang w:val="el-GR" w:eastAsia="el-GR"/>
                                </w:rPr>
                              </w:pPr>
                              <w:r>
                                <w:rPr>
                                  <w:rStyle w:val="FontStyle38"/>
                                  <w:lang w:val="el-GR" w:eastAsia="el-GR"/>
                                </w:rPr>
                                <w:t>ο</w:t>
                              </w:r>
                            </w:p>
                          </w:tc>
                        </w:tr>
                      </w:tbl>
                    </w:txbxContent>
                  </v:textbox>
                </v:shape>
                <v:shape id="Text Box 4" o:spid="_x0000_s1028" type="#_x0000_t202" style="position:absolute;left:1397;top:5011;width:8971;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E317F9" w:rsidRDefault="00E317F9">
                        <w:pPr>
                          <w:pStyle w:val="Style19"/>
                          <w:widowControl/>
                          <w:tabs>
                            <w:tab w:val="left" w:leader="underscore" w:pos="7046"/>
                            <w:tab w:val="left" w:pos="7171"/>
                            <w:tab w:val="left" w:pos="7488"/>
                          </w:tabs>
                          <w:spacing w:line="240" w:lineRule="exact"/>
                          <w:rPr>
                            <w:rStyle w:val="FontStyle39"/>
                            <w:u w:val="single"/>
                            <w:lang w:val="el-GR" w:eastAsia="el-GR"/>
                          </w:rPr>
                        </w:pPr>
                        <w:r>
                          <w:rPr>
                            <w:rStyle w:val="FontStyle39"/>
                            <w:lang w:val="el-GR" w:eastAsia="el-GR"/>
                          </w:rPr>
                          <w:t>Αλληλεπιδρών δοσολογικό               Δοσολογικό σχήμα</w:t>
                        </w:r>
                        <w:r>
                          <w:rPr>
                            <w:rStyle w:val="FontStyle39"/>
                            <w:rFonts w:ascii="Times New Roman" w:hAnsi="Times New Roman" w:cs="Times New Roman"/>
                            <w:b w:val="0"/>
                            <w:bCs w:val="0"/>
                            <w:sz w:val="20"/>
                            <w:szCs w:val="20"/>
                            <w:lang w:val="el-GR" w:eastAsia="el-GR"/>
                          </w:rPr>
                          <w:tab/>
                        </w:r>
                        <w:r>
                          <w:rPr>
                            <w:rStyle w:val="FontStyle39"/>
                            <w:lang w:val="el-GR" w:eastAsia="el-GR"/>
                          </w:rPr>
                          <w:t>Μεταβολή στην</w:t>
                        </w:r>
                        <w:r>
                          <w:rPr>
                            <w:rStyle w:val="FontStyle39"/>
                            <w:lang w:val="el-GR" w:eastAsia="el-GR"/>
                          </w:rPr>
                          <w:br/>
                          <w:t>σχήμα                                             ροσουβαστατίνης</w:t>
                        </w:r>
                        <w:r>
                          <w:rPr>
                            <w:rStyle w:val="FontStyle39"/>
                            <w:rFonts w:ascii="Times New Roman" w:hAnsi="Times New Roman" w:cs="Times New Roman"/>
                            <w:b w:val="0"/>
                            <w:bCs w:val="0"/>
                            <w:sz w:val="20"/>
                            <w:szCs w:val="20"/>
                            <w:lang w:val="el-GR" w:eastAsia="el-GR"/>
                          </w:rPr>
                          <w:tab/>
                        </w:r>
                        <w:r>
                          <w:rPr>
                            <w:rStyle w:val="FontStyle39"/>
                            <w:lang w:eastAsia="el-GR"/>
                          </w:rPr>
                          <w:t>AUC</w:t>
                        </w:r>
                        <w:r w:rsidRPr="00F7301B">
                          <w:rPr>
                            <w:rStyle w:val="FontStyle39"/>
                            <w:lang w:val="el-GR" w:eastAsia="el-GR"/>
                          </w:rPr>
                          <w:t xml:space="preserve">* </w:t>
                        </w:r>
                        <w:r>
                          <w:rPr>
                            <w:rStyle w:val="FontStyle39"/>
                            <w:lang w:val="el-GR" w:eastAsia="el-GR"/>
                          </w:rPr>
                          <w:t>της</w:t>
                        </w:r>
                        <w:r>
                          <w:rPr>
                            <w:rStyle w:val="FontStyle39"/>
                            <w:lang w:val="el-GR" w:eastAsia="el-GR"/>
                          </w:rPr>
                          <w:br/>
                        </w:r>
                        <w:r w:rsidRPr="00F7301B">
                          <w:rPr>
                            <w:rStyle w:val="FontStyle39"/>
                            <w:lang w:val="el-GR" w:eastAsia="el-GR"/>
                          </w:rPr>
                          <w:tab/>
                        </w:r>
                        <w:r>
                          <w:rPr>
                            <w:rStyle w:val="FontStyle39"/>
                            <w:u w:val="single"/>
                            <w:lang w:val="el-GR" w:eastAsia="el-GR"/>
                          </w:rPr>
                          <w:t>ροσουβαστατίνης</w:t>
                        </w:r>
                      </w:p>
                    </w:txbxContent>
                  </v:textbox>
                </v:shape>
                <w10:wrap type="topAndBottom" anchorx="margin"/>
              </v:group>
            </w:pict>
          </mc:Fallback>
        </mc:AlternateContent>
      </w:r>
    </w:p>
    <w:p w:rsidR="00A502AA" w:rsidRPr="00F7301B" w:rsidRDefault="00A502AA">
      <w:pPr>
        <w:pStyle w:val="Style34"/>
        <w:widowControl/>
        <w:spacing w:line="240" w:lineRule="exact"/>
        <w:rPr>
          <w:sz w:val="20"/>
          <w:szCs w:val="20"/>
          <w:lang w:val="el-GR"/>
        </w:rPr>
      </w:pPr>
    </w:p>
    <w:p w:rsidR="00A502AA" w:rsidRDefault="00A502AA">
      <w:pPr>
        <w:pStyle w:val="Style34"/>
        <w:widowControl/>
        <w:tabs>
          <w:tab w:val="left" w:leader="underscore" w:pos="9072"/>
        </w:tabs>
        <w:spacing w:before="19"/>
        <w:rPr>
          <w:rStyle w:val="FontStyle44"/>
          <w:lang w:val="el-GR" w:eastAsia="el-GR"/>
        </w:rPr>
      </w:pPr>
      <w:r>
        <w:rPr>
          <w:rStyle w:val="FontStyle44"/>
          <w:lang w:val="el-GR" w:eastAsia="el-GR"/>
        </w:rPr>
        <w:t>Πίνακας 1. Επιδράσεις συγχορηγούμενων φαρμακευτικών προϊόντων</w:t>
      </w:r>
      <w:r>
        <w:rPr>
          <w:rStyle w:val="FontStyle44"/>
          <w:lang w:val="el-GR" w:eastAsia="el-GR"/>
        </w:rPr>
        <w:br/>
        <w:t xml:space="preserve">στην έκθεση ροσουβαστατίνης </w:t>
      </w:r>
      <w:r w:rsidRPr="00F7301B">
        <w:rPr>
          <w:rStyle w:val="FontStyle44"/>
          <w:lang w:val="el-GR" w:eastAsia="el-GR"/>
        </w:rPr>
        <w:t>(</w:t>
      </w:r>
      <w:r>
        <w:rPr>
          <w:rStyle w:val="FontStyle44"/>
          <w:lang w:eastAsia="el-GR"/>
        </w:rPr>
        <w:t>AUC</w:t>
      </w:r>
      <w:r w:rsidRPr="00F7301B">
        <w:rPr>
          <w:rStyle w:val="FontStyle44"/>
          <w:lang w:val="el-GR" w:eastAsia="el-GR"/>
        </w:rPr>
        <w:t xml:space="preserve"> </w:t>
      </w:r>
      <w:r>
        <w:rPr>
          <w:rStyle w:val="FontStyle44"/>
          <w:lang w:val="el-GR" w:eastAsia="el-GR"/>
        </w:rPr>
        <w:t>σε φθίνουσα σειρά μεγέθους) από</w:t>
      </w:r>
      <w:r>
        <w:rPr>
          <w:rStyle w:val="FontStyle44"/>
          <w:lang w:val="el-GR" w:eastAsia="el-GR"/>
        </w:rPr>
        <w:br/>
      </w:r>
      <w:r>
        <w:rPr>
          <w:rStyle w:val="FontStyle44"/>
          <w:u w:val="single"/>
          <w:lang w:val="el-GR" w:eastAsia="el-GR"/>
        </w:rPr>
        <w:t>δημοσιευμένες μελέτες</w:t>
      </w:r>
      <w:r>
        <w:rPr>
          <w:rStyle w:val="FontStyle44"/>
          <w:lang w:val="el-GR" w:eastAsia="el-GR"/>
        </w:rPr>
        <w:tab/>
      </w:r>
    </w:p>
    <w:p w:rsidR="00A502AA" w:rsidRDefault="00E317F9">
      <w:pPr>
        <w:pStyle w:val="Style7"/>
        <w:widowControl/>
        <w:spacing w:line="240" w:lineRule="auto"/>
        <w:jc w:val="left"/>
        <w:rPr>
          <w:rStyle w:val="FontStyle45"/>
          <w:u w:val="single"/>
          <w:lang w:val="el-GR" w:eastAsia="el-GR"/>
        </w:rPr>
      </w:pPr>
      <w:r>
        <w:rPr>
          <w:rStyle w:val="FontStyle45"/>
          <w:u w:val="single"/>
          <w:lang w:val="el-GR" w:eastAsia="el-GR"/>
        </w:rPr>
        <w:br w:type="page"/>
      </w:r>
      <w:r w:rsidR="007F2F04">
        <w:rPr>
          <w:noProof/>
          <w:lang w:val="el-GR" w:eastAsia="el-GR"/>
        </w:rPr>
        <w:lastRenderedPageBreak/>
        <mc:AlternateContent>
          <mc:Choice Requires="wpg">
            <w:drawing>
              <wp:anchor distT="0" distB="359410" distL="24130" distR="24130" simplePos="0" relativeHeight="251659264" behindDoc="0" locked="0" layoutInCell="1" allowOverlap="1">
                <wp:simplePos x="0" y="0"/>
                <wp:positionH relativeFrom="margin">
                  <wp:posOffset>-85090</wp:posOffset>
                </wp:positionH>
                <wp:positionV relativeFrom="paragraph">
                  <wp:posOffset>0</wp:posOffset>
                </wp:positionV>
                <wp:extent cx="5894705" cy="302069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3020695"/>
                          <a:chOff x="1282" y="1253"/>
                          <a:chExt cx="9283" cy="4757"/>
                        </a:xfrm>
                      </wpg:grpSpPr>
                      <wps:wsp>
                        <wps:cNvPr id="5" name="Text Box 6"/>
                        <wps:cNvSpPr txBox="1">
                          <a:spLocks noChangeArrowheads="1"/>
                        </wps:cNvSpPr>
                        <wps:spPr bwMode="auto">
                          <a:xfrm>
                            <a:off x="1282" y="2055"/>
                            <a:ext cx="9283" cy="18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954"/>
                                <w:gridCol w:w="1277"/>
                                <w:gridCol w:w="556"/>
                                <w:gridCol w:w="740"/>
                                <w:gridCol w:w="1963"/>
                                <w:gridCol w:w="311"/>
                                <w:gridCol w:w="1436"/>
                                <w:gridCol w:w="1046"/>
                                <w:gridCol w:w="591"/>
                              </w:tblGrid>
                              <w:tr w:rsidR="00E317F9">
                                <w:tblPrEx>
                                  <w:tblCellMar>
                                    <w:top w:w="0" w:type="dxa"/>
                                    <w:bottom w:w="0" w:type="dxa"/>
                                  </w:tblCellMar>
                                </w:tblPrEx>
                                <w:trPr>
                                  <w:gridAfter w:val="1"/>
                                  <w:wAfter w:w="591" w:type="dxa"/>
                                </w:trPr>
                                <w:tc>
                                  <w:tcPr>
                                    <w:tcW w:w="3787" w:type="dxa"/>
                                    <w:gridSpan w:val="3"/>
                                    <w:tcBorders>
                                      <w:top w:val="single" w:sz="6" w:space="0" w:color="auto"/>
                                      <w:left w:val="nil"/>
                                      <w:bottom w:val="nil"/>
                                      <w:right w:val="nil"/>
                                    </w:tcBorders>
                                  </w:tcPr>
                                  <w:p w:rsidR="00E317F9" w:rsidRDefault="00E317F9">
                                    <w:pPr>
                                      <w:pStyle w:val="Style27"/>
                                      <w:widowControl/>
                                      <w:rPr>
                                        <w:rStyle w:val="FontStyle39"/>
                                        <w:lang w:val="el-GR" w:eastAsia="el-GR"/>
                                      </w:rPr>
                                    </w:pPr>
                                    <w:r>
                                      <w:rPr>
                                        <w:rStyle w:val="FontStyle39"/>
                                        <w:lang w:val="el-GR" w:eastAsia="el-GR"/>
                                      </w:rPr>
                                      <w:t>Αλληλεπιδρών δοσολογικό</w:t>
                                    </w:r>
                                  </w:p>
                                </w:tc>
                                <w:tc>
                                  <w:tcPr>
                                    <w:tcW w:w="3014" w:type="dxa"/>
                                    <w:gridSpan w:val="3"/>
                                    <w:tcBorders>
                                      <w:top w:val="single" w:sz="6" w:space="0" w:color="auto"/>
                                      <w:left w:val="nil"/>
                                      <w:bottom w:val="nil"/>
                                      <w:right w:val="nil"/>
                                    </w:tcBorders>
                                  </w:tcPr>
                                  <w:p w:rsidR="00E317F9" w:rsidRDefault="00E317F9">
                                    <w:pPr>
                                      <w:pStyle w:val="Style27"/>
                                      <w:widowControl/>
                                      <w:ind w:left="475"/>
                                      <w:rPr>
                                        <w:rStyle w:val="FontStyle39"/>
                                        <w:lang w:val="el-GR" w:eastAsia="el-GR"/>
                                      </w:rPr>
                                    </w:pPr>
                                    <w:r>
                                      <w:rPr>
                                        <w:rStyle w:val="FontStyle39"/>
                                        <w:lang w:val="el-GR" w:eastAsia="el-GR"/>
                                      </w:rPr>
                                      <w:t>Δοσολογικό σχήμα</w:t>
                                    </w:r>
                                  </w:p>
                                </w:tc>
                                <w:tc>
                                  <w:tcPr>
                                    <w:tcW w:w="2482" w:type="dxa"/>
                                    <w:gridSpan w:val="2"/>
                                    <w:tcBorders>
                                      <w:top w:val="single" w:sz="6" w:space="0" w:color="auto"/>
                                      <w:left w:val="nil"/>
                                      <w:bottom w:val="nil"/>
                                      <w:right w:val="nil"/>
                                    </w:tcBorders>
                                  </w:tcPr>
                                  <w:p w:rsidR="00E317F9" w:rsidRDefault="00E317F9">
                                    <w:pPr>
                                      <w:pStyle w:val="Style27"/>
                                      <w:widowControl/>
                                      <w:jc w:val="center"/>
                                      <w:rPr>
                                        <w:rStyle w:val="FontStyle39"/>
                                        <w:lang w:val="el-GR" w:eastAsia="el-GR"/>
                                      </w:rPr>
                                    </w:pPr>
                                    <w:r>
                                      <w:rPr>
                                        <w:rStyle w:val="FontStyle39"/>
                                        <w:lang w:val="el-GR" w:eastAsia="el-GR"/>
                                      </w:rPr>
                                      <w:t>Μεταβολή στην</w:t>
                                    </w:r>
                                  </w:p>
                                </w:tc>
                              </w:tr>
                              <w:tr w:rsidR="00E317F9">
                                <w:tblPrEx>
                                  <w:tblCellMar>
                                    <w:top w:w="0" w:type="dxa"/>
                                    <w:bottom w:w="0" w:type="dxa"/>
                                  </w:tblCellMar>
                                </w:tblPrEx>
                                <w:trPr>
                                  <w:gridAfter w:val="1"/>
                                  <w:wAfter w:w="591" w:type="dxa"/>
                                </w:trPr>
                                <w:tc>
                                  <w:tcPr>
                                    <w:tcW w:w="3787" w:type="dxa"/>
                                    <w:gridSpan w:val="3"/>
                                    <w:tcBorders>
                                      <w:top w:val="nil"/>
                                      <w:left w:val="nil"/>
                                      <w:bottom w:val="nil"/>
                                      <w:right w:val="nil"/>
                                    </w:tcBorders>
                                  </w:tcPr>
                                  <w:p w:rsidR="00E317F9" w:rsidRDefault="00E317F9">
                                    <w:pPr>
                                      <w:pStyle w:val="Style27"/>
                                      <w:widowControl/>
                                      <w:rPr>
                                        <w:rStyle w:val="FontStyle39"/>
                                        <w:lang w:val="el-GR" w:eastAsia="el-GR"/>
                                      </w:rPr>
                                    </w:pPr>
                                    <w:r>
                                      <w:rPr>
                                        <w:rStyle w:val="FontStyle39"/>
                                        <w:lang w:val="el-GR" w:eastAsia="el-GR"/>
                                      </w:rPr>
                                      <w:t>σχήμα</w:t>
                                    </w:r>
                                  </w:p>
                                </w:tc>
                                <w:tc>
                                  <w:tcPr>
                                    <w:tcW w:w="3014" w:type="dxa"/>
                                    <w:gridSpan w:val="3"/>
                                    <w:tcBorders>
                                      <w:top w:val="nil"/>
                                      <w:left w:val="nil"/>
                                      <w:bottom w:val="nil"/>
                                      <w:right w:val="nil"/>
                                    </w:tcBorders>
                                  </w:tcPr>
                                  <w:p w:rsidR="00E317F9" w:rsidRDefault="00E317F9">
                                    <w:pPr>
                                      <w:pStyle w:val="Style27"/>
                                      <w:widowControl/>
                                      <w:ind w:left="557"/>
                                      <w:rPr>
                                        <w:rStyle w:val="FontStyle39"/>
                                        <w:lang w:val="el-GR" w:eastAsia="el-GR"/>
                                      </w:rPr>
                                    </w:pPr>
                                    <w:r>
                                      <w:rPr>
                                        <w:rStyle w:val="FontStyle39"/>
                                        <w:lang w:val="el-GR" w:eastAsia="el-GR"/>
                                      </w:rPr>
                                      <w:t>ροσουβαστατίνης</w:t>
                                    </w:r>
                                  </w:p>
                                </w:tc>
                                <w:tc>
                                  <w:tcPr>
                                    <w:tcW w:w="2482" w:type="dxa"/>
                                    <w:gridSpan w:val="2"/>
                                    <w:tcBorders>
                                      <w:top w:val="nil"/>
                                      <w:left w:val="nil"/>
                                      <w:bottom w:val="nil"/>
                                      <w:right w:val="nil"/>
                                    </w:tcBorders>
                                  </w:tcPr>
                                  <w:p w:rsidR="00E317F9" w:rsidRDefault="00E317F9">
                                    <w:pPr>
                                      <w:pStyle w:val="Style27"/>
                                      <w:widowControl/>
                                      <w:jc w:val="center"/>
                                      <w:rPr>
                                        <w:rStyle w:val="FontStyle39"/>
                                        <w:lang w:val="el-GR"/>
                                      </w:rPr>
                                    </w:pPr>
                                    <w:r>
                                      <w:rPr>
                                        <w:rStyle w:val="FontStyle39"/>
                                      </w:rPr>
                                      <w:t xml:space="preserve">AUC* </w:t>
                                    </w:r>
                                    <w:r>
                                      <w:rPr>
                                        <w:rStyle w:val="FontStyle39"/>
                                        <w:lang w:val="el-GR"/>
                                      </w:rPr>
                                      <w:t>της</w:t>
                                    </w:r>
                                  </w:p>
                                </w:tc>
                              </w:tr>
                              <w:tr w:rsidR="00E317F9">
                                <w:tblPrEx>
                                  <w:tblCellMar>
                                    <w:top w:w="0" w:type="dxa"/>
                                    <w:bottom w:w="0" w:type="dxa"/>
                                  </w:tblCellMar>
                                </w:tblPrEx>
                                <w:trPr>
                                  <w:gridAfter w:val="1"/>
                                  <w:wAfter w:w="591" w:type="dxa"/>
                                </w:trPr>
                                <w:tc>
                                  <w:tcPr>
                                    <w:tcW w:w="3787" w:type="dxa"/>
                                    <w:gridSpan w:val="3"/>
                                    <w:tcBorders>
                                      <w:top w:val="nil"/>
                                      <w:left w:val="nil"/>
                                      <w:bottom w:val="single" w:sz="6" w:space="0" w:color="auto"/>
                                      <w:right w:val="nil"/>
                                    </w:tcBorders>
                                  </w:tcPr>
                                  <w:p w:rsidR="00E317F9" w:rsidRDefault="00E317F9">
                                    <w:pPr>
                                      <w:pStyle w:val="Style20"/>
                                      <w:widowControl/>
                                    </w:pPr>
                                  </w:p>
                                </w:tc>
                                <w:tc>
                                  <w:tcPr>
                                    <w:tcW w:w="3014" w:type="dxa"/>
                                    <w:gridSpan w:val="3"/>
                                    <w:tcBorders>
                                      <w:top w:val="nil"/>
                                      <w:left w:val="nil"/>
                                      <w:bottom w:val="single" w:sz="6" w:space="0" w:color="auto"/>
                                      <w:right w:val="nil"/>
                                    </w:tcBorders>
                                  </w:tcPr>
                                  <w:p w:rsidR="00E317F9" w:rsidRDefault="00E317F9">
                                    <w:pPr>
                                      <w:pStyle w:val="Style20"/>
                                      <w:widowControl/>
                                    </w:pPr>
                                  </w:p>
                                </w:tc>
                                <w:tc>
                                  <w:tcPr>
                                    <w:tcW w:w="2482" w:type="dxa"/>
                                    <w:gridSpan w:val="2"/>
                                    <w:tcBorders>
                                      <w:top w:val="nil"/>
                                      <w:left w:val="nil"/>
                                      <w:bottom w:val="single" w:sz="6" w:space="0" w:color="auto"/>
                                      <w:right w:val="nil"/>
                                    </w:tcBorders>
                                  </w:tcPr>
                                  <w:p w:rsidR="00E317F9" w:rsidRDefault="00E317F9">
                                    <w:pPr>
                                      <w:pStyle w:val="Style27"/>
                                      <w:widowControl/>
                                      <w:jc w:val="center"/>
                                      <w:rPr>
                                        <w:rStyle w:val="FontStyle39"/>
                                        <w:lang w:val="el-GR" w:eastAsia="el-GR"/>
                                      </w:rPr>
                                    </w:pPr>
                                    <w:r>
                                      <w:rPr>
                                        <w:rStyle w:val="FontStyle39"/>
                                        <w:lang w:val="el-GR" w:eastAsia="el-GR"/>
                                      </w:rPr>
                                      <w:t>ροσουβαστατίνης</w:t>
                                    </w:r>
                                  </w:p>
                                </w:tc>
                              </w:tr>
                              <w:tr w:rsidR="00E317F9">
                                <w:tblPrEx>
                                  <w:tblCellMar>
                                    <w:top w:w="0" w:type="dxa"/>
                                    <w:bottom w:w="0" w:type="dxa"/>
                                  </w:tblCellMar>
                                </w:tblPrEx>
                                <w:trPr>
                                  <w:gridAfter w:val="1"/>
                                  <w:wAfter w:w="591" w:type="dxa"/>
                                </w:trPr>
                                <w:tc>
                                  <w:tcPr>
                                    <w:tcW w:w="3787" w:type="dxa"/>
                                    <w:gridSpan w:val="3"/>
                                    <w:tcBorders>
                                      <w:top w:val="single" w:sz="6" w:space="0" w:color="auto"/>
                                      <w:left w:val="nil"/>
                                      <w:bottom w:val="nil"/>
                                      <w:right w:val="nil"/>
                                    </w:tcBorders>
                                  </w:tcPr>
                                  <w:p w:rsidR="00E317F9" w:rsidRDefault="00E317F9">
                                    <w:pPr>
                                      <w:pStyle w:val="Style28"/>
                                      <w:widowControl/>
                                      <w:rPr>
                                        <w:rStyle w:val="FontStyle41"/>
                                        <w:lang w:val="el-GR" w:eastAsia="el-GR"/>
                                      </w:rPr>
                                    </w:pPr>
                                    <w:r>
                                      <w:rPr>
                                        <w:rStyle w:val="FontStyle41"/>
                                        <w:lang w:val="el-GR" w:eastAsia="el-GR"/>
                                      </w:rPr>
                                      <w:t xml:space="preserve">Ερυθρομυκίνη 500 </w:t>
                                    </w:r>
                                    <w:r>
                                      <w:rPr>
                                        <w:rStyle w:val="FontStyle41"/>
                                        <w:lang w:eastAsia="el-GR"/>
                                      </w:rPr>
                                      <w:t xml:space="preserve">mg QID, </w:t>
                                    </w:r>
                                    <w:r>
                                      <w:rPr>
                                        <w:rStyle w:val="FontStyle41"/>
                                        <w:lang w:val="el-GR" w:eastAsia="el-GR"/>
                                      </w:rPr>
                                      <w:t>7</w:t>
                                    </w:r>
                                  </w:p>
                                </w:tc>
                                <w:tc>
                                  <w:tcPr>
                                    <w:tcW w:w="3014" w:type="dxa"/>
                                    <w:gridSpan w:val="3"/>
                                    <w:tcBorders>
                                      <w:top w:val="single" w:sz="6" w:space="0" w:color="auto"/>
                                      <w:left w:val="nil"/>
                                      <w:bottom w:val="nil"/>
                                      <w:right w:val="nil"/>
                                    </w:tcBorders>
                                  </w:tcPr>
                                  <w:p w:rsidR="00E317F9" w:rsidRDefault="00E317F9">
                                    <w:pPr>
                                      <w:pStyle w:val="Style28"/>
                                      <w:widowControl/>
                                      <w:ind w:left="485"/>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482" w:type="dxa"/>
                                    <w:gridSpan w:val="2"/>
                                    <w:tcBorders>
                                      <w:top w:val="single" w:sz="6" w:space="0" w:color="auto"/>
                                      <w:left w:val="nil"/>
                                      <w:bottom w:val="nil"/>
                                      <w:right w:val="nil"/>
                                    </w:tcBorders>
                                  </w:tcPr>
                                  <w:p w:rsidR="00E317F9" w:rsidRDefault="00E317F9">
                                    <w:pPr>
                                      <w:pStyle w:val="Style28"/>
                                      <w:widowControl/>
                                      <w:jc w:val="center"/>
                                      <w:rPr>
                                        <w:rStyle w:val="FontStyle43"/>
                                        <w:lang w:val="el-GR" w:eastAsia="el-GR"/>
                                      </w:rPr>
                                    </w:pPr>
                                    <w:r>
                                      <w:rPr>
                                        <w:rStyle w:val="FontStyle41"/>
                                        <w:lang w:val="el-GR" w:eastAsia="el-GR"/>
                                      </w:rPr>
                                      <w:t xml:space="preserve">28% </w:t>
                                    </w:r>
                                    <w:r>
                                      <w:rPr>
                                        <w:rStyle w:val="FontStyle43"/>
                                        <w:lang w:val="el-GR" w:eastAsia="el-GR"/>
                                      </w:rPr>
                                      <w:t>1</w:t>
                                    </w:r>
                                  </w:p>
                                </w:tc>
                              </w:tr>
                              <w:tr w:rsidR="00E317F9">
                                <w:tblPrEx>
                                  <w:tblCellMar>
                                    <w:top w:w="0" w:type="dxa"/>
                                    <w:bottom w:w="0" w:type="dxa"/>
                                  </w:tblCellMar>
                                </w:tblPrEx>
                                <w:trPr>
                                  <w:gridAfter w:val="1"/>
                                  <w:wAfter w:w="591" w:type="dxa"/>
                                </w:trPr>
                                <w:tc>
                                  <w:tcPr>
                                    <w:tcW w:w="3787" w:type="dxa"/>
                                    <w:gridSpan w:val="3"/>
                                    <w:tcBorders>
                                      <w:top w:val="nil"/>
                                      <w:left w:val="nil"/>
                                      <w:bottom w:val="nil"/>
                                      <w:right w:val="nil"/>
                                    </w:tcBorders>
                                  </w:tcPr>
                                  <w:p w:rsidR="00E317F9" w:rsidRDefault="00E317F9">
                                    <w:pPr>
                                      <w:pStyle w:val="Style28"/>
                                      <w:widowControl/>
                                      <w:rPr>
                                        <w:rStyle w:val="FontStyle41"/>
                                        <w:lang w:val="el-GR" w:eastAsia="el-GR"/>
                                      </w:rPr>
                                    </w:pPr>
                                    <w:r>
                                      <w:rPr>
                                        <w:rStyle w:val="FontStyle41"/>
                                        <w:lang w:val="el-GR" w:eastAsia="el-GR"/>
                                      </w:rPr>
                                      <w:t>ημέρες</w:t>
                                    </w:r>
                                  </w:p>
                                </w:tc>
                                <w:tc>
                                  <w:tcPr>
                                    <w:tcW w:w="3014" w:type="dxa"/>
                                    <w:gridSpan w:val="3"/>
                                    <w:tcBorders>
                                      <w:top w:val="nil"/>
                                      <w:left w:val="nil"/>
                                      <w:bottom w:val="nil"/>
                                      <w:right w:val="nil"/>
                                    </w:tcBorders>
                                  </w:tcPr>
                                  <w:p w:rsidR="00E317F9" w:rsidRDefault="00E317F9">
                                    <w:pPr>
                                      <w:pStyle w:val="Style20"/>
                                      <w:widowControl/>
                                    </w:pPr>
                                  </w:p>
                                </w:tc>
                                <w:tc>
                                  <w:tcPr>
                                    <w:tcW w:w="2482" w:type="dxa"/>
                                    <w:gridSpan w:val="2"/>
                                    <w:tcBorders>
                                      <w:top w:val="nil"/>
                                      <w:left w:val="nil"/>
                                      <w:bottom w:val="nil"/>
                                      <w:right w:val="nil"/>
                                    </w:tcBorders>
                                  </w:tcPr>
                                  <w:p w:rsidR="00E317F9" w:rsidRDefault="00E317F9">
                                    <w:pPr>
                                      <w:pStyle w:val="Style20"/>
                                      <w:widowControl/>
                                    </w:pPr>
                                  </w:p>
                                </w:tc>
                              </w:tr>
                              <w:tr w:rsidR="00E317F9">
                                <w:tblPrEx>
                                  <w:tblCellMar>
                                    <w:top w:w="0" w:type="dxa"/>
                                    <w:bottom w:w="0" w:type="dxa"/>
                                  </w:tblCellMar>
                                </w:tblPrEx>
                                <w:trPr>
                                  <w:gridAfter w:val="1"/>
                                  <w:wAfter w:w="591" w:type="dxa"/>
                                </w:trPr>
                                <w:tc>
                                  <w:tcPr>
                                    <w:tcW w:w="3787" w:type="dxa"/>
                                    <w:gridSpan w:val="3"/>
                                    <w:tcBorders>
                                      <w:top w:val="nil"/>
                                      <w:left w:val="nil"/>
                                      <w:bottom w:val="single" w:sz="6" w:space="0" w:color="auto"/>
                                      <w:right w:val="nil"/>
                                    </w:tcBorders>
                                  </w:tcPr>
                                  <w:p w:rsidR="00E317F9" w:rsidRDefault="00E317F9">
                                    <w:pPr>
                                      <w:pStyle w:val="Style28"/>
                                      <w:widowControl/>
                                      <w:rPr>
                                        <w:rStyle w:val="FontStyle41"/>
                                        <w:lang w:val="el-GR"/>
                                      </w:rPr>
                                    </w:pPr>
                                    <w:r>
                                      <w:rPr>
                                        <w:rStyle w:val="FontStyle41"/>
                                      </w:rPr>
                                      <w:t xml:space="preserve">Baicalin </w:t>
                                    </w:r>
                                    <w:r>
                                      <w:rPr>
                                        <w:rStyle w:val="FontStyle41"/>
                                        <w:lang w:val="el-GR"/>
                                      </w:rPr>
                                      <w:t xml:space="preserve">50 </w:t>
                                    </w:r>
                                    <w:r>
                                      <w:rPr>
                                        <w:rStyle w:val="FontStyle41"/>
                                      </w:rPr>
                                      <w:t xml:space="preserve">mg TID, </w:t>
                                    </w:r>
                                    <w:r>
                                      <w:rPr>
                                        <w:rStyle w:val="FontStyle41"/>
                                        <w:lang w:val="el-GR"/>
                                      </w:rPr>
                                      <w:t>14 ημέρες</w:t>
                                    </w:r>
                                  </w:p>
                                </w:tc>
                                <w:tc>
                                  <w:tcPr>
                                    <w:tcW w:w="3014" w:type="dxa"/>
                                    <w:gridSpan w:val="3"/>
                                    <w:tcBorders>
                                      <w:top w:val="nil"/>
                                      <w:left w:val="nil"/>
                                      <w:bottom w:val="single" w:sz="6" w:space="0" w:color="auto"/>
                                      <w:right w:val="nil"/>
                                    </w:tcBorders>
                                  </w:tcPr>
                                  <w:p w:rsidR="00E317F9" w:rsidRDefault="00E317F9">
                                    <w:pPr>
                                      <w:pStyle w:val="Style28"/>
                                      <w:widowControl/>
                                      <w:ind w:left="485"/>
                                      <w:rPr>
                                        <w:rStyle w:val="FontStyle41"/>
                                        <w:lang w:val="el-GR" w:eastAsia="el-GR"/>
                                      </w:rPr>
                                    </w:pPr>
                                    <w:r>
                                      <w:rPr>
                                        <w:rStyle w:val="FontStyle41"/>
                                        <w:lang w:val="el-GR" w:eastAsia="el-GR"/>
                                      </w:rPr>
                                      <w:t xml:space="preserve">20 </w:t>
                                    </w:r>
                                    <w:r>
                                      <w:rPr>
                                        <w:rStyle w:val="FontStyle41"/>
                                        <w:lang w:eastAsia="el-GR"/>
                                      </w:rPr>
                                      <w:t xml:space="preserve">mg, </w:t>
                                    </w:r>
                                    <w:r>
                                      <w:rPr>
                                        <w:rStyle w:val="FontStyle41"/>
                                        <w:lang w:val="el-GR" w:eastAsia="el-GR"/>
                                      </w:rPr>
                                      <w:t>εφάπαξ δόση</w:t>
                                    </w:r>
                                  </w:p>
                                </w:tc>
                                <w:tc>
                                  <w:tcPr>
                                    <w:tcW w:w="2482" w:type="dxa"/>
                                    <w:gridSpan w:val="2"/>
                                    <w:tcBorders>
                                      <w:top w:val="nil"/>
                                      <w:left w:val="nil"/>
                                      <w:bottom w:val="single" w:sz="6" w:space="0" w:color="auto"/>
                                      <w:right w:val="nil"/>
                                    </w:tcBorders>
                                  </w:tcPr>
                                  <w:p w:rsidR="00E317F9" w:rsidRDefault="00E317F9">
                                    <w:pPr>
                                      <w:pStyle w:val="Style28"/>
                                      <w:widowControl/>
                                      <w:jc w:val="center"/>
                                      <w:rPr>
                                        <w:rStyle w:val="FontStyle43"/>
                                        <w:lang w:val="el-GR" w:eastAsia="el-GR"/>
                                      </w:rPr>
                                    </w:pPr>
                                    <w:r>
                                      <w:rPr>
                                        <w:rStyle w:val="FontStyle41"/>
                                        <w:lang w:val="el-GR" w:eastAsia="el-GR"/>
                                      </w:rPr>
                                      <w:t xml:space="preserve">47% </w:t>
                                    </w:r>
                                    <w:r>
                                      <w:rPr>
                                        <w:rStyle w:val="FontStyle43"/>
                                        <w:lang w:val="el-GR" w:eastAsia="el-GR"/>
                                      </w:rPr>
                                      <w:t>1</w:t>
                                    </w:r>
                                  </w:p>
                                </w:tc>
                              </w:tr>
                            </w:tbl>
                          </w:txbxContent>
                        </wps:txbx>
                        <wps:bodyPr rot="0" vert="horz" wrap="square" lIns="0" tIns="0" rIns="0" bIns="0" anchor="t" anchorCtr="0" upright="1">
                          <a:noAutofit/>
                        </wps:bodyPr>
                      </wps:wsp>
                      <wps:wsp>
                        <wps:cNvPr id="6" name="Text Box 7"/>
                        <wps:cNvSpPr txBox="1">
                          <a:spLocks noChangeArrowheads="1"/>
                        </wps:cNvSpPr>
                        <wps:spPr bwMode="auto">
                          <a:xfrm>
                            <a:off x="1431" y="1253"/>
                            <a:ext cx="8703" cy="8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317F9" w:rsidRDefault="00E317F9">
                              <w:pPr>
                                <w:pStyle w:val="Style34"/>
                                <w:widowControl/>
                                <w:tabs>
                                  <w:tab w:val="left" w:leader="underscore" w:pos="8702"/>
                                </w:tabs>
                                <w:rPr>
                                  <w:rStyle w:val="FontStyle44"/>
                                  <w:lang w:val="el-GR" w:eastAsia="el-GR"/>
                                </w:rPr>
                              </w:pPr>
                              <w:r>
                                <w:rPr>
                                  <w:rStyle w:val="FontStyle44"/>
                                  <w:lang w:val="el-GR" w:eastAsia="el-GR"/>
                                </w:rPr>
                                <w:t>Πίνακας 1. Επιδράσεις συγχορηγούμενων φαρμακευτικών προϊόντων</w:t>
                              </w:r>
                              <w:r>
                                <w:rPr>
                                  <w:rStyle w:val="FontStyle44"/>
                                  <w:lang w:val="el-GR" w:eastAsia="el-GR"/>
                                </w:rPr>
                                <w:br/>
                                <w:t xml:space="preserve">στην έκθεση ροσουβαστατίνης </w:t>
                              </w:r>
                              <w:r w:rsidRPr="00F7301B">
                                <w:rPr>
                                  <w:rStyle w:val="FontStyle44"/>
                                  <w:lang w:val="el-GR" w:eastAsia="el-GR"/>
                                </w:rPr>
                                <w:t>(</w:t>
                              </w:r>
                              <w:r>
                                <w:rPr>
                                  <w:rStyle w:val="FontStyle44"/>
                                  <w:lang w:eastAsia="el-GR"/>
                                </w:rPr>
                                <w:t>AUC</w:t>
                              </w:r>
                              <w:r w:rsidRPr="00F7301B">
                                <w:rPr>
                                  <w:rStyle w:val="FontStyle44"/>
                                  <w:lang w:val="el-GR" w:eastAsia="el-GR"/>
                                </w:rPr>
                                <w:t xml:space="preserve"> </w:t>
                              </w:r>
                              <w:r>
                                <w:rPr>
                                  <w:rStyle w:val="FontStyle44"/>
                                  <w:lang w:val="el-GR" w:eastAsia="el-GR"/>
                                </w:rPr>
                                <w:t>σε φθίνουσα σειρά μεγέθους) από</w:t>
                              </w:r>
                              <w:r>
                                <w:rPr>
                                  <w:rStyle w:val="FontStyle44"/>
                                  <w:lang w:val="el-GR" w:eastAsia="el-GR"/>
                                </w:rPr>
                                <w:br/>
                              </w:r>
                              <w:r>
                                <w:rPr>
                                  <w:rStyle w:val="FontStyle44"/>
                                  <w:u w:val="single"/>
                                  <w:lang w:val="el-GR" w:eastAsia="el-GR"/>
                                </w:rPr>
                                <w:t>δημοσιευμένες μελέτες</w:t>
                              </w:r>
                              <w:r>
                                <w:rPr>
                                  <w:rStyle w:val="FontStyle44"/>
                                  <w:lang w:val="el-GR" w:eastAsia="el-GR"/>
                                </w:rPr>
                                <w:tab/>
                              </w:r>
                            </w:p>
                          </w:txbxContent>
                        </wps:txbx>
                        <wps:bodyPr rot="0" vert="horz" wrap="square" lIns="0" tIns="0" rIns="0" bIns="0" anchor="t" anchorCtr="0" upright="1">
                          <a:noAutofit/>
                        </wps:bodyPr>
                      </wps:wsp>
                      <wps:wsp>
                        <wps:cNvPr id="7" name="Text Box 8"/>
                        <wps:cNvSpPr txBox="1">
                          <a:spLocks noChangeArrowheads="1"/>
                        </wps:cNvSpPr>
                        <wps:spPr bwMode="auto">
                          <a:xfrm>
                            <a:off x="1421" y="4071"/>
                            <a:ext cx="9086" cy="19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317F9" w:rsidRDefault="00E317F9">
                              <w:pPr>
                                <w:pStyle w:val="Style16"/>
                                <w:widowControl/>
                                <w:spacing w:line="192" w:lineRule="exact"/>
                                <w:ind w:left="178"/>
                                <w:rPr>
                                  <w:rStyle w:val="FontStyle42"/>
                                  <w:lang w:val="el-GR" w:eastAsia="el-GR"/>
                                </w:rPr>
                              </w:pPr>
                              <w:r>
                                <w:rPr>
                                  <w:rStyle w:val="FontStyle42"/>
                                  <w:lang w:val="el-GR" w:eastAsia="el-GR"/>
                                </w:rPr>
                                <w:t xml:space="preserve">* Τα δεδομένα που δίνονται ως μεταβολή κατά </w:t>
                              </w:r>
                              <w:r>
                                <w:rPr>
                                  <w:rStyle w:val="FontStyle42"/>
                                  <w:lang w:eastAsia="el-GR"/>
                                </w:rPr>
                                <w:t>x</w:t>
                              </w:r>
                              <w:r>
                                <w:rPr>
                                  <w:rStyle w:val="FontStyle42"/>
                                  <w:lang w:val="el-GR" w:eastAsia="el-GR"/>
                                </w:rPr>
                                <w:t>-φορές αντιπροσωπεύουν μια απλή αναλογία μεταξύ της συγχορήγησης και της ροσουβαστατίνης μόνο. Τα δεδομένα που δίνονται ως % μεταβολή αντιπροσωπεύουν την επί της εκατό (%) διαφορά σε σχέση μόνο με τη ροσουβαστατίνη.</w:t>
                              </w:r>
                            </w:p>
                            <w:p w:rsidR="00E317F9" w:rsidRDefault="00E317F9">
                              <w:pPr>
                                <w:pStyle w:val="Style16"/>
                                <w:widowControl/>
                                <w:spacing w:before="120" w:line="240" w:lineRule="auto"/>
                                <w:ind w:firstLine="0"/>
                                <w:rPr>
                                  <w:rStyle w:val="FontStyle42"/>
                                  <w:lang w:val="el-GR" w:eastAsia="el-GR"/>
                                </w:rPr>
                              </w:pPr>
                              <w:r>
                                <w:rPr>
                                  <w:rStyle w:val="FontStyle42"/>
                                  <w:lang w:val="el-GR" w:eastAsia="el-GR"/>
                                </w:rPr>
                                <w:t>Η αύξηση σημειώνεται με το σύμβολο "Τ", καμία μεταβολή με το "ο", μείωση με το "4Λ</w:t>
                              </w:r>
                            </w:p>
                            <w:p w:rsidR="00E317F9" w:rsidRDefault="00E317F9">
                              <w:pPr>
                                <w:pStyle w:val="Style30"/>
                                <w:widowControl/>
                                <w:spacing w:before="125"/>
                                <w:jc w:val="left"/>
                                <w:rPr>
                                  <w:rStyle w:val="FontStyle42"/>
                                  <w:lang w:val="el-GR" w:eastAsia="el-GR"/>
                                </w:rPr>
                              </w:pPr>
                              <w:r>
                                <w:rPr>
                                  <w:rStyle w:val="FontStyle42"/>
                                  <w:lang w:val="el-GR" w:eastAsia="el-GR"/>
                                </w:rPr>
                                <w:t xml:space="preserve">** Έχουν πραγματοποιηθεί διάφορες μελέτες αλληλεπιδράσεων σε διαφορετικές δόσεις </w:t>
                              </w:r>
                              <w:r>
                                <w:rPr>
                                  <w:rStyle w:val="FontStyle42"/>
                                  <w:lang w:eastAsia="el-GR"/>
                                </w:rPr>
                                <w:t>ROSUVAL</w:t>
                              </w:r>
                              <w:r w:rsidRPr="00F7301B">
                                <w:rPr>
                                  <w:rStyle w:val="FontStyle42"/>
                                  <w:lang w:val="el-GR" w:eastAsia="el-GR"/>
                                </w:rPr>
                                <w:t>/</w:t>
                              </w:r>
                              <w:r>
                                <w:rPr>
                                  <w:rStyle w:val="FontStyle42"/>
                                  <w:lang w:eastAsia="el-GR"/>
                                </w:rPr>
                                <w:t>HEREMCO</w:t>
                              </w:r>
                              <w:r w:rsidRPr="00F7301B">
                                <w:rPr>
                                  <w:rStyle w:val="FontStyle42"/>
                                  <w:lang w:val="el-GR" w:eastAsia="el-GR"/>
                                </w:rPr>
                                <w:t xml:space="preserve"> , </w:t>
                              </w:r>
                              <w:r>
                                <w:rPr>
                                  <w:rStyle w:val="FontStyle42"/>
                                  <w:lang w:val="el-GR" w:eastAsia="el-GR"/>
                                </w:rPr>
                                <w:t>ωστόσο ο πίνακας δείχνει τις πιο σημαντικές αναλογίες</w:t>
                              </w:r>
                            </w:p>
                            <w:p w:rsidR="00E317F9" w:rsidRDefault="00E317F9">
                              <w:pPr>
                                <w:pStyle w:val="Style30"/>
                                <w:widowControl/>
                                <w:tabs>
                                  <w:tab w:val="left" w:leader="underscore" w:pos="9082"/>
                                </w:tabs>
                                <w:spacing w:before="110"/>
                                <w:jc w:val="left"/>
                                <w:rPr>
                                  <w:rStyle w:val="FontStyle42"/>
                                  <w:lang w:val="el-GR"/>
                                </w:rPr>
                              </w:pPr>
                              <w:r>
                                <w:rPr>
                                  <w:rStyle w:val="FontStyle42"/>
                                </w:rPr>
                                <w:t>OD</w:t>
                              </w:r>
                              <w:r w:rsidRPr="00F7301B">
                                <w:rPr>
                                  <w:rStyle w:val="FontStyle42"/>
                                  <w:lang w:val="el-GR"/>
                                </w:rPr>
                                <w:t xml:space="preserve"> </w:t>
                              </w:r>
                              <w:r>
                                <w:rPr>
                                  <w:rStyle w:val="FontStyle42"/>
                                  <w:lang w:val="el-GR"/>
                                </w:rPr>
                                <w:t xml:space="preserve">= μια φορά την ημέρα; </w:t>
                              </w:r>
                              <w:r>
                                <w:rPr>
                                  <w:rStyle w:val="FontStyle42"/>
                                </w:rPr>
                                <w:t>BID</w:t>
                              </w:r>
                              <w:r w:rsidRPr="00F7301B">
                                <w:rPr>
                                  <w:rStyle w:val="FontStyle42"/>
                                  <w:lang w:val="el-GR"/>
                                </w:rPr>
                                <w:t xml:space="preserve"> </w:t>
                              </w:r>
                              <w:r>
                                <w:rPr>
                                  <w:rStyle w:val="FontStyle42"/>
                                  <w:lang w:val="el-GR"/>
                                </w:rPr>
                                <w:t xml:space="preserve">= δυο φορές την ημέρα; </w:t>
                              </w:r>
                              <w:r>
                                <w:rPr>
                                  <w:rStyle w:val="FontStyle42"/>
                                </w:rPr>
                                <w:t>TID</w:t>
                              </w:r>
                              <w:r w:rsidRPr="00F7301B">
                                <w:rPr>
                                  <w:rStyle w:val="FontStyle42"/>
                                  <w:lang w:val="el-GR"/>
                                </w:rPr>
                                <w:t xml:space="preserve"> </w:t>
                              </w:r>
                              <w:r>
                                <w:rPr>
                                  <w:rStyle w:val="FontStyle42"/>
                                  <w:lang w:val="el-GR"/>
                                </w:rPr>
                                <w:t xml:space="preserve">= τρεις φορές την ημέρα; </w:t>
                              </w:r>
                              <w:r>
                                <w:rPr>
                                  <w:rStyle w:val="FontStyle42"/>
                                </w:rPr>
                                <w:t xml:space="preserve">QID </w:t>
                              </w:r>
                              <w:r>
                                <w:rPr>
                                  <w:rStyle w:val="FontStyle42"/>
                                  <w:lang w:val="el-GR"/>
                                </w:rPr>
                                <w:t>= τέσσερις φορές</w:t>
                              </w:r>
                              <w:r>
                                <w:rPr>
                                  <w:rStyle w:val="FontStyle42"/>
                                  <w:lang w:val="el-GR"/>
                                </w:rPr>
                                <w:br/>
                              </w:r>
                              <w:r>
                                <w:rPr>
                                  <w:rStyle w:val="FontStyle42"/>
                                  <w:u w:val="single"/>
                                  <w:lang w:val="el-GR"/>
                                </w:rPr>
                                <w:t>την ημέρα</w:t>
                              </w:r>
                              <w:r>
                                <w:rPr>
                                  <w:rStyle w:val="FontStyle42"/>
                                  <w:lang w:val="el-GR"/>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6.7pt;margin-top:0;width:464.15pt;height:237.85pt;z-index:251659264;mso-wrap-distance-left:1.9pt;mso-wrap-distance-right:1.9pt;mso-wrap-distance-bottom:28.3pt;mso-position-horizontal-relative:margin" coordorigin="1282,1253" coordsize="9283,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">
                <v:shape id="Text Box 6" o:spid="_x0000_s1030" type="#_x0000_t202" style="position:absolute;left:1282;top:2055;width:928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954"/>
                          <w:gridCol w:w="1277"/>
                          <w:gridCol w:w="556"/>
                          <w:gridCol w:w="740"/>
                          <w:gridCol w:w="1963"/>
                          <w:gridCol w:w="311"/>
                          <w:gridCol w:w="1436"/>
                          <w:gridCol w:w="1046"/>
                          <w:gridCol w:w="591"/>
                        </w:tblGrid>
                        <w:tr w:rsidR="00E317F9">
                          <w:tblPrEx>
                            <w:tblCellMar>
                              <w:top w:w="0" w:type="dxa"/>
                              <w:bottom w:w="0" w:type="dxa"/>
                            </w:tblCellMar>
                          </w:tblPrEx>
                          <w:trPr>
                            <w:gridAfter w:val="1"/>
                            <w:wAfter w:w="591" w:type="dxa"/>
                          </w:trPr>
                          <w:tc>
                            <w:tcPr>
                              <w:tcW w:w="3787" w:type="dxa"/>
                              <w:gridSpan w:val="3"/>
                              <w:tcBorders>
                                <w:top w:val="single" w:sz="6" w:space="0" w:color="auto"/>
                                <w:left w:val="nil"/>
                                <w:bottom w:val="nil"/>
                                <w:right w:val="nil"/>
                              </w:tcBorders>
                            </w:tcPr>
                            <w:p w:rsidR="00E317F9" w:rsidRDefault="00E317F9">
                              <w:pPr>
                                <w:pStyle w:val="Style27"/>
                                <w:widowControl/>
                                <w:rPr>
                                  <w:rStyle w:val="FontStyle39"/>
                                  <w:lang w:val="el-GR" w:eastAsia="el-GR"/>
                                </w:rPr>
                              </w:pPr>
                              <w:r>
                                <w:rPr>
                                  <w:rStyle w:val="FontStyle39"/>
                                  <w:lang w:val="el-GR" w:eastAsia="el-GR"/>
                                </w:rPr>
                                <w:t>Αλληλεπιδρών δοσολογικό</w:t>
                              </w:r>
                            </w:p>
                          </w:tc>
                          <w:tc>
                            <w:tcPr>
                              <w:tcW w:w="3014" w:type="dxa"/>
                              <w:gridSpan w:val="3"/>
                              <w:tcBorders>
                                <w:top w:val="single" w:sz="6" w:space="0" w:color="auto"/>
                                <w:left w:val="nil"/>
                                <w:bottom w:val="nil"/>
                                <w:right w:val="nil"/>
                              </w:tcBorders>
                            </w:tcPr>
                            <w:p w:rsidR="00E317F9" w:rsidRDefault="00E317F9">
                              <w:pPr>
                                <w:pStyle w:val="Style27"/>
                                <w:widowControl/>
                                <w:ind w:left="475"/>
                                <w:rPr>
                                  <w:rStyle w:val="FontStyle39"/>
                                  <w:lang w:val="el-GR" w:eastAsia="el-GR"/>
                                </w:rPr>
                              </w:pPr>
                              <w:r>
                                <w:rPr>
                                  <w:rStyle w:val="FontStyle39"/>
                                  <w:lang w:val="el-GR" w:eastAsia="el-GR"/>
                                </w:rPr>
                                <w:t>Δοσολογικό σχήμα</w:t>
                              </w:r>
                            </w:p>
                          </w:tc>
                          <w:tc>
                            <w:tcPr>
                              <w:tcW w:w="2482" w:type="dxa"/>
                              <w:gridSpan w:val="2"/>
                              <w:tcBorders>
                                <w:top w:val="single" w:sz="6" w:space="0" w:color="auto"/>
                                <w:left w:val="nil"/>
                                <w:bottom w:val="nil"/>
                                <w:right w:val="nil"/>
                              </w:tcBorders>
                            </w:tcPr>
                            <w:p w:rsidR="00E317F9" w:rsidRDefault="00E317F9">
                              <w:pPr>
                                <w:pStyle w:val="Style27"/>
                                <w:widowControl/>
                                <w:jc w:val="center"/>
                                <w:rPr>
                                  <w:rStyle w:val="FontStyle39"/>
                                  <w:lang w:val="el-GR" w:eastAsia="el-GR"/>
                                </w:rPr>
                              </w:pPr>
                              <w:r>
                                <w:rPr>
                                  <w:rStyle w:val="FontStyle39"/>
                                  <w:lang w:val="el-GR" w:eastAsia="el-GR"/>
                                </w:rPr>
                                <w:t>Μεταβολή στην</w:t>
                              </w:r>
                            </w:p>
                          </w:tc>
                        </w:tr>
                        <w:tr w:rsidR="00E317F9">
                          <w:tblPrEx>
                            <w:tblCellMar>
                              <w:top w:w="0" w:type="dxa"/>
                              <w:bottom w:w="0" w:type="dxa"/>
                            </w:tblCellMar>
                          </w:tblPrEx>
                          <w:trPr>
                            <w:gridAfter w:val="1"/>
                            <w:wAfter w:w="591" w:type="dxa"/>
                          </w:trPr>
                          <w:tc>
                            <w:tcPr>
                              <w:tcW w:w="3787" w:type="dxa"/>
                              <w:gridSpan w:val="3"/>
                              <w:tcBorders>
                                <w:top w:val="nil"/>
                                <w:left w:val="nil"/>
                                <w:bottom w:val="nil"/>
                                <w:right w:val="nil"/>
                              </w:tcBorders>
                            </w:tcPr>
                            <w:p w:rsidR="00E317F9" w:rsidRDefault="00E317F9">
                              <w:pPr>
                                <w:pStyle w:val="Style27"/>
                                <w:widowControl/>
                                <w:rPr>
                                  <w:rStyle w:val="FontStyle39"/>
                                  <w:lang w:val="el-GR" w:eastAsia="el-GR"/>
                                </w:rPr>
                              </w:pPr>
                              <w:r>
                                <w:rPr>
                                  <w:rStyle w:val="FontStyle39"/>
                                  <w:lang w:val="el-GR" w:eastAsia="el-GR"/>
                                </w:rPr>
                                <w:t>σχήμα</w:t>
                              </w:r>
                            </w:p>
                          </w:tc>
                          <w:tc>
                            <w:tcPr>
                              <w:tcW w:w="3014" w:type="dxa"/>
                              <w:gridSpan w:val="3"/>
                              <w:tcBorders>
                                <w:top w:val="nil"/>
                                <w:left w:val="nil"/>
                                <w:bottom w:val="nil"/>
                                <w:right w:val="nil"/>
                              </w:tcBorders>
                            </w:tcPr>
                            <w:p w:rsidR="00E317F9" w:rsidRDefault="00E317F9">
                              <w:pPr>
                                <w:pStyle w:val="Style27"/>
                                <w:widowControl/>
                                <w:ind w:left="557"/>
                                <w:rPr>
                                  <w:rStyle w:val="FontStyle39"/>
                                  <w:lang w:val="el-GR" w:eastAsia="el-GR"/>
                                </w:rPr>
                              </w:pPr>
                              <w:r>
                                <w:rPr>
                                  <w:rStyle w:val="FontStyle39"/>
                                  <w:lang w:val="el-GR" w:eastAsia="el-GR"/>
                                </w:rPr>
                                <w:t>ροσουβαστατίνης</w:t>
                              </w:r>
                            </w:p>
                          </w:tc>
                          <w:tc>
                            <w:tcPr>
                              <w:tcW w:w="2482" w:type="dxa"/>
                              <w:gridSpan w:val="2"/>
                              <w:tcBorders>
                                <w:top w:val="nil"/>
                                <w:left w:val="nil"/>
                                <w:bottom w:val="nil"/>
                                <w:right w:val="nil"/>
                              </w:tcBorders>
                            </w:tcPr>
                            <w:p w:rsidR="00E317F9" w:rsidRDefault="00E317F9">
                              <w:pPr>
                                <w:pStyle w:val="Style27"/>
                                <w:widowControl/>
                                <w:jc w:val="center"/>
                                <w:rPr>
                                  <w:rStyle w:val="FontStyle39"/>
                                  <w:lang w:val="el-GR"/>
                                </w:rPr>
                              </w:pPr>
                              <w:r>
                                <w:rPr>
                                  <w:rStyle w:val="FontStyle39"/>
                                </w:rPr>
                                <w:t xml:space="preserve">AUC* </w:t>
                              </w:r>
                              <w:r>
                                <w:rPr>
                                  <w:rStyle w:val="FontStyle39"/>
                                  <w:lang w:val="el-GR"/>
                                </w:rPr>
                                <w:t>της</w:t>
                              </w:r>
                            </w:p>
                          </w:tc>
                        </w:tr>
                        <w:tr w:rsidR="00E317F9">
                          <w:tblPrEx>
                            <w:tblCellMar>
                              <w:top w:w="0" w:type="dxa"/>
                              <w:bottom w:w="0" w:type="dxa"/>
                            </w:tblCellMar>
                          </w:tblPrEx>
                          <w:trPr>
                            <w:gridAfter w:val="1"/>
                            <w:wAfter w:w="591" w:type="dxa"/>
                          </w:trPr>
                          <w:tc>
                            <w:tcPr>
                              <w:tcW w:w="3787" w:type="dxa"/>
                              <w:gridSpan w:val="3"/>
                              <w:tcBorders>
                                <w:top w:val="nil"/>
                                <w:left w:val="nil"/>
                                <w:bottom w:val="single" w:sz="6" w:space="0" w:color="auto"/>
                                <w:right w:val="nil"/>
                              </w:tcBorders>
                            </w:tcPr>
                            <w:p w:rsidR="00E317F9" w:rsidRDefault="00E317F9">
                              <w:pPr>
                                <w:pStyle w:val="Style20"/>
                                <w:widowControl/>
                              </w:pPr>
                            </w:p>
                          </w:tc>
                          <w:tc>
                            <w:tcPr>
                              <w:tcW w:w="3014" w:type="dxa"/>
                              <w:gridSpan w:val="3"/>
                              <w:tcBorders>
                                <w:top w:val="nil"/>
                                <w:left w:val="nil"/>
                                <w:bottom w:val="single" w:sz="6" w:space="0" w:color="auto"/>
                                <w:right w:val="nil"/>
                              </w:tcBorders>
                            </w:tcPr>
                            <w:p w:rsidR="00E317F9" w:rsidRDefault="00E317F9">
                              <w:pPr>
                                <w:pStyle w:val="Style20"/>
                                <w:widowControl/>
                              </w:pPr>
                            </w:p>
                          </w:tc>
                          <w:tc>
                            <w:tcPr>
                              <w:tcW w:w="2482" w:type="dxa"/>
                              <w:gridSpan w:val="2"/>
                              <w:tcBorders>
                                <w:top w:val="nil"/>
                                <w:left w:val="nil"/>
                                <w:bottom w:val="single" w:sz="6" w:space="0" w:color="auto"/>
                                <w:right w:val="nil"/>
                              </w:tcBorders>
                            </w:tcPr>
                            <w:p w:rsidR="00E317F9" w:rsidRDefault="00E317F9">
                              <w:pPr>
                                <w:pStyle w:val="Style27"/>
                                <w:widowControl/>
                                <w:jc w:val="center"/>
                                <w:rPr>
                                  <w:rStyle w:val="FontStyle39"/>
                                  <w:lang w:val="el-GR" w:eastAsia="el-GR"/>
                                </w:rPr>
                              </w:pPr>
                              <w:r>
                                <w:rPr>
                                  <w:rStyle w:val="FontStyle39"/>
                                  <w:lang w:val="el-GR" w:eastAsia="el-GR"/>
                                </w:rPr>
                                <w:t>ροσουβαστατίνης</w:t>
                              </w:r>
                            </w:p>
                          </w:tc>
                        </w:tr>
                        <w:tr w:rsidR="00E317F9">
                          <w:tblPrEx>
                            <w:tblCellMar>
                              <w:top w:w="0" w:type="dxa"/>
                              <w:bottom w:w="0" w:type="dxa"/>
                            </w:tblCellMar>
                          </w:tblPrEx>
                          <w:trPr>
                            <w:gridAfter w:val="1"/>
                            <w:wAfter w:w="591" w:type="dxa"/>
                          </w:trPr>
                          <w:tc>
                            <w:tcPr>
                              <w:tcW w:w="3787" w:type="dxa"/>
                              <w:gridSpan w:val="3"/>
                              <w:tcBorders>
                                <w:top w:val="single" w:sz="6" w:space="0" w:color="auto"/>
                                <w:left w:val="nil"/>
                                <w:bottom w:val="nil"/>
                                <w:right w:val="nil"/>
                              </w:tcBorders>
                            </w:tcPr>
                            <w:p w:rsidR="00E317F9" w:rsidRDefault="00E317F9">
                              <w:pPr>
                                <w:pStyle w:val="Style28"/>
                                <w:widowControl/>
                                <w:rPr>
                                  <w:rStyle w:val="FontStyle41"/>
                                  <w:lang w:val="el-GR" w:eastAsia="el-GR"/>
                                </w:rPr>
                              </w:pPr>
                              <w:r>
                                <w:rPr>
                                  <w:rStyle w:val="FontStyle41"/>
                                  <w:lang w:val="el-GR" w:eastAsia="el-GR"/>
                                </w:rPr>
                                <w:t xml:space="preserve">Ερυθρομυκίνη 500 </w:t>
                              </w:r>
                              <w:r>
                                <w:rPr>
                                  <w:rStyle w:val="FontStyle41"/>
                                  <w:lang w:eastAsia="el-GR"/>
                                </w:rPr>
                                <w:t xml:space="preserve">mg QID, </w:t>
                              </w:r>
                              <w:r>
                                <w:rPr>
                                  <w:rStyle w:val="FontStyle41"/>
                                  <w:lang w:val="el-GR" w:eastAsia="el-GR"/>
                                </w:rPr>
                                <w:t>7</w:t>
                              </w:r>
                            </w:p>
                          </w:tc>
                          <w:tc>
                            <w:tcPr>
                              <w:tcW w:w="3014" w:type="dxa"/>
                              <w:gridSpan w:val="3"/>
                              <w:tcBorders>
                                <w:top w:val="single" w:sz="6" w:space="0" w:color="auto"/>
                                <w:left w:val="nil"/>
                                <w:bottom w:val="nil"/>
                                <w:right w:val="nil"/>
                              </w:tcBorders>
                            </w:tcPr>
                            <w:p w:rsidR="00E317F9" w:rsidRDefault="00E317F9">
                              <w:pPr>
                                <w:pStyle w:val="Style28"/>
                                <w:widowControl/>
                                <w:ind w:left="485"/>
                                <w:rPr>
                                  <w:rStyle w:val="FontStyle41"/>
                                  <w:lang w:val="el-GR" w:eastAsia="el-GR"/>
                                </w:rPr>
                              </w:pPr>
                              <w:r>
                                <w:rPr>
                                  <w:rStyle w:val="FontStyle41"/>
                                  <w:lang w:val="el-GR" w:eastAsia="el-GR"/>
                                </w:rPr>
                                <w:t xml:space="preserve">80 </w:t>
                              </w:r>
                              <w:r>
                                <w:rPr>
                                  <w:rStyle w:val="FontStyle41"/>
                                  <w:lang w:eastAsia="el-GR"/>
                                </w:rPr>
                                <w:t xml:space="preserve">mg, </w:t>
                              </w:r>
                              <w:r>
                                <w:rPr>
                                  <w:rStyle w:val="FontStyle41"/>
                                  <w:lang w:val="el-GR" w:eastAsia="el-GR"/>
                                </w:rPr>
                                <w:t>εφάπαξ δόση</w:t>
                              </w:r>
                            </w:p>
                          </w:tc>
                          <w:tc>
                            <w:tcPr>
                              <w:tcW w:w="2482" w:type="dxa"/>
                              <w:gridSpan w:val="2"/>
                              <w:tcBorders>
                                <w:top w:val="single" w:sz="6" w:space="0" w:color="auto"/>
                                <w:left w:val="nil"/>
                                <w:bottom w:val="nil"/>
                                <w:right w:val="nil"/>
                              </w:tcBorders>
                            </w:tcPr>
                            <w:p w:rsidR="00E317F9" w:rsidRDefault="00E317F9">
                              <w:pPr>
                                <w:pStyle w:val="Style28"/>
                                <w:widowControl/>
                                <w:jc w:val="center"/>
                                <w:rPr>
                                  <w:rStyle w:val="FontStyle43"/>
                                  <w:lang w:val="el-GR" w:eastAsia="el-GR"/>
                                </w:rPr>
                              </w:pPr>
                              <w:r>
                                <w:rPr>
                                  <w:rStyle w:val="FontStyle41"/>
                                  <w:lang w:val="el-GR" w:eastAsia="el-GR"/>
                                </w:rPr>
                                <w:t xml:space="preserve">28% </w:t>
                              </w:r>
                              <w:r>
                                <w:rPr>
                                  <w:rStyle w:val="FontStyle43"/>
                                  <w:lang w:val="el-GR" w:eastAsia="el-GR"/>
                                </w:rPr>
                                <w:t>1</w:t>
                              </w:r>
                            </w:p>
                          </w:tc>
                        </w:tr>
                        <w:tr w:rsidR="00E317F9">
                          <w:tblPrEx>
                            <w:tblCellMar>
                              <w:top w:w="0" w:type="dxa"/>
                              <w:bottom w:w="0" w:type="dxa"/>
                            </w:tblCellMar>
                          </w:tblPrEx>
                          <w:trPr>
                            <w:gridAfter w:val="1"/>
                            <w:wAfter w:w="591" w:type="dxa"/>
                          </w:trPr>
                          <w:tc>
                            <w:tcPr>
                              <w:tcW w:w="3787" w:type="dxa"/>
                              <w:gridSpan w:val="3"/>
                              <w:tcBorders>
                                <w:top w:val="nil"/>
                                <w:left w:val="nil"/>
                                <w:bottom w:val="nil"/>
                                <w:right w:val="nil"/>
                              </w:tcBorders>
                            </w:tcPr>
                            <w:p w:rsidR="00E317F9" w:rsidRDefault="00E317F9">
                              <w:pPr>
                                <w:pStyle w:val="Style28"/>
                                <w:widowControl/>
                                <w:rPr>
                                  <w:rStyle w:val="FontStyle41"/>
                                  <w:lang w:val="el-GR" w:eastAsia="el-GR"/>
                                </w:rPr>
                              </w:pPr>
                              <w:r>
                                <w:rPr>
                                  <w:rStyle w:val="FontStyle41"/>
                                  <w:lang w:val="el-GR" w:eastAsia="el-GR"/>
                                </w:rPr>
                                <w:t>ημέρες</w:t>
                              </w:r>
                            </w:p>
                          </w:tc>
                          <w:tc>
                            <w:tcPr>
                              <w:tcW w:w="3014" w:type="dxa"/>
                              <w:gridSpan w:val="3"/>
                              <w:tcBorders>
                                <w:top w:val="nil"/>
                                <w:left w:val="nil"/>
                                <w:bottom w:val="nil"/>
                                <w:right w:val="nil"/>
                              </w:tcBorders>
                            </w:tcPr>
                            <w:p w:rsidR="00E317F9" w:rsidRDefault="00E317F9">
                              <w:pPr>
                                <w:pStyle w:val="Style20"/>
                                <w:widowControl/>
                              </w:pPr>
                            </w:p>
                          </w:tc>
                          <w:tc>
                            <w:tcPr>
                              <w:tcW w:w="2482" w:type="dxa"/>
                              <w:gridSpan w:val="2"/>
                              <w:tcBorders>
                                <w:top w:val="nil"/>
                                <w:left w:val="nil"/>
                                <w:bottom w:val="nil"/>
                                <w:right w:val="nil"/>
                              </w:tcBorders>
                            </w:tcPr>
                            <w:p w:rsidR="00E317F9" w:rsidRDefault="00E317F9">
                              <w:pPr>
                                <w:pStyle w:val="Style20"/>
                                <w:widowControl/>
                              </w:pPr>
                            </w:p>
                          </w:tc>
                        </w:tr>
                        <w:tr w:rsidR="00E317F9">
                          <w:tblPrEx>
                            <w:tblCellMar>
                              <w:top w:w="0" w:type="dxa"/>
                              <w:bottom w:w="0" w:type="dxa"/>
                            </w:tblCellMar>
                          </w:tblPrEx>
                          <w:trPr>
                            <w:gridAfter w:val="1"/>
                            <w:wAfter w:w="591" w:type="dxa"/>
                          </w:trPr>
                          <w:tc>
                            <w:tcPr>
                              <w:tcW w:w="3787" w:type="dxa"/>
                              <w:gridSpan w:val="3"/>
                              <w:tcBorders>
                                <w:top w:val="nil"/>
                                <w:left w:val="nil"/>
                                <w:bottom w:val="single" w:sz="6" w:space="0" w:color="auto"/>
                                <w:right w:val="nil"/>
                              </w:tcBorders>
                            </w:tcPr>
                            <w:p w:rsidR="00E317F9" w:rsidRDefault="00E317F9">
                              <w:pPr>
                                <w:pStyle w:val="Style28"/>
                                <w:widowControl/>
                                <w:rPr>
                                  <w:rStyle w:val="FontStyle41"/>
                                  <w:lang w:val="el-GR"/>
                                </w:rPr>
                              </w:pPr>
                              <w:r>
                                <w:rPr>
                                  <w:rStyle w:val="FontStyle41"/>
                                </w:rPr>
                                <w:t xml:space="preserve">Baicalin </w:t>
                              </w:r>
                              <w:r>
                                <w:rPr>
                                  <w:rStyle w:val="FontStyle41"/>
                                  <w:lang w:val="el-GR"/>
                                </w:rPr>
                                <w:t xml:space="preserve">50 </w:t>
                              </w:r>
                              <w:r>
                                <w:rPr>
                                  <w:rStyle w:val="FontStyle41"/>
                                </w:rPr>
                                <w:t xml:space="preserve">mg TID, </w:t>
                              </w:r>
                              <w:r>
                                <w:rPr>
                                  <w:rStyle w:val="FontStyle41"/>
                                  <w:lang w:val="el-GR"/>
                                </w:rPr>
                                <w:t>14 ημέρες</w:t>
                              </w:r>
                            </w:p>
                          </w:tc>
                          <w:tc>
                            <w:tcPr>
                              <w:tcW w:w="3014" w:type="dxa"/>
                              <w:gridSpan w:val="3"/>
                              <w:tcBorders>
                                <w:top w:val="nil"/>
                                <w:left w:val="nil"/>
                                <w:bottom w:val="single" w:sz="6" w:space="0" w:color="auto"/>
                                <w:right w:val="nil"/>
                              </w:tcBorders>
                            </w:tcPr>
                            <w:p w:rsidR="00E317F9" w:rsidRDefault="00E317F9">
                              <w:pPr>
                                <w:pStyle w:val="Style28"/>
                                <w:widowControl/>
                                <w:ind w:left="485"/>
                                <w:rPr>
                                  <w:rStyle w:val="FontStyle41"/>
                                  <w:lang w:val="el-GR" w:eastAsia="el-GR"/>
                                </w:rPr>
                              </w:pPr>
                              <w:r>
                                <w:rPr>
                                  <w:rStyle w:val="FontStyle41"/>
                                  <w:lang w:val="el-GR" w:eastAsia="el-GR"/>
                                </w:rPr>
                                <w:t xml:space="preserve">20 </w:t>
                              </w:r>
                              <w:r>
                                <w:rPr>
                                  <w:rStyle w:val="FontStyle41"/>
                                  <w:lang w:eastAsia="el-GR"/>
                                </w:rPr>
                                <w:t xml:space="preserve">mg, </w:t>
                              </w:r>
                              <w:r>
                                <w:rPr>
                                  <w:rStyle w:val="FontStyle41"/>
                                  <w:lang w:val="el-GR" w:eastAsia="el-GR"/>
                                </w:rPr>
                                <w:t>εφάπαξ δόση</w:t>
                              </w:r>
                            </w:p>
                          </w:tc>
                          <w:tc>
                            <w:tcPr>
                              <w:tcW w:w="2482" w:type="dxa"/>
                              <w:gridSpan w:val="2"/>
                              <w:tcBorders>
                                <w:top w:val="nil"/>
                                <w:left w:val="nil"/>
                                <w:bottom w:val="single" w:sz="6" w:space="0" w:color="auto"/>
                                <w:right w:val="nil"/>
                              </w:tcBorders>
                            </w:tcPr>
                            <w:p w:rsidR="00E317F9" w:rsidRDefault="00E317F9">
                              <w:pPr>
                                <w:pStyle w:val="Style28"/>
                                <w:widowControl/>
                                <w:jc w:val="center"/>
                                <w:rPr>
                                  <w:rStyle w:val="FontStyle43"/>
                                  <w:lang w:val="el-GR" w:eastAsia="el-GR"/>
                                </w:rPr>
                              </w:pPr>
                              <w:r>
                                <w:rPr>
                                  <w:rStyle w:val="FontStyle41"/>
                                  <w:lang w:val="el-GR" w:eastAsia="el-GR"/>
                                </w:rPr>
                                <w:t xml:space="preserve">47% </w:t>
                              </w:r>
                              <w:r>
                                <w:rPr>
                                  <w:rStyle w:val="FontStyle43"/>
                                  <w:lang w:val="el-GR" w:eastAsia="el-GR"/>
                                </w:rPr>
                                <w:t>1</w:t>
                              </w:r>
                            </w:p>
                          </w:tc>
                        </w:tr>
                      </w:tbl>
                    </w:txbxContent>
                  </v:textbox>
                </v:shape>
                <v:shape id="Text Box 7" o:spid="_x0000_s1031" type="#_x0000_t202" style="position:absolute;left:1431;top:1253;width:8703;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E317F9" w:rsidRDefault="00E317F9">
                        <w:pPr>
                          <w:pStyle w:val="Style34"/>
                          <w:widowControl/>
                          <w:tabs>
                            <w:tab w:val="left" w:leader="underscore" w:pos="8702"/>
                          </w:tabs>
                          <w:rPr>
                            <w:rStyle w:val="FontStyle44"/>
                            <w:lang w:val="el-GR" w:eastAsia="el-GR"/>
                          </w:rPr>
                        </w:pPr>
                        <w:r>
                          <w:rPr>
                            <w:rStyle w:val="FontStyle44"/>
                            <w:lang w:val="el-GR" w:eastAsia="el-GR"/>
                          </w:rPr>
                          <w:t>Πίνακας 1. Επιδράσεις συγχορηγούμενων φαρμακευτικών προϊόντων</w:t>
                        </w:r>
                        <w:r>
                          <w:rPr>
                            <w:rStyle w:val="FontStyle44"/>
                            <w:lang w:val="el-GR" w:eastAsia="el-GR"/>
                          </w:rPr>
                          <w:br/>
                          <w:t xml:space="preserve">στην έκθεση ροσουβαστατίνης </w:t>
                        </w:r>
                        <w:r w:rsidRPr="00F7301B">
                          <w:rPr>
                            <w:rStyle w:val="FontStyle44"/>
                            <w:lang w:val="el-GR" w:eastAsia="el-GR"/>
                          </w:rPr>
                          <w:t>(</w:t>
                        </w:r>
                        <w:r>
                          <w:rPr>
                            <w:rStyle w:val="FontStyle44"/>
                            <w:lang w:eastAsia="el-GR"/>
                          </w:rPr>
                          <w:t>AUC</w:t>
                        </w:r>
                        <w:r w:rsidRPr="00F7301B">
                          <w:rPr>
                            <w:rStyle w:val="FontStyle44"/>
                            <w:lang w:val="el-GR" w:eastAsia="el-GR"/>
                          </w:rPr>
                          <w:t xml:space="preserve"> </w:t>
                        </w:r>
                        <w:r>
                          <w:rPr>
                            <w:rStyle w:val="FontStyle44"/>
                            <w:lang w:val="el-GR" w:eastAsia="el-GR"/>
                          </w:rPr>
                          <w:t>σε φθίνουσα σειρά μεγέθους) από</w:t>
                        </w:r>
                        <w:r>
                          <w:rPr>
                            <w:rStyle w:val="FontStyle44"/>
                            <w:lang w:val="el-GR" w:eastAsia="el-GR"/>
                          </w:rPr>
                          <w:br/>
                        </w:r>
                        <w:r>
                          <w:rPr>
                            <w:rStyle w:val="FontStyle44"/>
                            <w:u w:val="single"/>
                            <w:lang w:val="el-GR" w:eastAsia="el-GR"/>
                          </w:rPr>
                          <w:t>δημοσιευμένες μελέτες</w:t>
                        </w:r>
                        <w:r>
                          <w:rPr>
                            <w:rStyle w:val="FontStyle44"/>
                            <w:lang w:val="el-GR" w:eastAsia="el-GR"/>
                          </w:rPr>
                          <w:tab/>
                        </w:r>
                      </w:p>
                    </w:txbxContent>
                  </v:textbox>
                </v:shape>
                <v:shape id="Text Box 8" o:spid="_x0000_s1032" type="#_x0000_t202" style="position:absolute;left:1421;top:4071;width:9086;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E317F9" w:rsidRDefault="00E317F9">
                        <w:pPr>
                          <w:pStyle w:val="Style16"/>
                          <w:widowControl/>
                          <w:spacing w:line="192" w:lineRule="exact"/>
                          <w:ind w:left="178"/>
                          <w:rPr>
                            <w:rStyle w:val="FontStyle42"/>
                            <w:lang w:val="el-GR" w:eastAsia="el-GR"/>
                          </w:rPr>
                        </w:pPr>
                        <w:r>
                          <w:rPr>
                            <w:rStyle w:val="FontStyle42"/>
                            <w:lang w:val="el-GR" w:eastAsia="el-GR"/>
                          </w:rPr>
                          <w:t xml:space="preserve">* Τα δεδομένα που δίνονται ως μεταβολή κατά </w:t>
                        </w:r>
                        <w:r>
                          <w:rPr>
                            <w:rStyle w:val="FontStyle42"/>
                            <w:lang w:eastAsia="el-GR"/>
                          </w:rPr>
                          <w:t>x</w:t>
                        </w:r>
                        <w:r>
                          <w:rPr>
                            <w:rStyle w:val="FontStyle42"/>
                            <w:lang w:val="el-GR" w:eastAsia="el-GR"/>
                          </w:rPr>
                          <w:t>-φορές αντιπροσωπεύουν μια απλή αναλογία μεταξύ της συγχορήγησης και της ροσουβαστατίνης μόνο. Τα δεδομένα που δίνονται ως % μεταβολή αντιπροσωπεύουν την επί της εκατό (%) διαφορά σε σχέση μόνο με τη ροσουβαστατίνη.</w:t>
                        </w:r>
                      </w:p>
                      <w:p w:rsidR="00E317F9" w:rsidRDefault="00E317F9">
                        <w:pPr>
                          <w:pStyle w:val="Style16"/>
                          <w:widowControl/>
                          <w:spacing w:before="120" w:line="240" w:lineRule="auto"/>
                          <w:ind w:firstLine="0"/>
                          <w:rPr>
                            <w:rStyle w:val="FontStyle42"/>
                            <w:lang w:val="el-GR" w:eastAsia="el-GR"/>
                          </w:rPr>
                        </w:pPr>
                        <w:r>
                          <w:rPr>
                            <w:rStyle w:val="FontStyle42"/>
                            <w:lang w:val="el-GR" w:eastAsia="el-GR"/>
                          </w:rPr>
                          <w:t>Η αύξηση σημειώνεται με το σύμβολο "Τ", καμία μεταβολή με το "ο", μείωση με το "4Λ</w:t>
                        </w:r>
                      </w:p>
                      <w:p w:rsidR="00E317F9" w:rsidRDefault="00E317F9">
                        <w:pPr>
                          <w:pStyle w:val="Style30"/>
                          <w:widowControl/>
                          <w:spacing w:before="125"/>
                          <w:jc w:val="left"/>
                          <w:rPr>
                            <w:rStyle w:val="FontStyle42"/>
                            <w:lang w:val="el-GR" w:eastAsia="el-GR"/>
                          </w:rPr>
                        </w:pPr>
                        <w:r>
                          <w:rPr>
                            <w:rStyle w:val="FontStyle42"/>
                            <w:lang w:val="el-GR" w:eastAsia="el-GR"/>
                          </w:rPr>
                          <w:t xml:space="preserve">** Έχουν πραγματοποιηθεί διάφορες μελέτες αλληλεπιδράσεων σε διαφορετικές δόσεις </w:t>
                        </w:r>
                        <w:r>
                          <w:rPr>
                            <w:rStyle w:val="FontStyle42"/>
                            <w:lang w:eastAsia="el-GR"/>
                          </w:rPr>
                          <w:t>ROSUVAL</w:t>
                        </w:r>
                        <w:r w:rsidRPr="00F7301B">
                          <w:rPr>
                            <w:rStyle w:val="FontStyle42"/>
                            <w:lang w:val="el-GR" w:eastAsia="el-GR"/>
                          </w:rPr>
                          <w:t>/</w:t>
                        </w:r>
                        <w:r>
                          <w:rPr>
                            <w:rStyle w:val="FontStyle42"/>
                            <w:lang w:eastAsia="el-GR"/>
                          </w:rPr>
                          <w:t>HEREMCO</w:t>
                        </w:r>
                        <w:r w:rsidRPr="00F7301B">
                          <w:rPr>
                            <w:rStyle w:val="FontStyle42"/>
                            <w:lang w:val="el-GR" w:eastAsia="el-GR"/>
                          </w:rPr>
                          <w:t xml:space="preserve"> , </w:t>
                        </w:r>
                        <w:r>
                          <w:rPr>
                            <w:rStyle w:val="FontStyle42"/>
                            <w:lang w:val="el-GR" w:eastAsia="el-GR"/>
                          </w:rPr>
                          <w:t>ωστόσο ο πίνακας δείχνει τις πιο σημαντικές αναλογίες</w:t>
                        </w:r>
                      </w:p>
                      <w:p w:rsidR="00E317F9" w:rsidRDefault="00E317F9">
                        <w:pPr>
                          <w:pStyle w:val="Style30"/>
                          <w:widowControl/>
                          <w:tabs>
                            <w:tab w:val="left" w:leader="underscore" w:pos="9082"/>
                          </w:tabs>
                          <w:spacing w:before="110"/>
                          <w:jc w:val="left"/>
                          <w:rPr>
                            <w:rStyle w:val="FontStyle42"/>
                            <w:lang w:val="el-GR"/>
                          </w:rPr>
                        </w:pPr>
                        <w:r>
                          <w:rPr>
                            <w:rStyle w:val="FontStyle42"/>
                          </w:rPr>
                          <w:t>OD</w:t>
                        </w:r>
                        <w:r w:rsidRPr="00F7301B">
                          <w:rPr>
                            <w:rStyle w:val="FontStyle42"/>
                            <w:lang w:val="el-GR"/>
                          </w:rPr>
                          <w:t xml:space="preserve"> </w:t>
                        </w:r>
                        <w:r>
                          <w:rPr>
                            <w:rStyle w:val="FontStyle42"/>
                            <w:lang w:val="el-GR"/>
                          </w:rPr>
                          <w:t xml:space="preserve">= μια φορά την ημέρα; </w:t>
                        </w:r>
                        <w:r>
                          <w:rPr>
                            <w:rStyle w:val="FontStyle42"/>
                          </w:rPr>
                          <w:t>BID</w:t>
                        </w:r>
                        <w:r w:rsidRPr="00F7301B">
                          <w:rPr>
                            <w:rStyle w:val="FontStyle42"/>
                            <w:lang w:val="el-GR"/>
                          </w:rPr>
                          <w:t xml:space="preserve"> </w:t>
                        </w:r>
                        <w:r>
                          <w:rPr>
                            <w:rStyle w:val="FontStyle42"/>
                            <w:lang w:val="el-GR"/>
                          </w:rPr>
                          <w:t xml:space="preserve">= δυο φορές την ημέρα; </w:t>
                        </w:r>
                        <w:r>
                          <w:rPr>
                            <w:rStyle w:val="FontStyle42"/>
                          </w:rPr>
                          <w:t>TID</w:t>
                        </w:r>
                        <w:r w:rsidRPr="00F7301B">
                          <w:rPr>
                            <w:rStyle w:val="FontStyle42"/>
                            <w:lang w:val="el-GR"/>
                          </w:rPr>
                          <w:t xml:space="preserve"> </w:t>
                        </w:r>
                        <w:r>
                          <w:rPr>
                            <w:rStyle w:val="FontStyle42"/>
                            <w:lang w:val="el-GR"/>
                          </w:rPr>
                          <w:t xml:space="preserve">= τρεις φορές την ημέρα; </w:t>
                        </w:r>
                        <w:r>
                          <w:rPr>
                            <w:rStyle w:val="FontStyle42"/>
                          </w:rPr>
                          <w:t xml:space="preserve">QID </w:t>
                        </w:r>
                        <w:r>
                          <w:rPr>
                            <w:rStyle w:val="FontStyle42"/>
                            <w:lang w:val="el-GR"/>
                          </w:rPr>
                          <w:t>= τέσσερις φορές</w:t>
                        </w:r>
                        <w:r>
                          <w:rPr>
                            <w:rStyle w:val="FontStyle42"/>
                            <w:lang w:val="el-GR"/>
                          </w:rPr>
                          <w:br/>
                        </w:r>
                        <w:r>
                          <w:rPr>
                            <w:rStyle w:val="FontStyle42"/>
                            <w:u w:val="single"/>
                            <w:lang w:val="el-GR"/>
                          </w:rPr>
                          <w:t>την ημέρα</w:t>
                        </w:r>
                        <w:r>
                          <w:rPr>
                            <w:rStyle w:val="FontStyle42"/>
                            <w:lang w:val="el-GR"/>
                          </w:rPr>
                          <w:tab/>
                        </w:r>
                      </w:p>
                    </w:txbxContent>
                  </v:textbox>
                </v:shape>
                <w10:wrap type="topAndBottom" anchorx="margin"/>
              </v:group>
            </w:pict>
          </mc:Fallback>
        </mc:AlternateContent>
      </w:r>
      <w:r w:rsidR="00A502AA">
        <w:rPr>
          <w:rStyle w:val="FontStyle45"/>
          <w:u w:val="single"/>
          <w:lang w:val="el-GR" w:eastAsia="el-GR"/>
        </w:rPr>
        <w:t>Επίδραση της ροσουβαστατίνης σε συγχορηγούμενα φαρμακευτικά προϊόντα</w:t>
      </w:r>
    </w:p>
    <w:p w:rsidR="00A502AA" w:rsidRPr="00F7301B" w:rsidRDefault="00A502AA">
      <w:pPr>
        <w:pStyle w:val="Style7"/>
        <w:widowControl/>
        <w:spacing w:before="130" w:line="264" w:lineRule="exact"/>
        <w:rPr>
          <w:rStyle w:val="FontStyle45"/>
          <w:lang w:val="el-GR" w:eastAsia="el-GR"/>
        </w:rPr>
      </w:pPr>
      <w:r>
        <w:rPr>
          <w:rStyle w:val="FontStyle44"/>
          <w:lang w:val="el-GR" w:eastAsia="el-GR"/>
        </w:rPr>
        <w:t xml:space="preserve">Ανταγωνιστές της βιταμίνης Κ: </w:t>
      </w:r>
      <w:r>
        <w:rPr>
          <w:rStyle w:val="FontStyle45"/>
          <w:lang w:val="el-GR" w:eastAsia="el-GR"/>
        </w:rPr>
        <w:t xml:space="preserve">Όπως και με άλλους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η έναρξη της θεραπείας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ή η ρύθμιση σε μεγαλύτερες δόσεις σε ασθενείς που λαμβάνουν συγχρόνως ανταγωνιστές της βιταμίνης Κ (π.χ. βαρφαρίνη ή άλλα κουμαρινικά αντιπηκτικά) μπορεί να επιφέρει αύξηση στις τιμές </w:t>
      </w:r>
      <w:r>
        <w:rPr>
          <w:rStyle w:val="FontStyle45"/>
          <w:lang w:eastAsia="el-GR"/>
        </w:rPr>
        <w:t>INR</w:t>
      </w:r>
      <w:r w:rsidRPr="00F7301B">
        <w:rPr>
          <w:rStyle w:val="FontStyle45"/>
          <w:lang w:val="el-GR" w:eastAsia="el-GR"/>
        </w:rPr>
        <w:t xml:space="preserve"> (</w:t>
      </w:r>
      <w:r>
        <w:rPr>
          <w:rStyle w:val="FontStyle45"/>
          <w:lang w:eastAsia="el-GR"/>
        </w:rPr>
        <w:t>International</w:t>
      </w:r>
      <w:r w:rsidRPr="00F7301B">
        <w:rPr>
          <w:rStyle w:val="FontStyle45"/>
          <w:lang w:val="el-GR" w:eastAsia="el-GR"/>
        </w:rPr>
        <w:t xml:space="preserve"> </w:t>
      </w:r>
      <w:r>
        <w:rPr>
          <w:rStyle w:val="FontStyle45"/>
          <w:lang w:eastAsia="el-GR"/>
        </w:rPr>
        <w:t>Normalised</w:t>
      </w:r>
      <w:r w:rsidRPr="00F7301B">
        <w:rPr>
          <w:rStyle w:val="FontStyle45"/>
          <w:lang w:val="el-GR" w:eastAsia="el-GR"/>
        </w:rPr>
        <w:t xml:space="preserve"> </w:t>
      </w:r>
      <w:r>
        <w:rPr>
          <w:rStyle w:val="FontStyle45"/>
          <w:lang w:eastAsia="el-GR"/>
        </w:rPr>
        <w:t>Ratio</w:t>
      </w:r>
      <w:r w:rsidRPr="00F7301B">
        <w:rPr>
          <w:rStyle w:val="FontStyle45"/>
          <w:lang w:val="el-GR" w:eastAsia="el-GR"/>
        </w:rPr>
        <w:t xml:space="preserve">). </w:t>
      </w:r>
      <w:r>
        <w:rPr>
          <w:rStyle w:val="FontStyle45"/>
          <w:lang w:val="el-GR" w:eastAsia="el-GR"/>
        </w:rPr>
        <w:t xml:space="preserve">Η διακοπή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ή η ρύθμιση σε μικρότερες δόσεις μπορεί να επιφέρει μείωση των τιμών </w:t>
      </w:r>
      <w:r>
        <w:rPr>
          <w:rStyle w:val="FontStyle45"/>
          <w:lang w:eastAsia="el-GR"/>
        </w:rPr>
        <w:t>INR</w:t>
      </w:r>
      <w:r w:rsidRPr="00F7301B">
        <w:rPr>
          <w:rStyle w:val="FontStyle45"/>
          <w:lang w:val="el-GR" w:eastAsia="el-GR"/>
        </w:rPr>
        <w:t xml:space="preserve">. </w:t>
      </w:r>
      <w:r>
        <w:rPr>
          <w:rStyle w:val="FontStyle45"/>
          <w:lang w:val="el-GR" w:eastAsia="el-GR"/>
        </w:rPr>
        <w:t xml:space="preserve">Στις περιπτώσεις αυτές συνιστάται κατάλληλος έλεγχος των τιμών </w:t>
      </w:r>
      <w:r>
        <w:rPr>
          <w:rStyle w:val="FontStyle45"/>
          <w:lang w:eastAsia="el-GR"/>
        </w:rPr>
        <w:t>INR</w:t>
      </w:r>
      <w:r w:rsidRPr="00F7301B">
        <w:rPr>
          <w:rStyle w:val="FontStyle45"/>
          <w:lang w:val="el-GR" w:eastAsia="el-GR"/>
        </w:rPr>
        <w:t>.</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8" w:line="264" w:lineRule="exact"/>
        <w:rPr>
          <w:rStyle w:val="FontStyle45"/>
          <w:lang w:val="el-GR" w:eastAsia="el-GR"/>
        </w:rPr>
      </w:pPr>
      <w:r>
        <w:rPr>
          <w:rStyle w:val="FontStyle44"/>
          <w:lang w:val="el-GR" w:eastAsia="el-GR"/>
        </w:rPr>
        <w:t xml:space="preserve">Από του στόματος χορηγούμενα αντισυλληπτικά/θεραπεία ορμονικής υποκατάστασης: </w:t>
      </w:r>
      <w:r>
        <w:rPr>
          <w:rStyle w:val="FontStyle45"/>
          <w:lang w:val="el-GR" w:eastAsia="el-GR"/>
        </w:rPr>
        <w:t xml:space="preserve">Ταυτόχρονη χορήγηση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 από του στόματος χορηγούμενο αντισυλληπτικό επέφερε αύξηση στην </w:t>
      </w:r>
      <w:r>
        <w:rPr>
          <w:rStyle w:val="FontStyle45"/>
          <w:lang w:eastAsia="el-GR"/>
        </w:rPr>
        <w:t>AUC</w:t>
      </w:r>
      <w:r w:rsidRPr="00F7301B">
        <w:rPr>
          <w:rStyle w:val="FontStyle45"/>
          <w:lang w:val="el-GR" w:eastAsia="el-GR"/>
        </w:rPr>
        <w:t xml:space="preserve"> </w:t>
      </w:r>
      <w:r>
        <w:rPr>
          <w:rStyle w:val="FontStyle45"/>
          <w:lang w:val="el-GR" w:eastAsia="el-GR"/>
        </w:rPr>
        <w:t xml:space="preserve">της αιθυνυλοιστραδιόλης και νοργεστρέλης κατά 26% και 34% αντίστοιχα. Θα πρέπει να λαμβάνονται υπόψη αυτά τα αυξημένα επίπεδα στο πλάσμα όταν επιλέγεται η δοσολογία των από του στόματος χορηγούμενων αντισυλληπτικών. Δεν υπάρχουν διαθέσιμα φαρμακοκινητικά στοιχεία για άτομα που λαμβάνουν ταυτόχρονα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και θεραπεία ορμονικής υποκατάστασης και συνεπώς, μια παρόμοια επίδραση δεν μπορεί να αποκλεισθεί. Εντούτοις, ο συνδυασμός έχει χρησιμοποιηθεί εκτενώς σε γυναίκες σε κλινικές μελέτες και έγινε καλά ανεκτός.</w:t>
      </w:r>
    </w:p>
    <w:p w:rsidR="00A502AA" w:rsidRPr="00F7301B" w:rsidRDefault="00A502AA">
      <w:pPr>
        <w:pStyle w:val="Style34"/>
        <w:widowControl/>
        <w:spacing w:line="240" w:lineRule="exact"/>
        <w:rPr>
          <w:sz w:val="20"/>
          <w:szCs w:val="20"/>
          <w:lang w:val="el-GR"/>
        </w:rPr>
      </w:pPr>
    </w:p>
    <w:p w:rsidR="00A502AA" w:rsidRPr="00F7301B" w:rsidRDefault="00A502AA">
      <w:pPr>
        <w:pStyle w:val="Style34"/>
        <w:widowControl/>
        <w:spacing w:line="240" w:lineRule="exact"/>
        <w:rPr>
          <w:sz w:val="20"/>
          <w:szCs w:val="20"/>
          <w:lang w:val="el-GR"/>
        </w:rPr>
      </w:pPr>
    </w:p>
    <w:p w:rsidR="00A502AA" w:rsidRDefault="00A502AA">
      <w:pPr>
        <w:pStyle w:val="Style34"/>
        <w:widowControl/>
        <w:spacing w:before="58" w:line="240" w:lineRule="auto"/>
        <w:rPr>
          <w:rStyle w:val="FontStyle44"/>
          <w:lang w:val="el-GR" w:eastAsia="el-GR"/>
        </w:rPr>
      </w:pPr>
      <w:r>
        <w:rPr>
          <w:rStyle w:val="FontStyle44"/>
          <w:lang w:val="el-GR" w:eastAsia="el-GR"/>
        </w:rPr>
        <w:t>Άλλα φαρμακευτικά προϊόντα:</w:t>
      </w:r>
    </w:p>
    <w:p w:rsidR="00A502AA" w:rsidRDefault="00A502AA">
      <w:pPr>
        <w:pStyle w:val="Style7"/>
        <w:widowControl/>
        <w:spacing w:before="130" w:line="264" w:lineRule="exact"/>
        <w:rPr>
          <w:rStyle w:val="FontStyle45"/>
          <w:lang w:val="el-GR" w:eastAsia="el-GR"/>
        </w:rPr>
      </w:pPr>
      <w:r>
        <w:rPr>
          <w:rStyle w:val="FontStyle45"/>
          <w:lang w:val="el-GR" w:eastAsia="el-GR"/>
        </w:rPr>
        <w:t>Διγοξίνη: Βάσει των στοιχείων από εξειδικευμένες μελέτες αλληλεπίδρασης δεν αναμένονται κλινικά σημαντικές αλληλεπιδράσεις με διγοξίνη.</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6A2B5C" w:rsidRPr="006A2B5C" w:rsidRDefault="00A502AA" w:rsidP="006A2B5C">
      <w:pPr>
        <w:pStyle w:val="Style7"/>
        <w:widowControl/>
        <w:spacing w:before="29" w:line="264" w:lineRule="exact"/>
        <w:rPr>
          <w:rStyle w:val="FontStyle45"/>
          <w:lang w:val="el-GR" w:eastAsia="el-GR"/>
        </w:rPr>
      </w:pPr>
      <w:r>
        <w:rPr>
          <w:rStyle w:val="FontStyle45"/>
          <w:lang w:val="el-GR" w:eastAsia="el-GR"/>
        </w:rPr>
        <w:t xml:space="preserve">Φουσιδικό οξύ: Δεν έχουν πραγματοποιηθεί μελέτες αλληλεπίδρασης με ροσουβαστατίνη και φουσιδικό οξύ. </w:t>
      </w:r>
      <w:r w:rsidR="006A2B5C" w:rsidRPr="006A2B5C">
        <w:rPr>
          <w:rStyle w:val="FontStyle45"/>
          <w:lang w:val="el-GR" w:eastAsia="el-GR"/>
        </w:rPr>
        <w:t xml:space="preserve">Ο κίνδυνος μυοπάθειας, περιλαμβανομένης και της ραβδομυόλυσης μπορεί να αυξηθεί από την ταυτόχρονη συστημική χορήγηση φουσιδικού οξέως με στατίνες. Η συγχορήγηση αυτού του συνδυασμού μπορεί να προκαλέσει αυξημένες συγκεντρώσεις και των δυο παραγόντων στον ορό. Ο μηχανισμός της αλληλεπίδρασης αυτής (είτε βασίζεται στην φαρμακοκινητική ή στην φαρμακοδυναμική ή και στις δυο) είναι ακόμα άγνωστος. Υπάρχουν αναφορές ραβδομυόλυσης (περιλαμβανομένων και θανάτων) σε ασθενείς που έχουν λάβει αυτόν τον συνδυασμό. </w:t>
      </w:r>
    </w:p>
    <w:p w:rsidR="006A2B5C" w:rsidRDefault="006A2B5C" w:rsidP="006A2B5C">
      <w:pPr>
        <w:pStyle w:val="Style7"/>
        <w:widowControl/>
        <w:spacing w:before="29" w:line="264" w:lineRule="exact"/>
        <w:rPr>
          <w:rStyle w:val="FontStyle45"/>
          <w:lang w:val="el-GR" w:eastAsia="el-GR"/>
        </w:rPr>
      </w:pPr>
      <w:r w:rsidRPr="006A2B5C">
        <w:rPr>
          <w:rStyle w:val="FontStyle45"/>
          <w:lang w:val="el-GR" w:eastAsia="el-GR"/>
        </w:rPr>
        <w:lastRenderedPageBreak/>
        <w:t>Εάν η αγωγή με φουσιδικό οξύ είναι απαραίτητη, η θεραπεία με Crestor θα πρέπει να διακόπτεται καθ’ όλη την διάρκεια χορήγησης του φουσιδικού οξέως. Επίσης βλ. παράγραφο 4.4.</w:t>
      </w:r>
    </w:p>
    <w:p w:rsidR="006A2B5C" w:rsidRDefault="006A2B5C" w:rsidP="006A2B5C">
      <w:pPr>
        <w:pStyle w:val="Style7"/>
        <w:widowControl/>
        <w:spacing w:before="29" w:line="264" w:lineRule="exact"/>
        <w:rPr>
          <w:rStyle w:val="FontStyle45"/>
          <w:lang w:val="el-GR" w:eastAsia="el-GR"/>
        </w:rPr>
      </w:pPr>
    </w:p>
    <w:p w:rsidR="00A502AA" w:rsidRDefault="00A502AA" w:rsidP="006A2B5C">
      <w:pPr>
        <w:pStyle w:val="Style7"/>
        <w:widowControl/>
        <w:spacing w:before="29" w:line="264" w:lineRule="exact"/>
        <w:rPr>
          <w:rStyle w:val="FontStyle45"/>
          <w:lang w:val="el-GR" w:eastAsia="el-GR"/>
        </w:rPr>
      </w:pPr>
      <w:r>
        <w:rPr>
          <w:rStyle w:val="FontStyle44"/>
          <w:lang w:val="el-GR" w:eastAsia="el-GR"/>
        </w:rPr>
        <w:t xml:space="preserve">Παιδιατρικός πληθυσμός: </w:t>
      </w:r>
      <w:r>
        <w:rPr>
          <w:rStyle w:val="FontStyle45"/>
          <w:lang w:val="el-GR" w:eastAsia="el-GR"/>
        </w:rPr>
        <w:t>Μελέτες αλληλεπίδρασης έχουν πραγματοποιηθεί μόνο σε ενήλικες. Η έκταση των αλληλεπιδράσεων σε παιδιατρικό πληθυσμό δεν είναι γνωστή.</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7"/>
        </w:tabs>
        <w:spacing w:before="58"/>
        <w:rPr>
          <w:rStyle w:val="FontStyle44"/>
          <w:lang w:val="el-GR" w:eastAsia="el-GR"/>
        </w:rPr>
      </w:pPr>
      <w:r>
        <w:rPr>
          <w:rStyle w:val="FontStyle44"/>
          <w:lang w:val="el-GR" w:eastAsia="el-GR"/>
        </w:rPr>
        <w:t>4.6</w:t>
      </w:r>
      <w:r>
        <w:rPr>
          <w:rStyle w:val="FontStyle44"/>
          <w:rFonts w:ascii="Times New Roman" w:hAnsi="Times New Roman" w:cs="Times New Roman"/>
          <w:b w:val="0"/>
          <w:bCs w:val="0"/>
          <w:lang w:val="el-GR" w:eastAsia="el-GR"/>
        </w:rPr>
        <w:tab/>
      </w:r>
      <w:r>
        <w:rPr>
          <w:rStyle w:val="FontStyle44"/>
          <w:lang w:val="el-GR" w:eastAsia="el-GR"/>
        </w:rPr>
        <w:t>Γονιμότητα, κύηση και γαλουχία</w:t>
      </w:r>
    </w:p>
    <w:p w:rsidR="00A502AA" w:rsidRDefault="00A502AA">
      <w:pPr>
        <w:pStyle w:val="Style7"/>
        <w:widowControl/>
        <w:spacing w:before="154" w:line="240" w:lineRule="auto"/>
        <w:jc w:val="left"/>
        <w:rPr>
          <w:rStyle w:val="FontStyle45"/>
          <w:lang w:val="el-GR"/>
        </w:rPr>
      </w:pPr>
      <w:r>
        <w:rPr>
          <w:rStyle w:val="FontStyle45"/>
        </w:rPr>
        <w:t>To</w:t>
      </w:r>
      <w:r w:rsidRPr="00F7301B">
        <w:rPr>
          <w:rStyle w:val="FontStyle45"/>
          <w:lang w:val="el-GR"/>
        </w:rPr>
        <w:t xml:space="preserve"> </w:t>
      </w:r>
      <w:r w:rsidR="00F7301B">
        <w:rPr>
          <w:rStyle w:val="FontStyle45"/>
        </w:rPr>
        <w:t>ROSUVAL</w:t>
      </w:r>
      <w:r w:rsidR="00F7301B" w:rsidRPr="00F7301B">
        <w:rPr>
          <w:rStyle w:val="FontStyle45"/>
          <w:lang w:val="el-GR"/>
        </w:rPr>
        <w:t>/</w:t>
      </w:r>
      <w:r w:rsidR="00F7301B">
        <w:rPr>
          <w:rStyle w:val="FontStyle45"/>
        </w:rPr>
        <w:t>HEREMCO</w:t>
      </w:r>
      <w:r w:rsidR="00F7301B" w:rsidRPr="00F7301B">
        <w:rPr>
          <w:rStyle w:val="FontStyle45"/>
          <w:lang w:val="el-GR"/>
        </w:rPr>
        <w:t xml:space="preserve"> </w:t>
      </w:r>
      <w:r w:rsidRPr="00F7301B">
        <w:rPr>
          <w:rStyle w:val="FontStyle45"/>
          <w:lang w:val="el-GR"/>
        </w:rPr>
        <w:t xml:space="preserve"> </w:t>
      </w:r>
      <w:r>
        <w:rPr>
          <w:rStyle w:val="FontStyle45"/>
          <w:lang w:val="el-GR"/>
        </w:rPr>
        <w:t>αντενδείκνυται κατά την εγκυμοσύνη και το θηλασμό.</w:t>
      </w:r>
    </w:p>
    <w:p w:rsidR="00A502AA" w:rsidRDefault="00A502AA">
      <w:pPr>
        <w:pStyle w:val="Style7"/>
        <w:widowControl/>
        <w:spacing w:before="130" w:line="264" w:lineRule="exact"/>
        <w:rPr>
          <w:rStyle w:val="FontStyle45"/>
          <w:lang w:val="el-GR" w:eastAsia="el-GR"/>
        </w:rPr>
      </w:pPr>
      <w:r>
        <w:rPr>
          <w:rStyle w:val="FontStyle45"/>
          <w:lang w:val="el-GR" w:eastAsia="el-GR"/>
        </w:rPr>
        <w:t>Γυναίκες σε αναπαραγωγική ηλικία πρέπει να χρησιμοποιούν αποτελεσματική αντισύλληψη.</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Επειδή, η χοληστερόλη και άλλα προϊόντα της βιοσύνθεσης της χοληστερόλης είναι απαραίτητα για την ανάπτυξη του εμβρύου, ο ενδεχόμενος κίνδυνος από την αναστολή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αναγωγάσης κατά την κύηση υπερισχύει του οφέλους της θεραπείας. Μελέτες σε πειραματόζωα παρέχουν περιορισμένες ενδείξεις τοξικότητας της αναπαραγωγικής ικανότητας (βλ. Παράγραφο 5.3). Εάν μια ασθενής καταστεί έγκυος κατά τη διάρκεια της θεραπείας με το προϊόν αυτό, η θεραπεία θα πρέπει να διακοπεί αμέσως.</w:t>
      </w:r>
    </w:p>
    <w:p w:rsidR="00A502AA" w:rsidRDefault="00A502AA">
      <w:pPr>
        <w:pStyle w:val="Style7"/>
        <w:widowControl/>
        <w:spacing w:before="120" w:line="269" w:lineRule="exact"/>
        <w:rPr>
          <w:rStyle w:val="FontStyle45"/>
          <w:lang w:val="el-GR" w:eastAsia="el-GR"/>
        </w:rPr>
      </w:pPr>
      <w:r>
        <w:rPr>
          <w:rStyle w:val="FontStyle45"/>
          <w:lang w:val="el-GR" w:eastAsia="el-GR"/>
        </w:rPr>
        <w:t>Στους αρουραίους η ροσουβαστατίνη απεκκρίνεται στο γάλα. Δεν υπάρχουν δεδομένα σε σχέση με την απέκκριση στο γάλα σε ανθρώπους (βλ. παράγραφο</w:t>
      </w:r>
    </w:p>
    <w:p w:rsidR="00A502AA" w:rsidRDefault="00A502AA">
      <w:pPr>
        <w:pStyle w:val="Style7"/>
        <w:widowControl/>
        <w:spacing w:before="24" w:line="240" w:lineRule="auto"/>
        <w:jc w:val="left"/>
        <w:rPr>
          <w:rStyle w:val="FontStyle45"/>
          <w:lang w:val="el-GR" w:eastAsia="el-GR"/>
        </w:rPr>
      </w:pPr>
      <w:r>
        <w:rPr>
          <w:rStyle w:val="FontStyle45"/>
          <w:lang w:val="el-GR" w:eastAsia="el-GR"/>
        </w:rPr>
        <w:t>4.3).</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7"/>
        </w:tabs>
        <w:spacing w:before="67"/>
        <w:rPr>
          <w:rStyle w:val="FontStyle44"/>
          <w:lang w:val="el-GR" w:eastAsia="el-GR"/>
        </w:rPr>
      </w:pPr>
      <w:r>
        <w:rPr>
          <w:rStyle w:val="FontStyle44"/>
          <w:lang w:val="el-GR" w:eastAsia="el-GR"/>
        </w:rPr>
        <w:t>4.7</w:t>
      </w:r>
      <w:r>
        <w:rPr>
          <w:rStyle w:val="FontStyle44"/>
          <w:rFonts w:ascii="Times New Roman" w:hAnsi="Times New Roman" w:cs="Times New Roman"/>
          <w:b w:val="0"/>
          <w:bCs w:val="0"/>
          <w:lang w:val="el-GR" w:eastAsia="el-GR"/>
        </w:rPr>
        <w:tab/>
      </w:r>
      <w:r>
        <w:rPr>
          <w:rStyle w:val="FontStyle44"/>
          <w:lang w:val="el-GR" w:eastAsia="el-GR"/>
        </w:rPr>
        <w:t>Επιδράσεις στην ικανότητα οδήγησης και χειρισμού μηχανών</w:t>
      </w:r>
    </w:p>
    <w:p w:rsidR="00A502AA" w:rsidRDefault="00A502AA">
      <w:pPr>
        <w:pStyle w:val="Style7"/>
        <w:widowControl/>
        <w:spacing w:before="120" w:line="264" w:lineRule="exact"/>
        <w:rPr>
          <w:rStyle w:val="FontStyle45"/>
          <w:lang w:val="el-GR" w:eastAsia="el-GR"/>
        </w:rPr>
      </w:pPr>
      <w:r>
        <w:rPr>
          <w:rStyle w:val="FontStyle45"/>
          <w:lang w:val="el-GR" w:eastAsia="el-GR"/>
        </w:rPr>
        <w:t xml:space="preserve">Δεν πραγματοποιήθηκαν μελέτες σχετικά με τις επιδράσεις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στην ικανότητα οδήγησης και χειρισμού μηχανημάτων. Εντούτοις, βάσει των φαρμακοδυναμικών του ιδιοτήτων,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είναι απίθανο να επηρεάζει αυτή την ικανότητα. Κατά την οδήγηση οχημάτων ή το χειρισμό μηχανημάτων, θα πρέπει να λαμβάνεται υπόψη ότι κατά τη διάρκεια της θεραπείας μπορεί να παρουσιαστεί ζάλη.</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7"/>
        </w:tabs>
        <w:spacing w:before="58"/>
        <w:rPr>
          <w:rStyle w:val="FontStyle44"/>
          <w:lang w:val="el-GR" w:eastAsia="el-GR"/>
        </w:rPr>
      </w:pPr>
      <w:r>
        <w:rPr>
          <w:rStyle w:val="FontStyle44"/>
          <w:lang w:val="el-GR" w:eastAsia="el-GR"/>
        </w:rPr>
        <w:t>4.8</w:t>
      </w:r>
      <w:r>
        <w:rPr>
          <w:rStyle w:val="FontStyle44"/>
          <w:rFonts w:ascii="Times New Roman" w:hAnsi="Times New Roman" w:cs="Times New Roman"/>
          <w:b w:val="0"/>
          <w:bCs w:val="0"/>
          <w:lang w:val="el-GR" w:eastAsia="el-GR"/>
        </w:rPr>
        <w:tab/>
      </w:r>
      <w:r>
        <w:rPr>
          <w:rStyle w:val="FontStyle44"/>
          <w:lang w:val="el-GR" w:eastAsia="el-GR"/>
        </w:rPr>
        <w:t>Ανεπιθύμητες ενέργειες</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Οι ανεπιθύμητες ενέργειες που παρατηρούνται με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είναι συνήθως ήπιες και παροδικές.</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Σε ελεγχόμενες κλινικές μελέτες ποσοστό μικρότερο του 4% των ασθενών που έλαβαν θεραπεία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αποχώρησε εξαιτίας εμφάνισης ανεπιθύμητων ενεργειών.</w:t>
      </w:r>
    </w:p>
    <w:p w:rsidR="00A502AA" w:rsidRPr="00F7301B" w:rsidRDefault="00A502AA">
      <w:pPr>
        <w:pStyle w:val="Style7"/>
        <w:widowControl/>
        <w:spacing w:line="240" w:lineRule="exact"/>
        <w:jc w:val="left"/>
        <w:rPr>
          <w:sz w:val="20"/>
          <w:szCs w:val="20"/>
          <w:lang w:val="el-GR"/>
        </w:rPr>
      </w:pPr>
    </w:p>
    <w:p w:rsidR="00A502AA" w:rsidRPr="00F7301B" w:rsidRDefault="00A502AA">
      <w:pPr>
        <w:pStyle w:val="Style7"/>
        <w:widowControl/>
        <w:spacing w:line="240" w:lineRule="exact"/>
        <w:jc w:val="left"/>
        <w:rPr>
          <w:sz w:val="20"/>
          <w:szCs w:val="20"/>
          <w:lang w:val="el-GR"/>
        </w:rPr>
      </w:pPr>
    </w:p>
    <w:p w:rsidR="00A502AA" w:rsidRDefault="00A502AA">
      <w:pPr>
        <w:pStyle w:val="Style7"/>
        <w:widowControl/>
        <w:spacing w:before="58" w:line="240" w:lineRule="auto"/>
        <w:jc w:val="left"/>
        <w:rPr>
          <w:rStyle w:val="FontStyle45"/>
          <w:u w:val="single"/>
          <w:lang w:val="el-GR" w:eastAsia="el-GR"/>
        </w:rPr>
      </w:pPr>
      <w:r>
        <w:rPr>
          <w:rStyle w:val="FontStyle45"/>
          <w:u w:val="single"/>
          <w:lang w:val="el-GR" w:eastAsia="el-GR"/>
        </w:rPr>
        <w:t>Λίστα των ανεπιθύμητων ενεργειών σε πίνακα</w:t>
      </w:r>
    </w:p>
    <w:p w:rsidR="00A502AA" w:rsidRPr="00F7301B" w:rsidRDefault="00A502AA">
      <w:pPr>
        <w:pStyle w:val="Style7"/>
        <w:widowControl/>
        <w:spacing w:before="130" w:line="264" w:lineRule="exact"/>
        <w:rPr>
          <w:rStyle w:val="FontStyle45"/>
          <w:lang w:val="el-GR" w:eastAsia="el-GR"/>
        </w:rPr>
      </w:pPr>
      <w:r>
        <w:rPr>
          <w:rStyle w:val="FontStyle45"/>
          <w:lang w:val="el-GR" w:eastAsia="el-GR"/>
        </w:rPr>
        <w:t xml:space="preserve">Με βάση τα δεδομένα από τις κλινικές μελέτες και εκτεταμένη εμπειρία μετά την κυκλοφορία, ο κάτωθι πίνακας παρουσιάζει το προφίλ των ανεπιθύμητων ενεργειών για τη ροσουβαστατίνη. Οι ανεπιθύμητες αντιδράσεις που αναφέρονται παρακάτω ταξινομούνται σύμφωνα με τη συχνότητα και την Κατηγορία Οργανικού Συστήματος </w:t>
      </w:r>
      <w:r w:rsidRPr="00F7301B">
        <w:rPr>
          <w:rStyle w:val="FontStyle45"/>
          <w:lang w:val="el-GR" w:eastAsia="el-GR"/>
        </w:rPr>
        <w:t>(</w:t>
      </w:r>
      <w:r>
        <w:rPr>
          <w:rStyle w:val="FontStyle45"/>
          <w:lang w:eastAsia="el-GR"/>
        </w:rPr>
        <w:t>SOC</w:t>
      </w:r>
      <w:r w:rsidRPr="00F7301B">
        <w:rPr>
          <w:rStyle w:val="FontStyle45"/>
          <w:lang w:val="el-GR" w:eastAsia="el-GR"/>
        </w:rPr>
        <w:t>).</w:t>
      </w:r>
    </w:p>
    <w:p w:rsidR="00A502AA" w:rsidRDefault="00A502AA">
      <w:pPr>
        <w:pStyle w:val="Style7"/>
        <w:widowControl/>
        <w:spacing w:before="48" w:line="264" w:lineRule="exact"/>
        <w:rPr>
          <w:rStyle w:val="FontStyle45"/>
          <w:lang w:val="el-GR" w:eastAsia="el-GR"/>
        </w:rPr>
      </w:pPr>
      <w:r>
        <w:rPr>
          <w:rStyle w:val="FontStyle45"/>
          <w:lang w:val="el-GR" w:eastAsia="el-GR"/>
        </w:rPr>
        <w:t>Η συχνότητα εμφάνισης των ανεπιθύμητων ενεργειών ταξινομείται ως εξής: συχνές (&gt; 1/100 έως &lt; 1/10), όχι συχνές (&gt; 1/1.000 έως &lt;1/100), σπάνιες (&gt;1/10.000 έως &lt;1/1.000), πολύ σπάνιες (&lt;1/10.000), μη γνωστές (δεν μπορούν να εκτιμηθούν με βάση τα διαθέσιμα δεδομένα).</w:t>
      </w:r>
    </w:p>
    <w:p w:rsidR="00A502AA" w:rsidRPr="00F7301B" w:rsidRDefault="00A502AA">
      <w:pPr>
        <w:pStyle w:val="Style12"/>
        <w:widowControl/>
        <w:spacing w:line="240" w:lineRule="exact"/>
        <w:rPr>
          <w:sz w:val="20"/>
          <w:szCs w:val="20"/>
          <w:lang w:val="el-GR"/>
        </w:rPr>
      </w:pPr>
    </w:p>
    <w:p w:rsidR="00A502AA" w:rsidRPr="00F7301B" w:rsidRDefault="00E317F9">
      <w:pPr>
        <w:pStyle w:val="Style12"/>
        <w:widowControl/>
        <w:spacing w:line="240" w:lineRule="exact"/>
        <w:rPr>
          <w:sz w:val="20"/>
          <w:szCs w:val="20"/>
          <w:lang w:val="el-GR"/>
        </w:rPr>
      </w:pPr>
      <w:r>
        <w:rPr>
          <w:sz w:val="20"/>
          <w:szCs w:val="20"/>
          <w:lang w:val="el-GR"/>
        </w:rPr>
        <w:br w:type="page"/>
      </w:r>
    </w:p>
    <w:p w:rsidR="00A502AA" w:rsidRDefault="00A502AA">
      <w:pPr>
        <w:pStyle w:val="Style12"/>
        <w:widowControl/>
        <w:tabs>
          <w:tab w:val="left" w:leader="underscore" w:pos="9058"/>
        </w:tabs>
        <w:spacing w:before="29" w:line="269" w:lineRule="exact"/>
        <w:rPr>
          <w:rStyle w:val="FontStyle44"/>
          <w:lang w:val="el-GR" w:eastAsia="el-GR"/>
        </w:rPr>
      </w:pPr>
      <w:r>
        <w:rPr>
          <w:rStyle w:val="FontStyle44"/>
          <w:lang w:val="el-GR" w:eastAsia="el-GR"/>
        </w:rPr>
        <w:t>Πίνακας 2. Ανεπιθύμητες ενέργειες βάσει δεδομένων από κλινικές μελέτες</w:t>
      </w:r>
      <w:r>
        <w:rPr>
          <w:rStyle w:val="FontStyle44"/>
          <w:lang w:val="el-GR" w:eastAsia="el-GR"/>
        </w:rPr>
        <w:br/>
      </w:r>
      <w:r>
        <w:rPr>
          <w:rStyle w:val="FontStyle44"/>
          <w:u w:val="single"/>
          <w:lang w:val="el-GR" w:eastAsia="el-GR"/>
        </w:rPr>
        <w:t>και εμπειρία μετά την κυκλοφορία του φαρμάκου</w:t>
      </w:r>
      <w:r>
        <w:rPr>
          <w:rStyle w:val="FontStyle44"/>
          <w:lang w:val="el-GR" w:eastAsia="el-GR"/>
        </w:rPr>
        <w:tab/>
      </w:r>
    </w:p>
    <w:tbl>
      <w:tblPr>
        <w:tblW w:w="0" w:type="auto"/>
        <w:tblInd w:w="40" w:type="dxa"/>
        <w:tblLayout w:type="fixed"/>
        <w:tblCellMar>
          <w:left w:w="40" w:type="dxa"/>
          <w:right w:w="40" w:type="dxa"/>
        </w:tblCellMar>
        <w:tblLook w:val="0000" w:firstRow="0" w:lastRow="0" w:firstColumn="0" w:lastColumn="0" w:noHBand="0" w:noVBand="0"/>
      </w:tblPr>
      <w:tblGrid>
        <w:gridCol w:w="1973"/>
        <w:gridCol w:w="1277"/>
        <w:gridCol w:w="1296"/>
        <w:gridCol w:w="1963"/>
        <w:gridCol w:w="1747"/>
        <w:gridCol w:w="1656"/>
      </w:tblGrid>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21"/>
              <w:widowControl/>
              <w:spacing w:line="240" w:lineRule="exact"/>
              <w:ind w:firstLine="10"/>
              <w:rPr>
                <w:rStyle w:val="FontStyle39"/>
                <w:lang w:val="el-GR" w:eastAsia="el-GR"/>
              </w:rPr>
            </w:pPr>
            <w:r>
              <w:rPr>
                <w:rStyle w:val="FontStyle39"/>
                <w:lang w:val="el-GR" w:eastAsia="el-GR"/>
              </w:rPr>
              <w:t>Κατηγορία Οργανικού Συστήματος</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21"/>
              <w:widowControl/>
              <w:spacing w:line="240" w:lineRule="auto"/>
              <w:ind w:left="206"/>
              <w:rPr>
                <w:rStyle w:val="FontStyle39"/>
                <w:lang w:val="el-GR" w:eastAsia="el-GR"/>
              </w:rPr>
            </w:pPr>
            <w:r>
              <w:rPr>
                <w:rStyle w:val="FontStyle39"/>
                <w:lang w:val="el-GR" w:eastAsia="el-GR"/>
              </w:rPr>
              <w:t>Συχνές</w:t>
            </w: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21"/>
              <w:widowControl/>
              <w:spacing w:line="235" w:lineRule="exact"/>
              <w:ind w:left="211"/>
              <w:rPr>
                <w:rStyle w:val="FontStyle39"/>
                <w:lang w:val="el-GR" w:eastAsia="el-GR"/>
              </w:rPr>
            </w:pPr>
            <w:r>
              <w:rPr>
                <w:rStyle w:val="FontStyle39"/>
                <w:lang w:val="el-GR" w:eastAsia="el-GR"/>
              </w:rPr>
              <w:t>Όχι συχνές</w:t>
            </w: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21"/>
              <w:widowControl/>
              <w:spacing w:line="240" w:lineRule="auto"/>
              <w:ind w:left="509"/>
              <w:rPr>
                <w:rStyle w:val="FontStyle39"/>
                <w:lang w:val="el-GR" w:eastAsia="el-GR"/>
              </w:rPr>
            </w:pPr>
            <w:r>
              <w:rPr>
                <w:rStyle w:val="FontStyle39"/>
                <w:lang w:val="el-GR" w:eastAsia="el-GR"/>
              </w:rPr>
              <w:t>Σπάνιες</w:t>
            </w: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33"/>
              <w:widowControl/>
              <w:ind w:left="394"/>
              <w:rPr>
                <w:rStyle w:val="FontStyle39"/>
                <w:lang w:val="el-GR" w:eastAsia="el-GR"/>
              </w:rPr>
            </w:pPr>
            <w:r>
              <w:rPr>
                <w:rStyle w:val="FontStyle39"/>
                <w:lang w:val="el-GR" w:eastAsia="el-GR"/>
              </w:rPr>
              <w:t>Πολύ σπάνιες</w:t>
            </w: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21"/>
              <w:widowControl/>
              <w:spacing w:line="240" w:lineRule="auto"/>
              <w:ind w:left="298"/>
              <w:rPr>
                <w:rStyle w:val="FontStyle39"/>
                <w:lang w:val="el-GR" w:eastAsia="el-GR"/>
              </w:rPr>
            </w:pPr>
            <w:r>
              <w:rPr>
                <w:rStyle w:val="FontStyle39"/>
                <w:lang w:val="el-GR" w:eastAsia="el-GR"/>
              </w:rPr>
              <w:t>Μη</w:t>
            </w:r>
          </w:p>
          <w:p w:rsidR="00A502AA" w:rsidRDefault="00A502AA">
            <w:pPr>
              <w:pStyle w:val="Style21"/>
              <w:widowControl/>
              <w:spacing w:line="240" w:lineRule="auto"/>
              <w:ind w:left="298"/>
              <w:rPr>
                <w:rStyle w:val="FontStyle39"/>
                <w:lang w:val="el-GR" w:eastAsia="el-GR"/>
              </w:rPr>
            </w:pPr>
            <w:r>
              <w:rPr>
                <w:rStyle w:val="FontStyle39"/>
                <w:lang w:val="el-GR" w:eastAsia="el-GR"/>
              </w:rPr>
              <w:t>γνωστές</w:t>
            </w: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0" w:lineRule="exact"/>
              <w:ind w:left="10" w:hanging="10"/>
              <w:rPr>
                <w:rStyle w:val="FontStyle40"/>
                <w:lang w:val="el-GR" w:eastAsia="el-GR"/>
              </w:rPr>
            </w:pPr>
            <w:r>
              <w:rPr>
                <w:rStyle w:val="FontStyle40"/>
                <w:lang w:val="el-GR" w:eastAsia="el-GR"/>
              </w:rPr>
              <w:t>Διαταραχές του αιμοποιητικού και του λεμφικού συστήματος</w:t>
            </w:r>
          </w:p>
        </w:tc>
        <w:tc>
          <w:tcPr>
            <w:tcW w:w="1277"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auto"/>
              <w:rPr>
                <w:rStyle w:val="FontStyle41"/>
                <w:lang w:val="el-GR" w:eastAsia="el-GR"/>
              </w:rPr>
            </w:pPr>
            <w:r>
              <w:rPr>
                <w:rStyle w:val="FontStyle41"/>
                <w:lang w:val="el-GR" w:eastAsia="el-GR"/>
              </w:rPr>
              <w:t>Θρομβοπενία</w:t>
            </w: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r>
      <w:tr w:rsidR="00A502AA" w:rsidRPr="00F7301B">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5" w:lineRule="exact"/>
              <w:ind w:left="10" w:hanging="10"/>
              <w:rPr>
                <w:rStyle w:val="FontStyle40"/>
                <w:lang w:val="el-GR" w:eastAsia="el-GR"/>
              </w:rPr>
            </w:pPr>
            <w:r>
              <w:rPr>
                <w:rStyle w:val="FontStyle40"/>
                <w:lang w:val="el-GR" w:eastAsia="el-GR"/>
              </w:rPr>
              <w:t>Διαταραχές του ανοσοποιητικού συστήματος</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exact"/>
              <w:ind w:left="5" w:hanging="5"/>
              <w:rPr>
                <w:rStyle w:val="FontStyle41"/>
                <w:lang w:val="el-GR" w:eastAsia="el-GR"/>
              </w:rPr>
            </w:pPr>
            <w:r>
              <w:rPr>
                <w:rStyle w:val="FontStyle41"/>
                <w:lang w:val="el-GR" w:eastAsia="el-GR"/>
              </w:rPr>
              <w:t>Αντιδράσεις υπερευαισθησίας συμπεριλαμβανο</w:t>
            </w:r>
            <w:r>
              <w:rPr>
                <w:rStyle w:val="FontStyle41"/>
                <w:lang w:val="el-GR" w:eastAsia="el-GR"/>
              </w:rPr>
              <w:softHyphen/>
              <w:t>μένου του αγγειοοιδήματος</w:t>
            </w:r>
          </w:p>
        </w:tc>
        <w:tc>
          <w:tcPr>
            <w:tcW w:w="1747"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656"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5" w:lineRule="exact"/>
              <w:rPr>
                <w:rStyle w:val="FontStyle40"/>
                <w:lang w:val="el-GR" w:eastAsia="el-GR"/>
              </w:rPr>
            </w:pPr>
            <w:r>
              <w:rPr>
                <w:rStyle w:val="FontStyle40"/>
                <w:lang w:val="el-GR" w:eastAsia="el-GR"/>
              </w:rPr>
              <w:t>Διαταραχές του</w:t>
            </w:r>
          </w:p>
          <w:p w:rsidR="00A502AA" w:rsidRDefault="00A502AA">
            <w:pPr>
              <w:pStyle w:val="Style18"/>
              <w:widowControl/>
              <w:spacing w:line="245" w:lineRule="exact"/>
              <w:rPr>
                <w:rStyle w:val="FontStyle40"/>
                <w:lang w:val="el-GR" w:eastAsia="el-GR"/>
              </w:rPr>
            </w:pPr>
            <w:r>
              <w:rPr>
                <w:rStyle w:val="FontStyle40"/>
                <w:lang w:val="el-GR" w:eastAsia="el-GR"/>
              </w:rPr>
              <w:t>ενδοκρινικού</w:t>
            </w:r>
          </w:p>
          <w:p w:rsidR="00A502AA" w:rsidRDefault="00A502AA">
            <w:pPr>
              <w:pStyle w:val="Style18"/>
              <w:widowControl/>
              <w:spacing w:line="245" w:lineRule="exact"/>
              <w:rPr>
                <w:rStyle w:val="FontStyle40"/>
                <w:lang w:val="el-GR" w:eastAsia="el-GR"/>
              </w:rPr>
            </w:pPr>
            <w:r>
              <w:rPr>
                <w:rStyle w:val="FontStyle40"/>
                <w:lang w:val="el-GR" w:eastAsia="el-GR"/>
              </w:rPr>
              <w:t>συστήματος</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64" w:lineRule="exact"/>
              <w:rPr>
                <w:rStyle w:val="FontStyle41"/>
                <w:lang w:val="el-GR" w:eastAsia="el-GR"/>
              </w:rPr>
            </w:pPr>
            <w:r>
              <w:rPr>
                <w:rStyle w:val="FontStyle41"/>
                <w:lang w:val="el-GR" w:eastAsia="el-GR"/>
              </w:rPr>
              <w:t>Σακχαρώ</w:t>
            </w:r>
            <w:r>
              <w:rPr>
                <w:rStyle w:val="FontStyle41"/>
                <w:lang w:val="el-GR" w:eastAsia="el-GR"/>
              </w:rPr>
              <w:softHyphen/>
              <w:t>δης</w:t>
            </w:r>
          </w:p>
          <w:p w:rsidR="00A502AA" w:rsidRDefault="00A502AA">
            <w:pPr>
              <w:pStyle w:val="Style15"/>
              <w:widowControl/>
              <w:spacing w:line="240" w:lineRule="auto"/>
              <w:rPr>
                <w:rStyle w:val="FontStyle41"/>
                <w:vertAlign w:val="superscript"/>
                <w:lang w:val="el-GR" w:eastAsia="el-GR"/>
              </w:rPr>
            </w:pPr>
            <w:r>
              <w:rPr>
                <w:rStyle w:val="FontStyle41"/>
                <w:lang w:val="el-GR" w:eastAsia="el-GR"/>
              </w:rPr>
              <w:t>διαβήτης</w:t>
            </w:r>
            <w:r>
              <w:rPr>
                <w:rStyle w:val="FontStyle41"/>
                <w:vertAlign w:val="superscript"/>
                <w:lang w:val="el-GR" w:eastAsia="el-GR"/>
              </w:rPr>
              <w:t>1</w:t>
            </w: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0" w:lineRule="exact"/>
              <w:ind w:firstLine="19"/>
              <w:rPr>
                <w:rStyle w:val="FontStyle40"/>
                <w:lang w:val="el-GR" w:eastAsia="el-GR"/>
              </w:rPr>
            </w:pPr>
            <w:r>
              <w:rPr>
                <w:rStyle w:val="FontStyle40"/>
                <w:lang w:val="el-GR" w:eastAsia="el-GR"/>
              </w:rPr>
              <w:t>Ψυχιατρικές διαταραχές</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auto"/>
              <w:rPr>
                <w:rStyle w:val="FontStyle41"/>
                <w:lang w:val="el-GR" w:eastAsia="el-GR"/>
              </w:rPr>
            </w:pPr>
            <w:r>
              <w:rPr>
                <w:rStyle w:val="FontStyle41"/>
                <w:lang w:val="el-GR" w:eastAsia="el-GR"/>
              </w:rPr>
              <w:t>Κατάθλιψη</w:t>
            </w: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5" w:lineRule="exact"/>
              <w:rPr>
                <w:rStyle w:val="FontStyle40"/>
                <w:lang w:val="el-GR" w:eastAsia="el-GR"/>
              </w:rPr>
            </w:pPr>
            <w:r>
              <w:rPr>
                <w:rStyle w:val="FontStyle40"/>
                <w:lang w:val="el-GR" w:eastAsia="el-GR"/>
              </w:rPr>
              <w:t>Διαταραχές του</w:t>
            </w:r>
          </w:p>
          <w:p w:rsidR="00A502AA" w:rsidRDefault="00A502AA">
            <w:pPr>
              <w:pStyle w:val="Style18"/>
              <w:widowControl/>
              <w:spacing w:line="245" w:lineRule="exact"/>
              <w:rPr>
                <w:rStyle w:val="FontStyle40"/>
                <w:lang w:val="el-GR" w:eastAsia="el-GR"/>
              </w:rPr>
            </w:pPr>
            <w:r>
              <w:rPr>
                <w:rStyle w:val="FontStyle40"/>
                <w:lang w:val="el-GR" w:eastAsia="el-GR"/>
              </w:rPr>
              <w:t>νευρικού</w:t>
            </w:r>
          </w:p>
          <w:p w:rsidR="00A502AA" w:rsidRDefault="00A502AA">
            <w:pPr>
              <w:pStyle w:val="Style18"/>
              <w:widowControl/>
              <w:spacing w:line="245" w:lineRule="exact"/>
              <w:rPr>
                <w:rStyle w:val="FontStyle40"/>
                <w:lang w:val="el-GR" w:eastAsia="el-GR"/>
              </w:rPr>
            </w:pPr>
            <w:r>
              <w:rPr>
                <w:rStyle w:val="FontStyle40"/>
                <w:lang w:val="el-GR" w:eastAsia="el-GR"/>
              </w:rPr>
              <w:t>συστήματος</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5" w:lineRule="exact"/>
              <w:ind w:firstLine="5"/>
              <w:rPr>
                <w:rStyle w:val="FontStyle41"/>
                <w:lang w:val="el-GR" w:eastAsia="el-GR"/>
              </w:rPr>
            </w:pPr>
            <w:r>
              <w:rPr>
                <w:rStyle w:val="FontStyle41"/>
                <w:lang w:val="el-GR" w:eastAsia="el-GR"/>
              </w:rPr>
              <w:t>Κεφαλα</w:t>
            </w:r>
            <w:r>
              <w:rPr>
                <w:rStyle w:val="FontStyle41"/>
                <w:lang w:val="el-GR" w:eastAsia="el-GR"/>
              </w:rPr>
              <w:softHyphen/>
              <w:t>λγία</w:t>
            </w:r>
          </w:p>
          <w:p w:rsidR="00A502AA" w:rsidRDefault="00A502AA">
            <w:pPr>
              <w:pStyle w:val="Style15"/>
              <w:widowControl/>
              <w:spacing w:line="240" w:lineRule="auto"/>
              <w:rPr>
                <w:rStyle w:val="FontStyle41"/>
                <w:lang w:val="el-GR" w:eastAsia="el-GR"/>
              </w:rPr>
            </w:pPr>
            <w:r>
              <w:rPr>
                <w:rStyle w:val="FontStyle41"/>
                <w:lang w:val="el-GR" w:eastAsia="el-GR"/>
              </w:rPr>
              <w:t>Ζάλη</w:t>
            </w: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A502AA" w:rsidRDefault="00577AED">
            <w:pPr>
              <w:pStyle w:val="Style15"/>
              <w:widowControl/>
              <w:spacing w:line="245" w:lineRule="exact"/>
              <w:ind w:firstLine="5"/>
              <w:rPr>
                <w:rStyle w:val="FontStyle41"/>
                <w:lang w:val="el-GR" w:eastAsia="el-GR"/>
              </w:rPr>
            </w:pPr>
            <w:r>
              <w:rPr>
                <w:rStyle w:val="FontStyle41"/>
                <w:lang w:val="el-GR" w:eastAsia="el-GR"/>
              </w:rPr>
              <w:t>Πολυνευροπά</w:t>
            </w:r>
            <w:r w:rsidR="00A502AA">
              <w:rPr>
                <w:rStyle w:val="FontStyle41"/>
                <w:lang w:val="el-GR" w:eastAsia="el-GR"/>
              </w:rPr>
              <w:t>θεια</w:t>
            </w:r>
          </w:p>
          <w:p w:rsidR="00A502AA" w:rsidRDefault="00A502AA">
            <w:pPr>
              <w:pStyle w:val="Style15"/>
              <w:widowControl/>
              <w:spacing w:line="240" w:lineRule="auto"/>
              <w:rPr>
                <w:rStyle w:val="FontStyle41"/>
                <w:lang w:val="el-GR" w:eastAsia="el-GR"/>
              </w:rPr>
            </w:pPr>
            <w:r>
              <w:rPr>
                <w:rStyle w:val="FontStyle41"/>
                <w:lang w:val="el-GR" w:eastAsia="el-GR"/>
              </w:rPr>
              <w:t>Απώλεια</w:t>
            </w:r>
          </w:p>
          <w:p w:rsidR="00A502AA" w:rsidRDefault="00A502AA">
            <w:pPr>
              <w:pStyle w:val="Style15"/>
              <w:widowControl/>
              <w:spacing w:line="240" w:lineRule="auto"/>
              <w:rPr>
                <w:rStyle w:val="FontStyle41"/>
                <w:lang w:val="el-GR" w:eastAsia="el-GR"/>
              </w:rPr>
            </w:pPr>
            <w:r>
              <w:rPr>
                <w:rStyle w:val="FontStyle41"/>
                <w:lang w:val="el-GR" w:eastAsia="el-GR"/>
              </w:rPr>
              <w:t>μνήμης</w:t>
            </w: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5" w:lineRule="exact"/>
              <w:ind w:firstLine="19"/>
              <w:rPr>
                <w:rStyle w:val="FontStyle41"/>
                <w:lang w:val="el-GR" w:eastAsia="el-GR"/>
              </w:rPr>
            </w:pPr>
            <w:r>
              <w:rPr>
                <w:rStyle w:val="FontStyle41"/>
                <w:lang w:val="el-GR" w:eastAsia="el-GR"/>
              </w:rPr>
              <w:t>Περιφερική νευροπάθεια</w:t>
            </w:r>
          </w:p>
          <w:p w:rsidR="00A502AA" w:rsidRDefault="00A502AA">
            <w:pPr>
              <w:pStyle w:val="Style15"/>
              <w:widowControl/>
              <w:spacing w:line="245" w:lineRule="exact"/>
              <w:ind w:firstLine="5"/>
              <w:rPr>
                <w:rStyle w:val="FontStyle41"/>
                <w:lang w:val="el-GR" w:eastAsia="el-GR"/>
              </w:rPr>
            </w:pPr>
            <w:r>
              <w:rPr>
                <w:rStyle w:val="FontStyle41"/>
                <w:lang w:val="el-GR" w:eastAsia="el-GR"/>
              </w:rPr>
              <w:t>Διαταραχές του</w:t>
            </w:r>
          </w:p>
          <w:p w:rsidR="00A502AA" w:rsidRDefault="00577AED">
            <w:pPr>
              <w:pStyle w:val="Style15"/>
              <w:widowControl/>
              <w:spacing w:line="240" w:lineRule="exact"/>
              <w:rPr>
                <w:rStyle w:val="FontStyle41"/>
                <w:lang w:val="el-GR" w:eastAsia="el-GR"/>
              </w:rPr>
            </w:pPr>
            <w:r>
              <w:rPr>
                <w:rStyle w:val="FontStyle41"/>
                <w:lang w:val="el-GR" w:eastAsia="el-GR"/>
              </w:rPr>
              <w:t>ύπνου (συμπεριλαμβα</w:t>
            </w:r>
            <w:r w:rsidRPr="00577AED">
              <w:rPr>
                <w:rStyle w:val="FontStyle41"/>
                <w:lang w:val="el-GR" w:eastAsia="el-GR"/>
              </w:rPr>
              <w:t xml:space="preserve">- </w:t>
            </w:r>
            <w:r w:rsidR="00A502AA">
              <w:rPr>
                <w:rStyle w:val="FontStyle41"/>
                <w:lang w:val="el-GR" w:eastAsia="el-GR"/>
              </w:rPr>
              <w:t>νομένης της αϋπνίας και των</w:t>
            </w:r>
          </w:p>
          <w:p w:rsidR="00A502AA" w:rsidRDefault="00A502AA">
            <w:pPr>
              <w:pStyle w:val="Style15"/>
              <w:widowControl/>
              <w:spacing w:line="240" w:lineRule="exact"/>
              <w:rPr>
                <w:rStyle w:val="FontStyle41"/>
                <w:lang w:val="el-GR" w:eastAsia="el-GR"/>
              </w:rPr>
            </w:pPr>
            <w:r>
              <w:rPr>
                <w:rStyle w:val="FontStyle41"/>
                <w:lang w:val="el-GR" w:eastAsia="el-GR"/>
              </w:rPr>
              <w:t>εφιαλτών)</w:t>
            </w: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5436">
            <w:pPr>
              <w:pStyle w:val="Style18"/>
              <w:widowControl/>
              <w:spacing w:line="245" w:lineRule="exact"/>
              <w:ind w:left="10" w:hanging="10"/>
              <w:rPr>
                <w:rStyle w:val="FontStyle40"/>
                <w:lang w:val="el-GR" w:eastAsia="el-GR"/>
              </w:rPr>
            </w:pPr>
            <w:r>
              <w:rPr>
                <w:rStyle w:val="FontStyle40"/>
                <w:lang w:val="el-GR" w:eastAsia="el-GR"/>
              </w:rPr>
              <w:t>Διαταραχές του</w:t>
            </w:r>
            <w:r w:rsidR="00A502AA">
              <w:rPr>
                <w:rStyle w:val="FontStyle40"/>
                <w:lang w:val="el-GR" w:eastAsia="el-GR"/>
              </w:rPr>
              <w:t xml:space="preserve"> αναπνευστικού συστήματος, του θώρακα και του μεσοθωρακίου</w:t>
            </w:r>
          </w:p>
        </w:tc>
        <w:tc>
          <w:tcPr>
            <w:tcW w:w="1277"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747"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31"/>
              <w:widowControl/>
              <w:ind w:firstLine="19"/>
              <w:rPr>
                <w:rStyle w:val="FontStyle41"/>
                <w:lang w:val="el-GR" w:eastAsia="el-GR"/>
              </w:rPr>
            </w:pPr>
            <w:r>
              <w:rPr>
                <w:rStyle w:val="FontStyle41"/>
                <w:lang w:val="el-GR" w:eastAsia="el-GR"/>
              </w:rPr>
              <w:t>Βήχας Δύσπνοια</w:t>
            </w: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5" w:lineRule="exact"/>
              <w:ind w:left="10" w:hanging="10"/>
              <w:rPr>
                <w:rStyle w:val="FontStyle40"/>
                <w:lang w:val="el-GR" w:eastAsia="el-GR"/>
              </w:rPr>
            </w:pPr>
            <w:r>
              <w:rPr>
                <w:rStyle w:val="FontStyle40"/>
                <w:lang w:val="el-GR" w:eastAsia="el-GR"/>
              </w:rPr>
              <w:t>Διαταραχές του γαστρεντερικού συστήματος</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ind w:left="10" w:hanging="10"/>
              <w:rPr>
                <w:rStyle w:val="FontStyle41"/>
                <w:lang w:val="el-GR" w:eastAsia="el-GR"/>
              </w:rPr>
            </w:pPr>
            <w:r>
              <w:rPr>
                <w:rStyle w:val="FontStyle41"/>
                <w:lang w:val="el-GR" w:eastAsia="el-GR"/>
              </w:rPr>
              <w:t>Δυσκοιλι</w:t>
            </w:r>
            <w:r>
              <w:rPr>
                <w:rStyle w:val="FontStyle41"/>
                <w:lang w:val="el-GR" w:eastAsia="el-GR"/>
              </w:rPr>
              <w:softHyphen/>
              <w:t>ότητα</w:t>
            </w:r>
          </w:p>
          <w:p w:rsidR="00A502AA" w:rsidRDefault="00A502AA">
            <w:pPr>
              <w:pStyle w:val="Style15"/>
              <w:widowControl/>
              <w:spacing w:line="240" w:lineRule="auto"/>
              <w:rPr>
                <w:rStyle w:val="FontStyle41"/>
                <w:lang w:val="el-GR" w:eastAsia="el-GR"/>
              </w:rPr>
            </w:pPr>
            <w:r>
              <w:rPr>
                <w:rStyle w:val="FontStyle41"/>
                <w:lang w:val="el-GR" w:eastAsia="el-GR"/>
              </w:rPr>
              <w:t>Ναυτία</w:t>
            </w:r>
          </w:p>
          <w:p w:rsidR="00A502AA" w:rsidRDefault="00A502AA">
            <w:pPr>
              <w:pStyle w:val="Style15"/>
              <w:widowControl/>
              <w:spacing w:line="245" w:lineRule="exact"/>
              <w:ind w:firstLine="10"/>
              <w:rPr>
                <w:rStyle w:val="FontStyle41"/>
                <w:lang w:val="el-GR" w:eastAsia="el-GR"/>
              </w:rPr>
            </w:pPr>
            <w:r>
              <w:rPr>
                <w:rStyle w:val="FontStyle41"/>
                <w:lang w:val="el-GR" w:eastAsia="el-GR"/>
              </w:rPr>
              <w:t>Κοιλιακό άλγος</w:t>
            </w: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auto"/>
              <w:rPr>
                <w:rStyle w:val="FontStyle41"/>
                <w:lang w:val="el-GR" w:eastAsia="el-GR"/>
              </w:rPr>
            </w:pPr>
            <w:r>
              <w:rPr>
                <w:rStyle w:val="FontStyle41"/>
                <w:lang w:val="el-GR" w:eastAsia="el-GR"/>
              </w:rPr>
              <w:t>Παγκρεατίτιδα</w:t>
            </w: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auto"/>
              <w:rPr>
                <w:rStyle w:val="FontStyle41"/>
                <w:lang w:val="el-GR" w:eastAsia="el-GR"/>
              </w:rPr>
            </w:pPr>
            <w:r>
              <w:rPr>
                <w:rStyle w:val="FontStyle41"/>
                <w:lang w:val="el-GR" w:eastAsia="el-GR"/>
              </w:rPr>
              <w:t>Διάρροια</w:t>
            </w: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5" w:lineRule="exact"/>
              <w:ind w:left="10" w:hanging="10"/>
              <w:rPr>
                <w:rStyle w:val="FontStyle40"/>
                <w:lang w:val="el-GR" w:eastAsia="el-GR"/>
              </w:rPr>
            </w:pPr>
            <w:r>
              <w:rPr>
                <w:rStyle w:val="FontStyle40"/>
                <w:lang w:val="el-GR" w:eastAsia="el-GR"/>
              </w:rPr>
              <w:t>Διαταραχές του ήπατος και των χοληφόρων</w:t>
            </w:r>
          </w:p>
        </w:tc>
        <w:tc>
          <w:tcPr>
            <w:tcW w:w="1277"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A502AA" w:rsidRPr="00F7301B" w:rsidRDefault="00A502AA">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exact"/>
              <w:ind w:left="5" w:hanging="5"/>
              <w:rPr>
                <w:rStyle w:val="FontStyle41"/>
                <w:lang w:val="el-GR" w:eastAsia="el-GR"/>
              </w:rPr>
            </w:pPr>
            <w:r>
              <w:rPr>
                <w:rStyle w:val="FontStyle41"/>
                <w:lang w:val="el-GR" w:eastAsia="el-GR"/>
              </w:rPr>
              <w:t>Αυξημένα επίπεδα ηπατικών τρανσαμινασών</w:t>
            </w: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31"/>
              <w:widowControl/>
              <w:ind w:left="14" w:hanging="14"/>
              <w:rPr>
                <w:rStyle w:val="FontStyle41"/>
                <w:lang w:val="el-GR" w:eastAsia="el-GR"/>
              </w:rPr>
            </w:pPr>
            <w:r>
              <w:rPr>
                <w:rStyle w:val="FontStyle41"/>
                <w:lang w:val="el-GR" w:eastAsia="el-GR"/>
              </w:rPr>
              <w:t>Ίκτερος Ηπατίτιδα</w:t>
            </w: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r>
      <w:tr w:rsidR="00A502AA">
        <w:tblPrEx>
          <w:tblCellMar>
            <w:top w:w="0" w:type="dxa"/>
            <w:bottom w:w="0" w:type="dxa"/>
          </w:tblCellMar>
        </w:tblPrEx>
        <w:tc>
          <w:tcPr>
            <w:tcW w:w="1973" w:type="dxa"/>
            <w:tcBorders>
              <w:top w:val="single" w:sz="6" w:space="0" w:color="auto"/>
              <w:left w:val="single" w:sz="6" w:space="0" w:color="auto"/>
              <w:bottom w:val="single" w:sz="6" w:space="0" w:color="auto"/>
              <w:right w:val="single" w:sz="6" w:space="0" w:color="auto"/>
            </w:tcBorders>
          </w:tcPr>
          <w:p w:rsidR="00A502AA" w:rsidRDefault="00A502AA">
            <w:pPr>
              <w:pStyle w:val="Style18"/>
              <w:widowControl/>
              <w:spacing w:line="240" w:lineRule="auto"/>
              <w:rPr>
                <w:rStyle w:val="FontStyle40"/>
                <w:lang w:val="el-GR" w:eastAsia="el-GR"/>
              </w:rPr>
            </w:pPr>
            <w:r>
              <w:rPr>
                <w:rStyle w:val="FontStyle40"/>
                <w:lang w:val="el-GR" w:eastAsia="el-GR"/>
              </w:rPr>
              <w:t>Διαταραχές του</w:t>
            </w:r>
          </w:p>
        </w:tc>
        <w:tc>
          <w:tcPr>
            <w:tcW w:w="127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296"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auto"/>
              <w:rPr>
                <w:rStyle w:val="FontStyle41"/>
                <w:lang w:val="el-GR" w:eastAsia="el-GR"/>
              </w:rPr>
            </w:pPr>
            <w:r>
              <w:rPr>
                <w:rStyle w:val="FontStyle41"/>
                <w:lang w:val="el-GR" w:eastAsia="el-GR"/>
              </w:rPr>
              <w:t>Κνησμός</w:t>
            </w:r>
          </w:p>
        </w:tc>
        <w:tc>
          <w:tcPr>
            <w:tcW w:w="1963"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A502AA" w:rsidRDefault="00A502AA">
            <w:pPr>
              <w:pStyle w:val="Style20"/>
              <w:widowControl/>
            </w:pPr>
          </w:p>
        </w:tc>
        <w:tc>
          <w:tcPr>
            <w:tcW w:w="1656" w:type="dxa"/>
            <w:tcBorders>
              <w:top w:val="single" w:sz="6" w:space="0" w:color="auto"/>
              <w:left w:val="single" w:sz="6" w:space="0" w:color="auto"/>
              <w:bottom w:val="single" w:sz="6" w:space="0" w:color="auto"/>
              <w:right w:val="single" w:sz="6" w:space="0" w:color="auto"/>
            </w:tcBorders>
          </w:tcPr>
          <w:p w:rsidR="00A502AA" w:rsidRDefault="00A502AA">
            <w:pPr>
              <w:pStyle w:val="Style15"/>
              <w:widowControl/>
              <w:spacing w:line="240" w:lineRule="auto"/>
              <w:rPr>
                <w:rStyle w:val="FontStyle41"/>
                <w:lang w:val="el-GR" w:eastAsia="el-GR"/>
              </w:rPr>
            </w:pPr>
            <w:r>
              <w:rPr>
                <w:rStyle w:val="FontStyle41"/>
                <w:lang w:val="el-GR" w:eastAsia="el-GR"/>
              </w:rPr>
              <w:t>Σύνδρομο</w:t>
            </w:r>
          </w:p>
        </w:tc>
      </w:tr>
    </w:tbl>
    <w:p w:rsidR="00A502AA" w:rsidRDefault="007F2F04">
      <w:pPr>
        <w:pStyle w:val="Style7"/>
        <w:widowControl/>
        <w:spacing w:line="264" w:lineRule="exact"/>
        <w:rPr>
          <w:rStyle w:val="FontStyle45"/>
          <w:lang w:val="el-GR" w:eastAsia="el-GR"/>
        </w:rPr>
      </w:pPr>
      <w:r>
        <w:rPr>
          <w:noProof/>
          <w:lang w:val="el-GR" w:eastAsia="el-GR"/>
        </w:rPr>
        <w:lastRenderedPageBreak/>
        <mc:AlternateContent>
          <mc:Choice Requires="wpg">
            <w:drawing>
              <wp:anchor distT="0" distB="311150" distL="24130" distR="24130" simplePos="0" relativeHeight="251660288" behindDoc="0" locked="0" layoutInCell="1" allowOverlap="1">
                <wp:simplePos x="0" y="0"/>
                <wp:positionH relativeFrom="margin">
                  <wp:posOffset>-69850</wp:posOffset>
                </wp:positionH>
                <wp:positionV relativeFrom="paragraph">
                  <wp:posOffset>0</wp:posOffset>
                </wp:positionV>
                <wp:extent cx="6269355" cy="5324475"/>
                <wp:effectExtent l="0" t="0" r="0" b="0"/>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5324475"/>
                          <a:chOff x="1306" y="1133"/>
                          <a:chExt cx="9873" cy="8385"/>
                        </a:xfrm>
                      </wpg:grpSpPr>
                      <wps:wsp>
                        <wps:cNvPr id="2" name="Text Box 10"/>
                        <wps:cNvSpPr txBox="1">
                          <a:spLocks noChangeArrowheads="1"/>
                        </wps:cNvSpPr>
                        <wps:spPr bwMode="auto">
                          <a:xfrm>
                            <a:off x="1306" y="1133"/>
                            <a:ext cx="9873" cy="78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954"/>
                                <w:gridCol w:w="1277"/>
                                <w:gridCol w:w="1296"/>
                                <w:gridCol w:w="1963"/>
                                <w:gridCol w:w="1747"/>
                                <w:gridCol w:w="1637"/>
                              </w:tblGrid>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spacing w:line="240" w:lineRule="exact"/>
                                      <w:ind w:firstLine="10"/>
                                      <w:rPr>
                                        <w:rStyle w:val="FontStyle39"/>
                                        <w:lang w:val="el-GR" w:eastAsia="el-GR"/>
                                      </w:rPr>
                                    </w:pPr>
                                    <w:r>
                                      <w:rPr>
                                        <w:rStyle w:val="FontStyle39"/>
                                        <w:lang w:val="el-GR" w:eastAsia="el-GR"/>
                                      </w:rPr>
                                      <w:t>Κατηγορία Οργανικού Συστήματος</w:t>
                                    </w:r>
                                  </w:p>
                                </w:tc>
                                <w:tc>
                                  <w:tcPr>
                                    <w:tcW w:w="1277"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ind w:left="206"/>
                                      <w:rPr>
                                        <w:rStyle w:val="FontStyle39"/>
                                        <w:lang w:val="el-GR" w:eastAsia="el-GR"/>
                                      </w:rPr>
                                    </w:pPr>
                                    <w:r>
                                      <w:rPr>
                                        <w:rStyle w:val="FontStyle39"/>
                                        <w:lang w:val="el-GR" w:eastAsia="el-GR"/>
                                      </w:rPr>
                                      <w:t>Συχνές</w:t>
                                    </w: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spacing w:line="240" w:lineRule="exact"/>
                                      <w:ind w:left="211"/>
                                      <w:rPr>
                                        <w:rStyle w:val="FontStyle39"/>
                                        <w:lang w:val="el-GR" w:eastAsia="el-GR"/>
                                      </w:rPr>
                                    </w:pPr>
                                    <w:r>
                                      <w:rPr>
                                        <w:rStyle w:val="FontStyle39"/>
                                        <w:lang w:val="el-GR" w:eastAsia="el-GR"/>
                                      </w:rPr>
                                      <w:t>Όχι συχνές</w:t>
                                    </w: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ind w:left="509"/>
                                      <w:rPr>
                                        <w:rStyle w:val="FontStyle39"/>
                                        <w:lang w:val="el-GR" w:eastAsia="el-GR"/>
                                      </w:rPr>
                                    </w:pPr>
                                    <w:r>
                                      <w:rPr>
                                        <w:rStyle w:val="FontStyle39"/>
                                        <w:lang w:val="el-GR" w:eastAsia="el-GR"/>
                                      </w:rPr>
                                      <w:t>Σπάνιες</w:t>
                                    </w: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spacing w:line="240" w:lineRule="exact"/>
                                      <w:ind w:left="394"/>
                                      <w:rPr>
                                        <w:rStyle w:val="FontStyle39"/>
                                        <w:lang w:val="el-GR" w:eastAsia="el-GR"/>
                                      </w:rPr>
                                    </w:pPr>
                                    <w:r>
                                      <w:rPr>
                                        <w:rStyle w:val="FontStyle39"/>
                                        <w:lang w:val="el-GR" w:eastAsia="el-GR"/>
                                      </w:rPr>
                                      <w:t>Πολύ σπάνιες</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ind w:left="298"/>
                                      <w:rPr>
                                        <w:rStyle w:val="FontStyle39"/>
                                        <w:lang w:val="el-GR" w:eastAsia="el-GR"/>
                                      </w:rPr>
                                    </w:pPr>
                                    <w:r>
                                      <w:rPr>
                                        <w:rStyle w:val="FontStyle39"/>
                                        <w:lang w:val="el-GR" w:eastAsia="el-GR"/>
                                      </w:rPr>
                                      <w:t>Μη</w:t>
                                    </w:r>
                                  </w:p>
                                  <w:p w:rsidR="00E317F9" w:rsidRDefault="00E317F9">
                                    <w:pPr>
                                      <w:pStyle w:val="Style27"/>
                                      <w:widowControl/>
                                      <w:ind w:left="298"/>
                                      <w:rPr>
                                        <w:rStyle w:val="FontStyle39"/>
                                        <w:lang w:val="el-GR" w:eastAsia="el-GR"/>
                                      </w:rPr>
                                    </w:pPr>
                                    <w:r>
                                      <w:rPr>
                                        <w:rStyle w:val="FontStyle39"/>
                                        <w:lang w:val="el-GR" w:eastAsia="el-GR"/>
                                      </w:rPr>
                                      <w:t>γνωστές</w:t>
                                    </w: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50" w:lineRule="exact"/>
                                      <w:ind w:firstLine="5"/>
                                      <w:rPr>
                                        <w:rStyle w:val="FontStyle40"/>
                                        <w:lang w:val="el-GR" w:eastAsia="el-GR"/>
                                      </w:rPr>
                                    </w:pPr>
                                    <w:r>
                                      <w:rPr>
                                        <w:rStyle w:val="FontStyle40"/>
                                        <w:lang w:val="el-GR" w:eastAsia="el-GR"/>
                                      </w:rPr>
                                      <w:t>δέρματος και του υποδόριου ιστού</w:t>
                                    </w:r>
                                  </w:p>
                                </w:tc>
                                <w:tc>
                                  <w:tcPr>
                                    <w:tcW w:w="1277"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spacing w:line="360" w:lineRule="exact"/>
                                      <w:rPr>
                                        <w:rStyle w:val="FontStyle41"/>
                                        <w:lang w:val="el-GR" w:eastAsia="el-GR"/>
                                      </w:rPr>
                                    </w:pPr>
                                    <w:r>
                                      <w:rPr>
                                        <w:rStyle w:val="FontStyle41"/>
                                        <w:lang w:val="el-GR" w:eastAsia="el-GR"/>
                                      </w:rPr>
                                      <w:t>Εξάνθημα Κνίδωση</w:t>
                                    </w: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15"/>
                                      <w:widowControl/>
                                      <w:spacing w:line="240" w:lineRule="exact"/>
                                      <w:ind w:left="5" w:hanging="5"/>
                                      <w:rPr>
                                        <w:rStyle w:val="FontStyle41"/>
                                      </w:rPr>
                                    </w:pPr>
                                    <w:r>
                                      <w:rPr>
                                        <w:rStyle w:val="FontStyle41"/>
                                      </w:rPr>
                                      <w:t>Stevens-Johnson</w:t>
                                    </w: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0" w:lineRule="exact"/>
                                      <w:ind w:left="10" w:hanging="10"/>
                                      <w:rPr>
                                        <w:rStyle w:val="FontStyle40"/>
                                        <w:lang w:val="el-GR" w:eastAsia="el-GR"/>
                                      </w:rPr>
                                    </w:pPr>
                                    <w:r>
                                      <w:rPr>
                                        <w:rStyle w:val="FontStyle40"/>
                                        <w:lang w:val="el-GR" w:eastAsia="el-GR"/>
                                      </w:rPr>
                                      <w:t>Διαταραχές του μυοσκελετικού συστήματος και του συνδετικού ιστού</w:t>
                                    </w:r>
                                  </w:p>
                                </w:tc>
                                <w:tc>
                                  <w:tcPr>
                                    <w:tcW w:w="127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Μυαλγία</w:t>
                                    </w: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15"/>
                                      <w:widowControl/>
                                      <w:rPr>
                                        <w:rStyle w:val="FontStyle41"/>
                                        <w:lang w:val="el-GR" w:eastAsia="el-GR"/>
                                      </w:rPr>
                                    </w:pPr>
                                    <w:r>
                                      <w:rPr>
                                        <w:rStyle w:val="FontStyle41"/>
                                        <w:lang w:val="el-GR" w:eastAsia="el-GR"/>
                                      </w:rPr>
                                      <w:t>Μυοπάθεια (συμπεριλαμβανο</w:t>
                                    </w:r>
                                  </w:p>
                                  <w:p w:rsidR="00E317F9" w:rsidRDefault="00E317F9">
                                    <w:pPr>
                                      <w:pStyle w:val="Style28"/>
                                      <w:widowControl/>
                                      <w:rPr>
                                        <w:rStyle w:val="FontStyle41"/>
                                        <w:lang w:val="el-GR" w:eastAsia="el-GR"/>
                                      </w:rPr>
                                    </w:pPr>
                                    <w:r>
                                      <w:rPr>
                                        <w:rStyle w:val="FontStyle41"/>
                                        <w:lang w:val="el-GR" w:eastAsia="el-GR"/>
                                      </w:rPr>
                                      <w:t>μένης της</w:t>
                                    </w:r>
                                  </w:p>
                                  <w:p w:rsidR="00E317F9" w:rsidRDefault="00E317F9">
                                    <w:pPr>
                                      <w:pStyle w:val="Style28"/>
                                      <w:widowControl/>
                                      <w:spacing w:line="365" w:lineRule="exact"/>
                                      <w:ind w:firstLine="5"/>
                                      <w:rPr>
                                        <w:rStyle w:val="FontStyle41"/>
                                        <w:lang w:val="el-GR" w:eastAsia="el-GR"/>
                                      </w:rPr>
                                    </w:pPr>
                                    <w:r>
                                      <w:rPr>
                                        <w:rStyle w:val="FontStyle41"/>
                                        <w:lang w:val="el-GR" w:eastAsia="el-GR"/>
                                      </w:rPr>
                                      <w:t>μυοσίτιδας) Ραβδομυόλυση</w:t>
                                    </w: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Αρθραλγία</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15"/>
                                      <w:widowControl/>
                                      <w:spacing w:line="240" w:lineRule="exact"/>
                                      <w:ind w:firstLine="5"/>
                                      <w:rPr>
                                        <w:rStyle w:val="FontStyle41"/>
                                        <w:lang w:val="el-GR" w:eastAsia="el-GR"/>
                                      </w:rPr>
                                    </w:pPr>
                                    <w:r>
                                      <w:rPr>
                                        <w:rStyle w:val="FontStyle41"/>
                                        <w:lang w:val="el-GR" w:eastAsia="el-GR"/>
                                      </w:rPr>
                                      <w:t>Διαταραχές τένοντα, μερικές φορές με επιπλοκή</w:t>
                                    </w:r>
                                  </w:p>
                                  <w:p w:rsidR="00E317F9" w:rsidRDefault="00E317F9">
                                    <w:pPr>
                                      <w:pStyle w:val="Style28"/>
                                      <w:widowControl/>
                                      <w:rPr>
                                        <w:rStyle w:val="FontStyle41"/>
                                        <w:lang w:val="el-GR" w:eastAsia="el-GR"/>
                                      </w:rPr>
                                    </w:pPr>
                                    <w:r>
                                      <w:rPr>
                                        <w:rStyle w:val="FontStyle41"/>
                                        <w:lang w:val="el-GR" w:eastAsia="el-GR"/>
                                      </w:rPr>
                                      <w:t>ρήξης</w:t>
                                    </w:r>
                                  </w:p>
                                  <w:p w:rsidR="00E317F9" w:rsidRDefault="00E317F9">
                                    <w:pPr>
                                      <w:pStyle w:val="Style15"/>
                                      <w:widowControl/>
                                      <w:spacing w:line="240" w:lineRule="exact"/>
                                      <w:ind w:firstLine="19"/>
                                      <w:rPr>
                                        <w:rStyle w:val="FontStyle41"/>
                                        <w:lang w:val="el-GR" w:eastAsia="el-GR"/>
                                      </w:rPr>
                                    </w:pPr>
                                    <w:r>
                                      <w:rPr>
                                        <w:rStyle w:val="FontStyle41"/>
                                        <w:lang w:val="el-GR" w:eastAsia="el-GR"/>
                                      </w:rPr>
                                      <w:t>Επαγώμενη από το ανοσοποιητι</w:t>
                                    </w:r>
                                    <w:r>
                                      <w:rPr>
                                        <w:rStyle w:val="FontStyle41"/>
                                        <w:lang w:val="el-GR" w:eastAsia="el-GR"/>
                                      </w:rPr>
                                      <w:softHyphen/>
                                      <w:t>κό σύστημα νεκρωτική μυοπάθεια</w:t>
                                    </w: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0" w:lineRule="exact"/>
                                      <w:ind w:left="10" w:hanging="10"/>
                                      <w:rPr>
                                        <w:rStyle w:val="FontStyle40"/>
                                        <w:lang w:val="el-GR" w:eastAsia="el-GR"/>
                                      </w:rPr>
                                    </w:pPr>
                                    <w:r>
                                      <w:rPr>
                                        <w:rStyle w:val="FontStyle40"/>
                                        <w:lang w:val="el-GR" w:eastAsia="el-GR"/>
                                      </w:rPr>
                                      <w:t>Διαταραχές των νεφρών και των ουροφόρων οδών</w:t>
                                    </w:r>
                                  </w:p>
                                </w:tc>
                                <w:tc>
                                  <w:tcPr>
                                    <w:tcW w:w="1277"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Αιματουρία</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5" w:lineRule="exact"/>
                                      <w:ind w:left="10" w:hanging="10"/>
                                      <w:rPr>
                                        <w:rStyle w:val="FontStyle40"/>
                                        <w:lang w:val="el-GR" w:eastAsia="el-GR"/>
                                      </w:rPr>
                                    </w:pPr>
                                    <w:r>
                                      <w:rPr>
                                        <w:rStyle w:val="FontStyle40"/>
                                        <w:lang w:val="el-GR" w:eastAsia="el-GR"/>
                                      </w:rPr>
                                      <w:t>Διαταραχές του αναπαραγωγικού συστήματος και του μαστού</w:t>
                                    </w:r>
                                  </w:p>
                                </w:tc>
                                <w:tc>
                                  <w:tcPr>
                                    <w:tcW w:w="1277"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Γυναικομαστία</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0" w:lineRule="exact"/>
                                      <w:rPr>
                                        <w:rStyle w:val="FontStyle40"/>
                                        <w:lang w:val="el-GR" w:eastAsia="el-GR"/>
                                      </w:rPr>
                                    </w:pPr>
                                    <w:r>
                                      <w:rPr>
                                        <w:rStyle w:val="FontStyle40"/>
                                        <w:lang w:val="el-GR" w:eastAsia="el-GR"/>
                                      </w:rPr>
                                      <w:t>Γενικές</w:t>
                                    </w:r>
                                  </w:p>
                                  <w:p w:rsidR="00E317F9" w:rsidRDefault="00E317F9">
                                    <w:pPr>
                                      <w:pStyle w:val="Style18"/>
                                      <w:widowControl/>
                                      <w:spacing w:line="240" w:lineRule="exact"/>
                                      <w:ind w:firstLine="5"/>
                                      <w:rPr>
                                        <w:rStyle w:val="FontStyle40"/>
                                        <w:lang w:val="el-GR" w:eastAsia="el-GR"/>
                                      </w:rPr>
                                    </w:pPr>
                                    <w:r>
                                      <w:rPr>
                                        <w:rStyle w:val="FontStyle40"/>
                                        <w:lang w:val="el-GR" w:eastAsia="el-GR"/>
                                      </w:rPr>
                                      <w:t>διαταραχές και καταστάσεις της οδού χορήγησης</w:t>
                                    </w:r>
                                  </w:p>
                                </w:tc>
                                <w:tc>
                                  <w:tcPr>
                                    <w:tcW w:w="127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Ασθένεια</w:t>
                                    </w: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Οίδημα</w:t>
                                    </w:r>
                                  </w:p>
                                </w:tc>
                              </w:tr>
                            </w:tbl>
                          </w:txbxContent>
                        </wps:txbx>
                        <wps:bodyPr rot="0" vert="horz" wrap="square" lIns="0" tIns="0" rIns="0" bIns="0" anchor="t" anchorCtr="0" upright="1">
                          <a:noAutofit/>
                        </wps:bodyPr>
                      </wps:wsp>
                      <wps:wsp>
                        <wps:cNvPr id="3" name="Text Box 11"/>
                        <wps:cNvSpPr txBox="1">
                          <a:spLocks noChangeArrowheads="1"/>
                        </wps:cNvSpPr>
                        <wps:spPr bwMode="auto">
                          <a:xfrm>
                            <a:off x="1536" y="9101"/>
                            <a:ext cx="8616" cy="41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317F9" w:rsidRDefault="00E317F9">
                              <w:pPr>
                                <w:pStyle w:val="Style30"/>
                                <w:widowControl/>
                                <w:rPr>
                                  <w:rStyle w:val="FontStyle42"/>
                                  <w:lang w:val="el-GR" w:eastAsia="el-GR"/>
                                </w:rPr>
                              </w:pPr>
                              <w:r>
                                <w:rPr>
                                  <w:rStyle w:val="FontStyle42"/>
                                  <w:lang w:val="el-GR" w:eastAsia="el-GR"/>
                                </w:rPr>
                                <w:t xml:space="preserve">Η συχνότητα θα εξαρτηθεί από την παρουσία ή την απουσία παραγόντων κινδύνου (γλυκόζη νηστείας &gt; 5,6 </w:t>
                              </w:r>
                              <w:r>
                                <w:rPr>
                                  <w:rStyle w:val="FontStyle42"/>
                                  <w:lang w:eastAsia="el-GR"/>
                                </w:rPr>
                                <w:t>mmol</w:t>
                              </w:r>
                              <w:r w:rsidRPr="00F7301B">
                                <w:rPr>
                                  <w:rStyle w:val="FontStyle42"/>
                                  <w:lang w:val="el-GR" w:eastAsia="el-GR"/>
                                </w:rPr>
                                <w:t>/</w:t>
                              </w:r>
                              <w:r>
                                <w:rPr>
                                  <w:rStyle w:val="FontStyle42"/>
                                  <w:lang w:eastAsia="el-GR"/>
                                </w:rPr>
                                <w:t>L</w:t>
                              </w:r>
                              <w:r w:rsidRPr="00F7301B">
                                <w:rPr>
                                  <w:rStyle w:val="FontStyle42"/>
                                  <w:lang w:val="el-GR" w:eastAsia="el-GR"/>
                                </w:rPr>
                                <w:t xml:space="preserve">, </w:t>
                              </w:r>
                              <w:r>
                                <w:rPr>
                                  <w:rStyle w:val="FontStyle42"/>
                                  <w:lang w:val="el-GR" w:eastAsia="el-GR"/>
                                </w:rPr>
                                <w:t xml:space="preserve">ΔΜΣ &gt; 30 </w:t>
                              </w:r>
                              <w:r>
                                <w:rPr>
                                  <w:rStyle w:val="FontStyle42"/>
                                  <w:lang w:eastAsia="el-GR"/>
                                </w:rPr>
                                <w:t>kg</w:t>
                              </w:r>
                              <w:r w:rsidRPr="00F7301B">
                                <w:rPr>
                                  <w:rStyle w:val="FontStyle42"/>
                                  <w:lang w:val="el-GR" w:eastAsia="el-GR"/>
                                </w:rPr>
                                <w:t>/</w:t>
                              </w:r>
                              <w:r>
                                <w:rPr>
                                  <w:rStyle w:val="FontStyle42"/>
                                  <w:lang w:eastAsia="el-GR"/>
                                </w:rPr>
                                <w:t>m</w:t>
                              </w:r>
                              <w:r w:rsidRPr="00F7301B">
                                <w:rPr>
                                  <w:rStyle w:val="FontStyle42"/>
                                  <w:lang w:val="el-GR" w:eastAsia="el-GR"/>
                                </w:rPr>
                                <w:t xml:space="preserve">2, </w:t>
                              </w:r>
                              <w:r>
                                <w:rPr>
                                  <w:rStyle w:val="FontStyle42"/>
                                  <w:lang w:val="el-GR" w:eastAsia="el-GR"/>
                                </w:rPr>
                                <w:t>αυξημένα τριγλυκερίδια, ιστορικό υπέρτασης).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5.5pt;margin-top:0;width:493.65pt;height:419.25pt;z-index:251660288;mso-wrap-distance-left:1.9pt;mso-wrap-distance-right:1.9pt;mso-wrap-distance-bottom:24.5pt;mso-position-horizontal-relative:margin" coordorigin="1306,1133" coordsize="9873,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">
                <v:shape id="Text Box 10" o:spid="_x0000_s1034" type="#_x0000_t202" style="position:absolute;left:1306;top:1133;width:9873;height:7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954"/>
                          <w:gridCol w:w="1277"/>
                          <w:gridCol w:w="1296"/>
                          <w:gridCol w:w="1963"/>
                          <w:gridCol w:w="1747"/>
                          <w:gridCol w:w="1637"/>
                        </w:tblGrid>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spacing w:line="240" w:lineRule="exact"/>
                                <w:ind w:firstLine="10"/>
                                <w:rPr>
                                  <w:rStyle w:val="FontStyle39"/>
                                  <w:lang w:val="el-GR" w:eastAsia="el-GR"/>
                                </w:rPr>
                              </w:pPr>
                              <w:r>
                                <w:rPr>
                                  <w:rStyle w:val="FontStyle39"/>
                                  <w:lang w:val="el-GR" w:eastAsia="el-GR"/>
                                </w:rPr>
                                <w:t>Κατηγορία Οργανικού Συστήματος</w:t>
                              </w:r>
                            </w:p>
                          </w:tc>
                          <w:tc>
                            <w:tcPr>
                              <w:tcW w:w="1277"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ind w:left="206"/>
                                <w:rPr>
                                  <w:rStyle w:val="FontStyle39"/>
                                  <w:lang w:val="el-GR" w:eastAsia="el-GR"/>
                                </w:rPr>
                              </w:pPr>
                              <w:r>
                                <w:rPr>
                                  <w:rStyle w:val="FontStyle39"/>
                                  <w:lang w:val="el-GR" w:eastAsia="el-GR"/>
                                </w:rPr>
                                <w:t>Συχνές</w:t>
                              </w: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spacing w:line="240" w:lineRule="exact"/>
                                <w:ind w:left="211"/>
                                <w:rPr>
                                  <w:rStyle w:val="FontStyle39"/>
                                  <w:lang w:val="el-GR" w:eastAsia="el-GR"/>
                                </w:rPr>
                              </w:pPr>
                              <w:r>
                                <w:rPr>
                                  <w:rStyle w:val="FontStyle39"/>
                                  <w:lang w:val="el-GR" w:eastAsia="el-GR"/>
                                </w:rPr>
                                <w:t>Όχι συχνές</w:t>
                              </w: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ind w:left="509"/>
                                <w:rPr>
                                  <w:rStyle w:val="FontStyle39"/>
                                  <w:lang w:val="el-GR" w:eastAsia="el-GR"/>
                                </w:rPr>
                              </w:pPr>
                              <w:r>
                                <w:rPr>
                                  <w:rStyle w:val="FontStyle39"/>
                                  <w:lang w:val="el-GR" w:eastAsia="el-GR"/>
                                </w:rPr>
                                <w:t>Σπάνιες</w:t>
                              </w: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spacing w:line="240" w:lineRule="exact"/>
                                <w:ind w:left="394"/>
                                <w:rPr>
                                  <w:rStyle w:val="FontStyle39"/>
                                  <w:lang w:val="el-GR" w:eastAsia="el-GR"/>
                                </w:rPr>
                              </w:pPr>
                              <w:r>
                                <w:rPr>
                                  <w:rStyle w:val="FontStyle39"/>
                                  <w:lang w:val="el-GR" w:eastAsia="el-GR"/>
                                </w:rPr>
                                <w:t>Πολύ σπάνιες</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7"/>
                                <w:widowControl/>
                                <w:ind w:left="298"/>
                                <w:rPr>
                                  <w:rStyle w:val="FontStyle39"/>
                                  <w:lang w:val="el-GR" w:eastAsia="el-GR"/>
                                </w:rPr>
                              </w:pPr>
                              <w:r>
                                <w:rPr>
                                  <w:rStyle w:val="FontStyle39"/>
                                  <w:lang w:val="el-GR" w:eastAsia="el-GR"/>
                                </w:rPr>
                                <w:t>Μη</w:t>
                              </w:r>
                            </w:p>
                            <w:p w:rsidR="00E317F9" w:rsidRDefault="00E317F9">
                              <w:pPr>
                                <w:pStyle w:val="Style27"/>
                                <w:widowControl/>
                                <w:ind w:left="298"/>
                                <w:rPr>
                                  <w:rStyle w:val="FontStyle39"/>
                                  <w:lang w:val="el-GR" w:eastAsia="el-GR"/>
                                </w:rPr>
                              </w:pPr>
                              <w:r>
                                <w:rPr>
                                  <w:rStyle w:val="FontStyle39"/>
                                  <w:lang w:val="el-GR" w:eastAsia="el-GR"/>
                                </w:rPr>
                                <w:t>γνωστές</w:t>
                              </w: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50" w:lineRule="exact"/>
                                <w:ind w:firstLine="5"/>
                                <w:rPr>
                                  <w:rStyle w:val="FontStyle40"/>
                                  <w:lang w:val="el-GR" w:eastAsia="el-GR"/>
                                </w:rPr>
                              </w:pPr>
                              <w:r>
                                <w:rPr>
                                  <w:rStyle w:val="FontStyle40"/>
                                  <w:lang w:val="el-GR" w:eastAsia="el-GR"/>
                                </w:rPr>
                                <w:t>δέρματος και του υποδόριου ιστού</w:t>
                              </w:r>
                            </w:p>
                          </w:tc>
                          <w:tc>
                            <w:tcPr>
                              <w:tcW w:w="1277"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spacing w:line="360" w:lineRule="exact"/>
                                <w:rPr>
                                  <w:rStyle w:val="FontStyle41"/>
                                  <w:lang w:val="el-GR" w:eastAsia="el-GR"/>
                                </w:rPr>
                              </w:pPr>
                              <w:r>
                                <w:rPr>
                                  <w:rStyle w:val="FontStyle41"/>
                                  <w:lang w:val="el-GR" w:eastAsia="el-GR"/>
                                </w:rPr>
                                <w:t>Εξάνθημα Κνίδωση</w:t>
                              </w: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15"/>
                                <w:widowControl/>
                                <w:spacing w:line="240" w:lineRule="exact"/>
                                <w:ind w:left="5" w:hanging="5"/>
                                <w:rPr>
                                  <w:rStyle w:val="FontStyle41"/>
                                </w:rPr>
                              </w:pPr>
                              <w:r>
                                <w:rPr>
                                  <w:rStyle w:val="FontStyle41"/>
                                </w:rPr>
                                <w:t>Stevens-Johnson</w:t>
                              </w: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0" w:lineRule="exact"/>
                                <w:ind w:left="10" w:hanging="10"/>
                                <w:rPr>
                                  <w:rStyle w:val="FontStyle40"/>
                                  <w:lang w:val="el-GR" w:eastAsia="el-GR"/>
                                </w:rPr>
                              </w:pPr>
                              <w:r>
                                <w:rPr>
                                  <w:rStyle w:val="FontStyle40"/>
                                  <w:lang w:val="el-GR" w:eastAsia="el-GR"/>
                                </w:rPr>
                                <w:t>Διαταραχές του μυοσκελετικού συστήματος και του συνδετικού ιστού</w:t>
                              </w:r>
                            </w:p>
                          </w:tc>
                          <w:tc>
                            <w:tcPr>
                              <w:tcW w:w="127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Μυαλγία</w:t>
                              </w: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15"/>
                                <w:widowControl/>
                                <w:rPr>
                                  <w:rStyle w:val="FontStyle41"/>
                                  <w:lang w:val="el-GR" w:eastAsia="el-GR"/>
                                </w:rPr>
                              </w:pPr>
                              <w:r>
                                <w:rPr>
                                  <w:rStyle w:val="FontStyle41"/>
                                  <w:lang w:val="el-GR" w:eastAsia="el-GR"/>
                                </w:rPr>
                                <w:t>Μυοπάθεια (συμπεριλαμβανο</w:t>
                              </w:r>
                            </w:p>
                            <w:p w:rsidR="00E317F9" w:rsidRDefault="00E317F9">
                              <w:pPr>
                                <w:pStyle w:val="Style28"/>
                                <w:widowControl/>
                                <w:rPr>
                                  <w:rStyle w:val="FontStyle41"/>
                                  <w:lang w:val="el-GR" w:eastAsia="el-GR"/>
                                </w:rPr>
                              </w:pPr>
                              <w:r>
                                <w:rPr>
                                  <w:rStyle w:val="FontStyle41"/>
                                  <w:lang w:val="el-GR" w:eastAsia="el-GR"/>
                                </w:rPr>
                                <w:t>μένης της</w:t>
                              </w:r>
                            </w:p>
                            <w:p w:rsidR="00E317F9" w:rsidRDefault="00E317F9">
                              <w:pPr>
                                <w:pStyle w:val="Style28"/>
                                <w:widowControl/>
                                <w:spacing w:line="365" w:lineRule="exact"/>
                                <w:ind w:firstLine="5"/>
                                <w:rPr>
                                  <w:rStyle w:val="FontStyle41"/>
                                  <w:lang w:val="el-GR" w:eastAsia="el-GR"/>
                                </w:rPr>
                              </w:pPr>
                              <w:r>
                                <w:rPr>
                                  <w:rStyle w:val="FontStyle41"/>
                                  <w:lang w:val="el-GR" w:eastAsia="el-GR"/>
                                </w:rPr>
                                <w:t>μυοσίτιδας) Ραβδομυόλυση</w:t>
                              </w: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Αρθραλγία</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15"/>
                                <w:widowControl/>
                                <w:spacing w:line="240" w:lineRule="exact"/>
                                <w:ind w:firstLine="5"/>
                                <w:rPr>
                                  <w:rStyle w:val="FontStyle41"/>
                                  <w:lang w:val="el-GR" w:eastAsia="el-GR"/>
                                </w:rPr>
                              </w:pPr>
                              <w:r>
                                <w:rPr>
                                  <w:rStyle w:val="FontStyle41"/>
                                  <w:lang w:val="el-GR" w:eastAsia="el-GR"/>
                                </w:rPr>
                                <w:t>Διαταραχές τένοντα, μερικές φορές με επιπλοκή</w:t>
                              </w:r>
                            </w:p>
                            <w:p w:rsidR="00E317F9" w:rsidRDefault="00E317F9">
                              <w:pPr>
                                <w:pStyle w:val="Style28"/>
                                <w:widowControl/>
                                <w:rPr>
                                  <w:rStyle w:val="FontStyle41"/>
                                  <w:lang w:val="el-GR" w:eastAsia="el-GR"/>
                                </w:rPr>
                              </w:pPr>
                              <w:r>
                                <w:rPr>
                                  <w:rStyle w:val="FontStyle41"/>
                                  <w:lang w:val="el-GR" w:eastAsia="el-GR"/>
                                </w:rPr>
                                <w:t>ρήξης</w:t>
                              </w:r>
                            </w:p>
                            <w:p w:rsidR="00E317F9" w:rsidRDefault="00E317F9">
                              <w:pPr>
                                <w:pStyle w:val="Style15"/>
                                <w:widowControl/>
                                <w:spacing w:line="240" w:lineRule="exact"/>
                                <w:ind w:firstLine="19"/>
                                <w:rPr>
                                  <w:rStyle w:val="FontStyle41"/>
                                  <w:lang w:val="el-GR" w:eastAsia="el-GR"/>
                                </w:rPr>
                              </w:pPr>
                              <w:r>
                                <w:rPr>
                                  <w:rStyle w:val="FontStyle41"/>
                                  <w:lang w:val="el-GR" w:eastAsia="el-GR"/>
                                </w:rPr>
                                <w:t>Επαγώμενη από το ανοσοποιητι</w:t>
                              </w:r>
                              <w:r>
                                <w:rPr>
                                  <w:rStyle w:val="FontStyle41"/>
                                  <w:lang w:val="el-GR" w:eastAsia="el-GR"/>
                                </w:rPr>
                                <w:softHyphen/>
                                <w:t>κό σύστημα νεκρωτική μυοπάθεια</w:t>
                              </w: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0" w:lineRule="exact"/>
                                <w:ind w:left="10" w:hanging="10"/>
                                <w:rPr>
                                  <w:rStyle w:val="FontStyle40"/>
                                  <w:lang w:val="el-GR" w:eastAsia="el-GR"/>
                                </w:rPr>
                              </w:pPr>
                              <w:r>
                                <w:rPr>
                                  <w:rStyle w:val="FontStyle40"/>
                                  <w:lang w:val="el-GR" w:eastAsia="el-GR"/>
                                </w:rPr>
                                <w:t>Διαταραχές των νεφρών και των ουροφόρων οδών</w:t>
                              </w:r>
                            </w:p>
                          </w:tc>
                          <w:tc>
                            <w:tcPr>
                              <w:tcW w:w="1277"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Αιματουρία</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5" w:lineRule="exact"/>
                                <w:ind w:left="10" w:hanging="10"/>
                                <w:rPr>
                                  <w:rStyle w:val="FontStyle40"/>
                                  <w:lang w:val="el-GR" w:eastAsia="el-GR"/>
                                </w:rPr>
                              </w:pPr>
                              <w:r>
                                <w:rPr>
                                  <w:rStyle w:val="FontStyle40"/>
                                  <w:lang w:val="el-GR" w:eastAsia="el-GR"/>
                                </w:rPr>
                                <w:t>Διαταραχές του αναπαραγωγικού συστήματος και του μαστού</w:t>
                              </w:r>
                            </w:p>
                          </w:tc>
                          <w:tc>
                            <w:tcPr>
                              <w:tcW w:w="1277"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296"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963" w:type="dxa"/>
                              <w:tcBorders>
                                <w:top w:val="single" w:sz="6" w:space="0" w:color="auto"/>
                                <w:left w:val="single" w:sz="6" w:space="0" w:color="auto"/>
                                <w:bottom w:val="single" w:sz="6" w:space="0" w:color="auto"/>
                                <w:right w:val="single" w:sz="6" w:space="0" w:color="auto"/>
                              </w:tcBorders>
                            </w:tcPr>
                            <w:p w:rsidR="00E317F9" w:rsidRPr="00F7301B" w:rsidRDefault="00E317F9">
                              <w:pPr>
                                <w:pStyle w:val="Style20"/>
                                <w:widowControl/>
                                <w:rPr>
                                  <w:lang w:val="el-GR"/>
                                </w:rPr>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Γυναικομαστία</w:t>
                              </w: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r>
                        <w:tr w:rsidR="00E317F9">
                          <w:tblPrEx>
                            <w:tblCellMar>
                              <w:top w:w="0" w:type="dxa"/>
                              <w:bottom w:w="0" w:type="dxa"/>
                            </w:tblCellMar>
                          </w:tblPrEx>
                          <w:tc>
                            <w:tcPr>
                              <w:tcW w:w="1954" w:type="dxa"/>
                              <w:tcBorders>
                                <w:top w:val="single" w:sz="6" w:space="0" w:color="auto"/>
                                <w:left w:val="single" w:sz="6" w:space="0" w:color="auto"/>
                                <w:bottom w:val="single" w:sz="6" w:space="0" w:color="auto"/>
                                <w:right w:val="single" w:sz="6" w:space="0" w:color="auto"/>
                              </w:tcBorders>
                            </w:tcPr>
                            <w:p w:rsidR="00E317F9" w:rsidRDefault="00E317F9">
                              <w:pPr>
                                <w:pStyle w:val="Style18"/>
                                <w:widowControl/>
                                <w:spacing w:line="240" w:lineRule="exact"/>
                                <w:rPr>
                                  <w:rStyle w:val="FontStyle40"/>
                                  <w:lang w:val="el-GR" w:eastAsia="el-GR"/>
                                </w:rPr>
                              </w:pPr>
                              <w:r>
                                <w:rPr>
                                  <w:rStyle w:val="FontStyle40"/>
                                  <w:lang w:val="el-GR" w:eastAsia="el-GR"/>
                                </w:rPr>
                                <w:t>Γενικές</w:t>
                              </w:r>
                            </w:p>
                            <w:p w:rsidR="00E317F9" w:rsidRDefault="00E317F9">
                              <w:pPr>
                                <w:pStyle w:val="Style18"/>
                                <w:widowControl/>
                                <w:spacing w:line="240" w:lineRule="exact"/>
                                <w:ind w:firstLine="5"/>
                                <w:rPr>
                                  <w:rStyle w:val="FontStyle40"/>
                                  <w:lang w:val="el-GR" w:eastAsia="el-GR"/>
                                </w:rPr>
                              </w:pPr>
                              <w:r>
                                <w:rPr>
                                  <w:rStyle w:val="FontStyle40"/>
                                  <w:lang w:val="el-GR" w:eastAsia="el-GR"/>
                                </w:rPr>
                                <w:t>διαταραχές και καταστάσεις της οδού χορήγησης</w:t>
                              </w:r>
                            </w:p>
                          </w:tc>
                          <w:tc>
                            <w:tcPr>
                              <w:tcW w:w="127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Ασθένεια</w:t>
                              </w:r>
                            </w:p>
                          </w:tc>
                          <w:tc>
                            <w:tcPr>
                              <w:tcW w:w="1296"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963"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747" w:type="dxa"/>
                              <w:tcBorders>
                                <w:top w:val="single" w:sz="6" w:space="0" w:color="auto"/>
                                <w:left w:val="single" w:sz="6" w:space="0" w:color="auto"/>
                                <w:bottom w:val="single" w:sz="6" w:space="0" w:color="auto"/>
                                <w:right w:val="single" w:sz="6" w:space="0" w:color="auto"/>
                              </w:tcBorders>
                            </w:tcPr>
                            <w:p w:rsidR="00E317F9" w:rsidRDefault="00E317F9">
                              <w:pPr>
                                <w:pStyle w:val="Style20"/>
                                <w:widowControl/>
                              </w:pPr>
                            </w:p>
                          </w:tc>
                          <w:tc>
                            <w:tcPr>
                              <w:tcW w:w="1637" w:type="dxa"/>
                              <w:tcBorders>
                                <w:top w:val="single" w:sz="6" w:space="0" w:color="auto"/>
                                <w:left w:val="single" w:sz="6" w:space="0" w:color="auto"/>
                                <w:bottom w:val="single" w:sz="6" w:space="0" w:color="auto"/>
                                <w:right w:val="single" w:sz="6" w:space="0" w:color="auto"/>
                              </w:tcBorders>
                            </w:tcPr>
                            <w:p w:rsidR="00E317F9" w:rsidRDefault="00E317F9">
                              <w:pPr>
                                <w:pStyle w:val="Style28"/>
                                <w:widowControl/>
                                <w:rPr>
                                  <w:rStyle w:val="FontStyle41"/>
                                  <w:lang w:val="el-GR" w:eastAsia="el-GR"/>
                                </w:rPr>
                              </w:pPr>
                              <w:r>
                                <w:rPr>
                                  <w:rStyle w:val="FontStyle41"/>
                                  <w:lang w:val="el-GR" w:eastAsia="el-GR"/>
                                </w:rPr>
                                <w:t>Οίδημα</w:t>
                              </w:r>
                            </w:p>
                          </w:tc>
                        </w:tr>
                      </w:tbl>
                    </w:txbxContent>
                  </v:textbox>
                </v:shape>
                <v:shape id="Text Box 11" o:spid="_x0000_s1035" type="#_x0000_t202" style="position:absolute;left:1536;top:9101;width:861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E317F9" w:rsidRDefault="00E317F9">
                        <w:pPr>
                          <w:pStyle w:val="Style30"/>
                          <w:widowControl/>
                          <w:rPr>
                            <w:rStyle w:val="FontStyle42"/>
                            <w:lang w:val="el-GR" w:eastAsia="el-GR"/>
                          </w:rPr>
                        </w:pPr>
                        <w:r>
                          <w:rPr>
                            <w:rStyle w:val="FontStyle42"/>
                            <w:lang w:val="el-GR" w:eastAsia="el-GR"/>
                          </w:rPr>
                          <w:t xml:space="preserve">Η συχνότητα θα εξαρτηθεί από την παρουσία ή την απουσία παραγόντων κινδύνου (γλυκόζη νηστείας &gt; 5,6 </w:t>
                        </w:r>
                        <w:r>
                          <w:rPr>
                            <w:rStyle w:val="FontStyle42"/>
                            <w:lang w:eastAsia="el-GR"/>
                          </w:rPr>
                          <w:t>mmol</w:t>
                        </w:r>
                        <w:r w:rsidRPr="00F7301B">
                          <w:rPr>
                            <w:rStyle w:val="FontStyle42"/>
                            <w:lang w:val="el-GR" w:eastAsia="el-GR"/>
                          </w:rPr>
                          <w:t>/</w:t>
                        </w:r>
                        <w:r>
                          <w:rPr>
                            <w:rStyle w:val="FontStyle42"/>
                            <w:lang w:eastAsia="el-GR"/>
                          </w:rPr>
                          <w:t>L</w:t>
                        </w:r>
                        <w:r w:rsidRPr="00F7301B">
                          <w:rPr>
                            <w:rStyle w:val="FontStyle42"/>
                            <w:lang w:val="el-GR" w:eastAsia="el-GR"/>
                          </w:rPr>
                          <w:t xml:space="preserve">, </w:t>
                        </w:r>
                        <w:r>
                          <w:rPr>
                            <w:rStyle w:val="FontStyle42"/>
                            <w:lang w:val="el-GR" w:eastAsia="el-GR"/>
                          </w:rPr>
                          <w:t xml:space="preserve">ΔΜΣ &gt; 30 </w:t>
                        </w:r>
                        <w:r>
                          <w:rPr>
                            <w:rStyle w:val="FontStyle42"/>
                            <w:lang w:eastAsia="el-GR"/>
                          </w:rPr>
                          <w:t>kg</w:t>
                        </w:r>
                        <w:r w:rsidRPr="00F7301B">
                          <w:rPr>
                            <w:rStyle w:val="FontStyle42"/>
                            <w:lang w:val="el-GR" w:eastAsia="el-GR"/>
                          </w:rPr>
                          <w:t>/</w:t>
                        </w:r>
                        <w:r>
                          <w:rPr>
                            <w:rStyle w:val="FontStyle42"/>
                            <w:lang w:eastAsia="el-GR"/>
                          </w:rPr>
                          <w:t>m</w:t>
                        </w:r>
                        <w:r w:rsidRPr="00F7301B">
                          <w:rPr>
                            <w:rStyle w:val="FontStyle42"/>
                            <w:lang w:val="el-GR" w:eastAsia="el-GR"/>
                          </w:rPr>
                          <w:t xml:space="preserve">2, </w:t>
                        </w:r>
                        <w:r>
                          <w:rPr>
                            <w:rStyle w:val="FontStyle42"/>
                            <w:lang w:val="el-GR" w:eastAsia="el-GR"/>
                          </w:rPr>
                          <w:t>αυξημένα τριγλυκερίδια, ιστορικό υπέρτασης).</w:t>
                        </w:r>
                      </w:p>
                    </w:txbxContent>
                  </v:textbox>
                </v:shape>
                <w10:wrap type="topAndBottom" anchorx="margin"/>
              </v:group>
            </w:pict>
          </mc:Fallback>
        </mc:AlternateContent>
      </w:r>
      <w:r w:rsidR="00A502AA">
        <w:rPr>
          <w:rStyle w:val="FontStyle45"/>
          <w:lang w:val="el-GR" w:eastAsia="el-GR"/>
        </w:rPr>
        <w:t xml:space="preserve">Όπως και με άλλους αναστολείς της </w:t>
      </w:r>
      <w:r w:rsidR="00A502AA">
        <w:rPr>
          <w:rStyle w:val="FontStyle45"/>
          <w:lang w:eastAsia="el-GR"/>
        </w:rPr>
        <w:t>HMG</w:t>
      </w:r>
      <w:r w:rsidR="00A502AA" w:rsidRPr="00F7301B">
        <w:rPr>
          <w:rStyle w:val="FontStyle45"/>
          <w:lang w:val="el-GR" w:eastAsia="el-GR"/>
        </w:rPr>
        <w:t>-</w:t>
      </w:r>
      <w:r w:rsidR="00A502AA">
        <w:rPr>
          <w:rStyle w:val="FontStyle45"/>
          <w:lang w:eastAsia="el-GR"/>
        </w:rPr>
        <w:t>CoA</w:t>
      </w:r>
      <w:r w:rsidR="00A502AA" w:rsidRPr="00F7301B">
        <w:rPr>
          <w:rStyle w:val="FontStyle45"/>
          <w:lang w:val="el-GR" w:eastAsia="el-GR"/>
        </w:rPr>
        <w:t xml:space="preserve"> </w:t>
      </w:r>
      <w:r w:rsidR="00A502AA">
        <w:rPr>
          <w:rStyle w:val="FontStyle45"/>
          <w:lang w:val="el-GR" w:eastAsia="el-GR"/>
        </w:rPr>
        <w:t>αναγωγάσης, η συχνότητα εμφάνισης ανεπιθύμητων ενεργειών τείνει να είναι δοσοεξαρτώμενη.</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4"/>
          <w:lang w:val="el-GR" w:eastAsia="el-GR"/>
        </w:rPr>
        <w:t xml:space="preserve">Επιδράσεις στους νεφρούς: </w:t>
      </w:r>
      <w:r>
        <w:rPr>
          <w:rStyle w:val="FontStyle45"/>
          <w:lang w:val="el-GR" w:eastAsia="el-GR"/>
        </w:rPr>
        <w:t xml:space="preserve">Πρωτεϊνουρία, που ανιχνεύεται με χρήση ταινιών </w:t>
      </w:r>
      <w:r w:rsidRPr="00F7301B">
        <w:rPr>
          <w:rStyle w:val="FontStyle45"/>
          <w:lang w:val="el-GR" w:eastAsia="el-GR"/>
        </w:rPr>
        <w:t>(</w:t>
      </w:r>
      <w:r>
        <w:rPr>
          <w:rStyle w:val="FontStyle45"/>
          <w:lang w:eastAsia="el-GR"/>
        </w:rPr>
        <w:t>dipstick</w:t>
      </w:r>
      <w:r w:rsidRPr="00F7301B">
        <w:rPr>
          <w:rStyle w:val="FontStyle45"/>
          <w:lang w:val="el-GR" w:eastAsia="el-GR"/>
        </w:rPr>
        <w:t xml:space="preserve">), </w:t>
      </w:r>
      <w:r>
        <w:rPr>
          <w:rStyle w:val="FontStyle45"/>
          <w:lang w:val="el-GR" w:eastAsia="el-GR"/>
        </w:rPr>
        <w:t xml:space="preserve">και είναι κυρίως σωληναριακής προέλευσης, έχει παρατηρηθεί σε ασθενείς που έλαβαν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Μεταβολές της πρωτεϊνουρίας από μηδέν ή ίχνη σε + + ή περισσότερο, κάποια στιγμή στη διάρκεια της θεραπείας με 10 </w:t>
      </w:r>
      <w:r>
        <w:rPr>
          <w:rStyle w:val="FontStyle45"/>
          <w:lang w:eastAsia="el-GR"/>
        </w:rPr>
        <w:t>mg</w:t>
      </w:r>
      <w:r w:rsidRPr="00F7301B">
        <w:rPr>
          <w:rStyle w:val="FontStyle45"/>
          <w:lang w:val="el-GR" w:eastAsia="el-GR"/>
        </w:rPr>
        <w:t xml:space="preserve"> </w:t>
      </w:r>
      <w:r>
        <w:rPr>
          <w:rStyle w:val="FontStyle45"/>
          <w:lang w:val="el-GR" w:eastAsia="el-GR"/>
        </w:rPr>
        <w:t xml:space="preserve">ή 20 </w:t>
      </w:r>
      <w:r>
        <w:rPr>
          <w:rStyle w:val="FontStyle45"/>
          <w:lang w:eastAsia="el-GR"/>
        </w:rPr>
        <w:t>mg</w:t>
      </w:r>
      <w:r w:rsidRPr="00F7301B">
        <w:rPr>
          <w:rStyle w:val="FontStyle45"/>
          <w:lang w:val="el-GR" w:eastAsia="el-GR"/>
        </w:rPr>
        <w:t xml:space="preserve"> </w:t>
      </w:r>
      <w:r>
        <w:rPr>
          <w:rStyle w:val="FontStyle45"/>
          <w:lang w:val="el-GR" w:eastAsia="el-GR"/>
        </w:rPr>
        <w:t xml:space="preserve">ήταν &lt;1% και περίπου 3% με 40 </w:t>
      </w:r>
      <w:r>
        <w:rPr>
          <w:rStyle w:val="FontStyle45"/>
          <w:lang w:eastAsia="el-GR"/>
        </w:rPr>
        <w:t>mg</w:t>
      </w:r>
      <w:r w:rsidRPr="00F7301B">
        <w:rPr>
          <w:rStyle w:val="FontStyle45"/>
          <w:lang w:val="el-GR" w:eastAsia="el-GR"/>
        </w:rPr>
        <w:t xml:space="preserve">. </w:t>
      </w:r>
      <w:r>
        <w:rPr>
          <w:rStyle w:val="FontStyle45"/>
          <w:lang w:val="el-GR" w:eastAsia="el-GR"/>
        </w:rPr>
        <w:t xml:space="preserve">Μια μικρή αύξηση από μηδέν ή ίχνη σε + παρατηρήθηκε με τη δόση των 20 </w:t>
      </w:r>
      <w:r>
        <w:rPr>
          <w:rStyle w:val="FontStyle45"/>
          <w:lang w:eastAsia="el-GR"/>
        </w:rPr>
        <w:t>mg</w:t>
      </w:r>
      <w:r w:rsidRPr="00F7301B">
        <w:rPr>
          <w:rStyle w:val="FontStyle45"/>
          <w:lang w:val="el-GR" w:eastAsia="el-GR"/>
        </w:rPr>
        <w:t xml:space="preserve">. </w:t>
      </w:r>
      <w:r>
        <w:rPr>
          <w:rStyle w:val="FontStyle45"/>
          <w:lang w:val="el-GR" w:eastAsia="el-GR"/>
        </w:rPr>
        <w:t>Στις περισσότερες περιπτώσεις, η πρωτεϊνουρία ελαττώνεται ή εξαφανίζεται αυτόματα κατά τη συνεχιζόμενη θεραπεία. Η ανασκόπηση των δεδομένων κλινικών δοκιμών και η εμπειρία από την κυκλοφορία του προϊόντος μέχρι σήμερα δεν υποδηλώνουν ότι υπάρχει αιτιολογική συσχέτιση μεταξύ πρωτεϊνουρίας και οξείας ή επιδεινούμενης νεφρικής νόσου.</w:t>
      </w:r>
    </w:p>
    <w:p w:rsidR="00A502AA" w:rsidRDefault="00A502AA">
      <w:pPr>
        <w:pStyle w:val="Style7"/>
        <w:widowControl/>
        <w:spacing w:before="120" w:line="269" w:lineRule="exact"/>
        <w:rPr>
          <w:rStyle w:val="FontStyle45"/>
          <w:lang w:val="el-GR" w:eastAsia="el-GR"/>
        </w:rPr>
      </w:pPr>
      <w:r>
        <w:rPr>
          <w:rStyle w:val="FontStyle45"/>
          <w:lang w:val="el-GR" w:eastAsia="el-GR"/>
        </w:rPr>
        <w:t xml:space="preserve">Σε ασθενείς που έλαβαν θεραπεία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έχει παρατηρηθεί αιματουρία και τα δεδομένα από κλινικές δοκιμές δείχνουν ότι η επίπτωση είναι μικρή.</w:t>
      </w:r>
    </w:p>
    <w:p w:rsidR="00A502AA" w:rsidRPr="00F7301B" w:rsidRDefault="00A502AA">
      <w:pPr>
        <w:pStyle w:val="Style7"/>
        <w:widowControl/>
        <w:spacing w:before="48" w:line="269" w:lineRule="exact"/>
        <w:rPr>
          <w:rStyle w:val="FontStyle45"/>
          <w:lang w:val="el-GR" w:eastAsia="el-GR"/>
        </w:rPr>
      </w:pPr>
      <w:r>
        <w:rPr>
          <w:rStyle w:val="FontStyle44"/>
          <w:lang w:val="el-GR" w:eastAsia="el-GR"/>
        </w:rPr>
        <w:t xml:space="preserve">Επιδράσεις στους σκελετικούς μύες: </w:t>
      </w:r>
      <w:r>
        <w:rPr>
          <w:rStyle w:val="FontStyle45"/>
          <w:lang w:val="el-GR" w:eastAsia="el-GR"/>
        </w:rPr>
        <w:t xml:space="preserve">Σε ασθενείς που έλαβαν θεραπεία με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έχουν αναφερθεί επιδράσεις στους σκελετικούς μύες, π.χ. μυαλγία, μυοπάθεια (συμπεριλαμβανομένης της μυοσίτιδας) και σπάνια ραβδομυόλυση με και χωρίς οξεία νεφρική ανεπάρκεια, με όλες τις δόσεις και ιδιαίτερα με δόσεις </w:t>
      </w:r>
      <w:r w:rsidRPr="00F7301B">
        <w:rPr>
          <w:rStyle w:val="FontStyle45"/>
          <w:lang w:val="el-GR" w:eastAsia="el-GR"/>
        </w:rPr>
        <w:t xml:space="preserve">&gt; 20 </w:t>
      </w:r>
      <w:r>
        <w:rPr>
          <w:rStyle w:val="FontStyle45"/>
          <w:lang w:eastAsia="el-GR"/>
        </w:rPr>
        <w:t>mg</w:t>
      </w:r>
      <w:r w:rsidRPr="00F7301B">
        <w:rPr>
          <w:rStyle w:val="FontStyle45"/>
          <w:lang w:val="el-GR" w:eastAsia="el-GR"/>
        </w:rPr>
        <w:t>.</w:t>
      </w:r>
    </w:p>
    <w:p w:rsidR="00A502AA" w:rsidRDefault="00A502AA">
      <w:pPr>
        <w:pStyle w:val="Style7"/>
        <w:widowControl/>
        <w:spacing w:before="125" w:line="264" w:lineRule="exact"/>
        <w:rPr>
          <w:rStyle w:val="FontStyle45"/>
          <w:lang w:val="el-GR" w:eastAsia="el-GR"/>
        </w:rPr>
      </w:pPr>
      <w:r>
        <w:rPr>
          <w:rStyle w:val="FontStyle45"/>
          <w:lang w:val="el-GR" w:eastAsia="el-GR"/>
        </w:rPr>
        <w:lastRenderedPageBreak/>
        <w:t xml:space="preserve">Δοσοεξαρτώμενη αύξηση στα επίπεδα </w:t>
      </w:r>
      <w:r>
        <w:rPr>
          <w:rStyle w:val="FontStyle45"/>
          <w:lang w:eastAsia="el-GR"/>
        </w:rPr>
        <w:t>CK</w:t>
      </w:r>
      <w:r w:rsidRPr="00F7301B">
        <w:rPr>
          <w:rStyle w:val="FontStyle45"/>
          <w:lang w:val="el-GR" w:eastAsia="el-GR"/>
        </w:rPr>
        <w:t xml:space="preserve"> </w:t>
      </w:r>
      <w:r>
        <w:rPr>
          <w:rStyle w:val="FontStyle45"/>
          <w:lang w:val="el-GR" w:eastAsia="el-GR"/>
        </w:rPr>
        <w:t xml:space="preserve">έχει παρατηρηθεί σε ασθενείς που έλαβαν ροσουβαστατίνη. Στην πλειοψηφία των περιστατικών ήταν ήπια, ασυμπτωματική και παροδική. Εάν τα επίπεδα </w:t>
      </w:r>
      <w:r>
        <w:rPr>
          <w:rStyle w:val="FontStyle45"/>
          <w:lang w:eastAsia="el-GR"/>
        </w:rPr>
        <w:t>CK</w:t>
      </w:r>
      <w:r w:rsidRPr="00F7301B">
        <w:rPr>
          <w:rStyle w:val="FontStyle45"/>
          <w:lang w:val="el-GR" w:eastAsia="el-GR"/>
        </w:rPr>
        <w:t xml:space="preserve"> </w:t>
      </w:r>
      <w:r>
        <w:rPr>
          <w:rStyle w:val="FontStyle45"/>
          <w:lang w:val="el-GR" w:eastAsia="el-GR"/>
        </w:rPr>
        <w:t xml:space="preserve">είναι αυξημένα (&gt;5 </w:t>
      </w:r>
      <w:r>
        <w:rPr>
          <w:rStyle w:val="FontStyle45"/>
          <w:lang w:eastAsia="el-GR"/>
        </w:rPr>
        <w:t>x</w:t>
      </w:r>
      <w:r w:rsidRPr="00F7301B">
        <w:rPr>
          <w:rStyle w:val="FontStyle45"/>
          <w:lang w:val="el-GR" w:eastAsia="el-GR"/>
        </w:rPr>
        <w:t xml:space="preserve"> </w:t>
      </w:r>
      <w:r>
        <w:rPr>
          <w:rStyle w:val="FontStyle45"/>
          <w:lang w:eastAsia="el-GR"/>
        </w:rPr>
        <w:t>ULN</w:t>
      </w:r>
      <w:r w:rsidRPr="00F7301B">
        <w:rPr>
          <w:rStyle w:val="FontStyle45"/>
          <w:lang w:val="el-GR" w:eastAsia="el-GR"/>
        </w:rPr>
        <w:t xml:space="preserve">), </w:t>
      </w:r>
      <w:r>
        <w:rPr>
          <w:rStyle w:val="FontStyle45"/>
          <w:lang w:val="el-GR" w:eastAsia="el-GR"/>
        </w:rPr>
        <w:t>η θεραπεία θα πρέπει να διακοπεί (βλ. Παράγραφο 4.4).</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4"/>
          <w:lang w:val="el-GR" w:eastAsia="el-GR"/>
        </w:rPr>
        <w:t xml:space="preserve">Ηπατικές επιδράσεις: </w:t>
      </w:r>
      <w:r>
        <w:rPr>
          <w:rStyle w:val="FontStyle45"/>
          <w:lang w:val="el-GR" w:eastAsia="el-GR"/>
        </w:rPr>
        <w:t xml:space="preserve">Όπως και με άλλους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αναγωγάσης, σε μικρό αριθμό ασθενών που έλαβε ροσουβαστατίνη παρατηρήθηκε δοσοεξαρτώμενη αύξηση στις τρανσαμινάσες. Στην πλειοψηφία τους τα περιστατικά αυτά ήταν ήπια, ασυμπτωματικά και παροδικά.</w:t>
      </w:r>
    </w:p>
    <w:p w:rsidR="00A502AA" w:rsidRPr="00F7301B" w:rsidRDefault="00A502AA">
      <w:pPr>
        <w:pStyle w:val="Style5"/>
        <w:widowControl/>
        <w:spacing w:line="240" w:lineRule="exact"/>
        <w:rPr>
          <w:sz w:val="20"/>
          <w:szCs w:val="20"/>
          <w:lang w:val="el-GR"/>
        </w:rPr>
      </w:pPr>
    </w:p>
    <w:p w:rsidR="00A502AA" w:rsidRDefault="00A502AA">
      <w:pPr>
        <w:pStyle w:val="Style5"/>
        <w:widowControl/>
        <w:spacing w:before="178" w:line="384" w:lineRule="exact"/>
        <w:rPr>
          <w:rStyle w:val="FontStyle45"/>
          <w:lang w:val="el-GR" w:eastAsia="el-GR"/>
        </w:rPr>
      </w:pPr>
      <w:r>
        <w:rPr>
          <w:rStyle w:val="FontStyle45"/>
          <w:lang w:val="el-GR" w:eastAsia="el-GR"/>
        </w:rPr>
        <w:t>Τα ακόλουθα ανεπιθύμητα συμβάματα έχουν αναφερθεί με ορισμένες στατίνες: Σεξουαλική δυσλειτουργία</w:t>
      </w:r>
    </w:p>
    <w:p w:rsidR="00A502AA" w:rsidRPr="00F7301B" w:rsidRDefault="00A502AA">
      <w:pPr>
        <w:pStyle w:val="Style7"/>
        <w:widowControl/>
        <w:spacing w:before="101" w:line="264" w:lineRule="exact"/>
        <w:rPr>
          <w:rStyle w:val="FontStyle45"/>
          <w:lang w:val="el-GR" w:eastAsia="el-GR"/>
        </w:rPr>
      </w:pPr>
      <w:r>
        <w:rPr>
          <w:rStyle w:val="FontStyle45"/>
          <w:lang w:val="el-GR" w:eastAsia="el-GR"/>
        </w:rPr>
        <w:t xml:space="preserve">Εξαιρετικές περιπτώσεις διάμεσης πνευμονοπάθειας, ιδιαίτερα σε μακροχρόνια θεραπεία (βλ. Παράγραφο </w:t>
      </w:r>
      <w:r w:rsidRPr="00F7301B">
        <w:rPr>
          <w:rStyle w:val="FontStyle45"/>
          <w:lang w:val="el-GR" w:eastAsia="el-GR"/>
        </w:rPr>
        <w:t>4.4).</w:t>
      </w:r>
    </w:p>
    <w:p w:rsidR="00A502AA" w:rsidRPr="00F7301B" w:rsidRDefault="00A502AA">
      <w:pPr>
        <w:pStyle w:val="Style7"/>
        <w:widowControl/>
        <w:spacing w:before="125" w:line="264" w:lineRule="exact"/>
        <w:rPr>
          <w:rStyle w:val="FontStyle45"/>
          <w:lang w:val="el-GR" w:eastAsia="el-GR"/>
        </w:rPr>
      </w:pPr>
      <w:r>
        <w:rPr>
          <w:rStyle w:val="FontStyle45"/>
          <w:lang w:val="el-GR" w:eastAsia="el-GR"/>
        </w:rPr>
        <w:t xml:space="preserve">Η συχνότητα αναφοράς ραβδομυόλυσης, σοβαρών νεφρικών συμβαμάτων και σοβαρών ηπατικών συμβαμάτων (που συνίσταται κυρίως σε αύξηση των τρανσαμινασών) είναι μεγαλύτερη στη δόση των </w:t>
      </w:r>
      <w:r w:rsidRPr="00F7301B">
        <w:rPr>
          <w:rStyle w:val="FontStyle45"/>
          <w:lang w:val="el-GR" w:eastAsia="el-GR"/>
        </w:rPr>
        <w:t xml:space="preserve">40 </w:t>
      </w:r>
      <w:r>
        <w:rPr>
          <w:rStyle w:val="FontStyle45"/>
          <w:lang w:eastAsia="el-GR"/>
        </w:rPr>
        <w:t>mg</w:t>
      </w:r>
      <w:r w:rsidRPr="00F7301B">
        <w:rPr>
          <w:rStyle w:val="FontStyle45"/>
          <w:lang w:val="el-GR" w:eastAsia="el-GR"/>
        </w:rPr>
        <w:t>.</w:t>
      </w:r>
    </w:p>
    <w:p w:rsidR="00A502AA" w:rsidRDefault="00A502AA">
      <w:pPr>
        <w:pStyle w:val="Style12"/>
        <w:widowControl/>
        <w:spacing w:line="240" w:lineRule="exact"/>
        <w:jc w:val="left"/>
        <w:rPr>
          <w:sz w:val="20"/>
          <w:szCs w:val="20"/>
          <w:lang w:val="el-GR"/>
        </w:rPr>
      </w:pPr>
    </w:p>
    <w:p w:rsidR="005F544E" w:rsidRPr="00F7301B" w:rsidRDefault="005F544E" w:rsidP="002E7ACB">
      <w:pPr>
        <w:pStyle w:val="Style12"/>
        <w:widowControl/>
        <w:spacing w:line="240" w:lineRule="exact"/>
        <w:rPr>
          <w:sz w:val="20"/>
          <w:szCs w:val="20"/>
          <w:lang w:val="el-GR"/>
        </w:rPr>
      </w:pPr>
      <w:r w:rsidRPr="00577AED">
        <w:rPr>
          <w:b/>
          <w:sz w:val="20"/>
          <w:szCs w:val="20"/>
          <w:lang w:val="el-GR"/>
        </w:rPr>
        <w:t>Παιδιατρικός πληθυσμός:</w:t>
      </w:r>
      <w:r w:rsidRPr="005F544E">
        <w:rPr>
          <w:sz w:val="20"/>
          <w:szCs w:val="20"/>
          <w:lang w:val="el-GR"/>
        </w:rPr>
        <w:t xml:space="preserve"> Αυξήσεις της κρεατινικής κινάσης &gt;10xULN και μυϊκά συμπτώματα μετά από άσκηση ή αυξημένη σωματική δραστηριότητα παρατηρήθηκαν πιο συχνά σε μία κλινική μελέτη 52 εβδομάδων σε παιδιά και εφήβους σε σχέση με τους ενήλικες (βλ. Παράγραφο 4.4). Από άλλες απόψεις, το προφίλ ασφάλειας της ροσουβαστατίνης ήταν παρόμοιο σε παιδιά και εφήβους σε σύγκριση με τους ενήλικες.</w:t>
      </w:r>
    </w:p>
    <w:p w:rsidR="00A502AA" w:rsidRDefault="00A502AA">
      <w:pPr>
        <w:pStyle w:val="Style12"/>
        <w:widowControl/>
        <w:spacing w:before="182"/>
        <w:jc w:val="left"/>
        <w:rPr>
          <w:rStyle w:val="FontStyle44"/>
          <w:u w:val="single"/>
          <w:lang w:val="el-GR" w:eastAsia="el-GR"/>
        </w:rPr>
      </w:pPr>
      <w:r>
        <w:rPr>
          <w:rStyle w:val="FontStyle44"/>
          <w:u w:val="single"/>
          <w:lang w:val="el-GR" w:eastAsia="el-GR"/>
        </w:rPr>
        <w:t>Αναφορά πιθανολογούμενων ανεπιθύμητων ενεργειών:</w:t>
      </w:r>
    </w:p>
    <w:p w:rsidR="00A502AA" w:rsidRPr="00F7301B" w:rsidRDefault="00A502AA">
      <w:pPr>
        <w:pStyle w:val="Style7"/>
        <w:widowControl/>
        <w:spacing w:before="5" w:line="264" w:lineRule="exact"/>
        <w:rPr>
          <w:rStyle w:val="FontStyle45"/>
          <w:u w:val="single"/>
          <w:lang w:val="el-GR" w:eastAsia="el-GR"/>
        </w:rPr>
      </w:pPr>
      <w:r>
        <w:rPr>
          <w:rStyle w:val="FontStyle45"/>
          <w:u w:val="single"/>
          <w:lang w:val="el-GR" w:eastAsia="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w:t>
      </w:r>
      <w:r>
        <w:rPr>
          <w:rStyle w:val="FontStyle45"/>
          <w:u w:val="single"/>
          <w:lang w:eastAsia="el-GR"/>
        </w:rPr>
        <w:t>GR</w:t>
      </w:r>
      <w:r w:rsidRPr="00F7301B">
        <w:rPr>
          <w:rStyle w:val="FontStyle45"/>
          <w:u w:val="single"/>
          <w:lang w:val="el-GR" w:eastAsia="el-GR"/>
        </w:rPr>
        <w:t xml:space="preserve">-15562 </w:t>
      </w:r>
      <w:r>
        <w:rPr>
          <w:rStyle w:val="FontStyle45"/>
          <w:u w:val="single"/>
          <w:lang w:val="el-GR" w:eastAsia="el-GR"/>
        </w:rPr>
        <w:t xml:space="preserve">Χολαργός, Αθήνα, Τηλ: +30 21 32040380/337, Φαξ: + 30 21 06549585. Ιστότοπος: </w:t>
      </w:r>
      <w:hyperlink r:id="rId8" w:history="1">
        <w:r>
          <w:rPr>
            <w:rStyle w:val="FontStyle45"/>
            <w:u w:val="single"/>
            <w:lang w:eastAsia="el-GR"/>
          </w:rPr>
          <w:t>http</w:t>
        </w:r>
        <w:r w:rsidRPr="00F7301B">
          <w:rPr>
            <w:rStyle w:val="FontStyle45"/>
            <w:u w:val="single"/>
            <w:lang w:val="el-GR" w:eastAsia="el-GR"/>
          </w:rPr>
          <w:t>://</w:t>
        </w:r>
        <w:r>
          <w:rPr>
            <w:rStyle w:val="FontStyle45"/>
            <w:u w:val="single"/>
            <w:lang w:eastAsia="el-GR"/>
          </w:rPr>
          <w:t>www</w:t>
        </w:r>
        <w:r w:rsidRPr="00F7301B">
          <w:rPr>
            <w:rStyle w:val="FontStyle45"/>
            <w:u w:val="single"/>
            <w:lang w:val="el-GR" w:eastAsia="el-GR"/>
          </w:rPr>
          <w:t>.</w:t>
        </w:r>
        <w:r>
          <w:rPr>
            <w:rStyle w:val="FontStyle45"/>
            <w:u w:val="single"/>
            <w:lang w:eastAsia="el-GR"/>
          </w:rPr>
          <w:t>eof</w:t>
        </w:r>
        <w:r w:rsidRPr="00F7301B">
          <w:rPr>
            <w:rStyle w:val="FontStyle45"/>
            <w:u w:val="single"/>
            <w:lang w:val="el-GR" w:eastAsia="el-GR"/>
          </w:rPr>
          <w:t>.</w:t>
        </w:r>
        <w:r>
          <w:rPr>
            <w:rStyle w:val="FontStyle45"/>
            <w:u w:val="single"/>
            <w:lang w:eastAsia="el-GR"/>
          </w:rPr>
          <w:t>gr</w:t>
        </w:r>
      </w:hyperlink>
    </w:p>
    <w:p w:rsidR="00A502AA" w:rsidRPr="00F7301B" w:rsidRDefault="00A502AA">
      <w:pPr>
        <w:pStyle w:val="Style7"/>
        <w:widowControl/>
        <w:spacing w:line="240" w:lineRule="exac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8"/>
        <w:jc w:val="left"/>
        <w:rPr>
          <w:rStyle w:val="FontStyle44"/>
          <w:lang w:val="el-GR" w:eastAsia="el-GR"/>
        </w:rPr>
      </w:pPr>
      <w:r>
        <w:rPr>
          <w:rStyle w:val="FontStyle44"/>
          <w:lang w:val="el-GR" w:eastAsia="el-GR"/>
        </w:rPr>
        <w:t>4.9 Υπερδοσολογία</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Δεν υπάρχει ειδική θεραπεία για την αντιμετώπιση της υπερδοσολογίας. Σε περίπτωση υπερδοσολογίας, ο ασθενής πρέπει να αντιμετωπίζεται συμπτωματικά και να εφαρμόζονται τα απαιτούμενα υποστηρικτικά μέτρα. Πρέπει να πραγματοποιείται έλεγχος της ηπατικής λειτουργίας και των επιπέδων κρεατινικής κινάσης </w:t>
      </w:r>
      <w:r w:rsidRPr="00F7301B">
        <w:rPr>
          <w:rStyle w:val="FontStyle45"/>
          <w:lang w:val="el-GR" w:eastAsia="el-GR"/>
        </w:rPr>
        <w:t>(</w:t>
      </w:r>
      <w:r>
        <w:rPr>
          <w:rStyle w:val="FontStyle45"/>
          <w:lang w:eastAsia="el-GR"/>
        </w:rPr>
        <w:t>CK</w:t>
      </w:r>
      <w:r w:rsidRPr="00F7301B">
        <w:rPr>
          <w:rStyle w:val="FontStyle45"/>
          <w:lang w:val="el-GR" w:eastAsia="el-GR"/>
        </w:rPr>
        <w:t xml:space="preserve">). </w:t>
      </w:r>
      <w:r>
        <w:rPr>
          <w:rStyle w:val="FontStyle45"/>
          <w:lang w:val="el-GR" w:eastAsia="el-GR"/>
        </w:rPr>
        <w:t>Η αιμοκάθαρση είναι απίθανο να επιφέρει κάποιο όφελος.</w:t>
      </w:r>
    </w:p>
    <w:p w:rsidR="00A502AA" w:rsidRDefault="00E317F9">
      <w:pPr>
        <w:pStyle w:val="Style12"/>
        <w:widowControl/>
        <w:spacing w:before="48" w:line="778" w:lineRule="exact"/>
        <w:ind w:right="4416"/>
        <w:jc w:val="left"/>
        <w:rPr>
          <w:rStyle w:val="FontStyle44"/>
          <w:lang w:val="el-GR" w:eastAsia="el-GR"/>
        </w:rPr>
      </w:pPr>
      <w:r>
        <w:rPr>
          <w:rStyle w:val="FontStyle44"/>
          <w:lang w:val="el-GR" w:eastAsia="el-GR"/>
        </w:rPr>
        <w:br w:type="page"/>
      </w:r>
      <w:r w:rsidR="00A502AA">
        <w:rPr>
          <w:rStyle w:val="FontStyle44"/>
          <w:lang w:val="el-GR" w:eastAsia="el-GR"/>
        </w:rPr>
        <w:lastRenderedPageBreak/>
        <w:t>5.    ΦΑΡΜΑΚΟΛΟΓΙΚΕΣ ΙΔΙΟΤΗΤΕΣ 5.1 Φαρμακοδυναμικές ιδιότητες</w:t>
      </w:r>
    </w:p>
    <w:p w:rsidR="00A502AA" w:rsidRPr="00F7301B" w:rsidRDefault="00A502AA">
      <w:pPr>
        <w:pStyle w:val="Style12"/>
        <w:widowControl/>
        <w:spacing w:line="389" w:lineRule="exact"/>
        <w:jc w:val="left"/>
        <w:rPr>
          <w:rStyle w:val="FontStyle45"/>
          <w:lang w:val="el-GR" w:eastAsia="el-GR"/>
        </w:rPr>
      </w:pPr>
      <w:r>
        <w:rPr>
          <w:rStyle w:val="FontStyle44"/>
          <w:lang w:val="el-GR" w:eastAsia="el-GR"/>
        </w:rPr>
        <w:t xml:space="preserve">Φαρμακοθεραπευτική κατηγορία: </w:t>
      </w:r>
      <w:r>
        <w:rPr>
          <w:rStyle w:val="FontStyle45"/>
          <w:lang w:val="el-GR" w:eastAsia="el-GR"/>
        </w:rPr>
        <w:t xml:space="preserve">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w:t>
      </w:r>
      <w:r>
        <w:rPr>
          <w:rStyle w:val="FontStyle44"/>
          <w:lang w:val="el-GR" w:eastAsia="el-GR"/>
        </w:rPr>
        <w:t xml:space="preserve">Κωδικός </w:t>
      </w:r>
      <w:r>
        <w:rPr>
          <w:rStyle w:val="FontStyle44"/>
          <w:lang w:eastAsia="el-GR"/>
        </w:rPr>
        <w:t>ATC</w:t>
      </w:r>
      <w:r w:rsidRPr="00F7301B">
        <w:rPr>
          <w:rStyle w:val="FontStyle44"/>
          <w:lang w:val="el-GR" w:eastAsia="el-GR"/>
        </w:rPr>
        <w:t xml:space="preserve">: </w:t>
      </w:r>
      <w:r>
        <w:rPr>
          <w:rStyle w:val="FontStyle45"/>
          <w:lang w:eastAsia="el-GR"/>
        </w:rPr>
        <w:t>C</w:t>
      </w:r>
      <w:r w:rsidRPr="00F7301B">
        <w:rPr>
          <w:rStyle w:val="FontStyle45"/>
          <w:lang w:val="el-GR" w:eastAsia="el-GR"/>
        </w:rPr>
        <w:t>10</w:t>
      </w:r>
      <w:r>
        <w:rPr>
          <w:rStyle w:val="FontStyle45"/>
          <w:lang w:eastAsia="el-GR"/>
        </w:rPr>
        <w:t>A</w:t>
      </w:r>
      <w:r w:rsidRPr="00F7301B">
        <w:rPr>
          <w:rStyle w:val="FontStyle45"/>
          <w:lang w:val="el-GR" w:eastAsia="el-GR"/>
        </w:rPr>
        <w:t xml:space="preserve"> </w:t>
      </w:r>
      <w:r>
        <w:rPr>
          <w:rStyle w:val="FontStyle45"/>
          <w:lang w:eastAsia="el-GR"/>
        </w:rPr>
        <w:t>A</w:t>
      </w:r>
      <w:r w:rsidRPr="00F7301B">
        <w:rPr>
          <w:rStyle w:val="FontStyle45"/>
          <w:lang w:val="el-GR" w:eastAsia="el-GR"/>
        </w:rPr>
        <w:t>07</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24"/>
        <w:jc w:val="left"/>
        <w:rPr>
          <w:rStyle w:val="FontStyle44"/>
          <w:lang w:val="el-GR" w:eastAsia="el-GR"/>
        </w:rPr>
      </w:pPr>
      <w:r>
        <w:rPr>
          <w:rStyle w:val="FontStyle44"/>
          <w:lang w:val="el-GR" w:eastAsia="el-GR"/>
        </w:rPr>
        <w:t>Μηχανισμός δράσης</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Η ροσουβαστατίνη είναι ένας εκλεκτικός και ανταγωνιστικός αναστολέας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αναγωγάσης, η οποία αποτελεί το ένζυμο που ρυθμίζει την ταχύτητα μετατροπής του 3-υδροξυ-3 μεθυλ-γλουταρυλικού συνενζύμου Α σε μεβαλονικό οξύ, μια πρόδρομη ουσία της χοληστερόλης. Η κύρια περιοχή δράσης της ροσουβαστατίνης είναι το ήπαρ, το όργανο στόχος για τη μείωση της χοληστερόλης.</w:t>
      </w:r>
    </w:p>
    <w:p w:rsidR="00A502AA" w:rsidRPr="00F7301B" w:rsidRDefault="00A502AA">
      <w:pPr>
        <w:pStyle w:val="Style7"/>
        <w:widowControl/>
        <w:spacing w:before="115" w:line="269" w:lineRule="exact"/>
        <w:rPr>
          <w:rStyle w:val="FontStyle45"/>
          <w:lang w:val="el-GR" w:eastAsia="el-GR"/>
        </w:rPr>
      </w:pPr>
      <w:r>
        <w:rPr>
          <w:rStyle w:val="FontStyle45"/>
          <w:lang w:val="el-GR" w:eastAsia="el-GR"/>
        </w:rPr>
        <w:t xml:space="preserve">Η ροσουβαστατίνη αυξάνει τον αριθμό των ηπατικών </w:t>
      </w:r>
      <w:r>
        <w:rPr>
          <w:rStyle w:val="FontStyle45"/>
          <w:lang w:eastAsia="el-GR"/>
        </w:rPr>
        <w:t>LDL</w:t>
      </w:r>
      <w:r w:rsidRPr="00F7301B">
        <w:rPr>
          <w:rStyle w:val="FontStyle45"/>
          <w:lang w:val="el-GR" w:eastAsia="el-GR"/>
        </w:rPr>
        <w:t xml:space="preserve"> </w:t>
      </w:r>
      <w:r>
        <w:rPr>
          <w:rStyle w:val="FontStyle45"/>
          <w:lang w:val="el-GR" w:eastAsia="el-GR"/>
        </w:rPr>
        <w:t xml:space="preserve">υποδοχέων στην επιφάνεια των κυττάρων, ενισχύοντας την πρόσληψη και τον καταβολισμό της </w:t>
      </w:r>
      <w:r>
        <w:rPr>
          <w:rStyle w:val="FontStyle45"/>
          <w:lang w:eastAsia="el-GR"/>
        </w:rPr>
        <w:t>LDL</w:t>
      </w:r>
      <w:r w:rsidRPr="00F7301B">
        <w:rPr>
          <w:rStyle w:val="FontStyle45"/>
          <w:lang w:val="el-GR" w:eastAsia="el-GR"/>
        </w:rPr>
        <w:t xml:space="preserve"> </w:t>
      </w:r>
      <w:r>
        <w:rPr>
          <w:rStyle w:val="FontStyle45"/>
          <w:lang w:val="el-GR" w:eastAsia="el-GR"/>
        </w:rPr>
        <w:t xml:space="preserve">και αναστέλλει την ηπατική σύνθεση της </w:t>
      </w:r>
      <w:r>
        <w:rPr>
          <w:rStyle w:val="FontStyle45"/>
          <w:lang w:eastAsia="el-GR"/>
        </w:rPr>
        <w:t>VLDL</w:t>
      </w:r>
      <w:r w:rsidRPr="00F7301B">
        <w:rPr>
          <w:rStyle w:val="FontStyle45"/>
          <w:lang w:val="el-GR" w:eastAsia="el-GR"/>
        </w:rPr>
        <w:t xml:space="preserve">, </w:t>
      </w:r>
      <w:r>
        <w:rPr>
          <w:rStyle w:val="FontStyle45"/>
          <w:lang w:val="el-GR" w:eastAsia="el-GR"/>
        </w:rPr>
        <w:t xml:space="preserve">μειώνοντας έτσι τον συνολικό αριθμό των σωματιδίων </w:t>
      </w:r>
      <w:r>
        <w:rPr>
          <w:rStyle w:val="FontStyle45"/>
          <w:lang w:eastAsia="el-GR"/>
        </w:rPr>
        <w:t>VLDL</w:t>
      </w:r>
      <w:r w:rsidRPr="00F7301B">
        <w:rPr>
          <w:rStyle w:val="FontStyle45"/>
          <w:lang w:val="el-GR" w:eastAsia="el-GR"/>
        </w:rPr>
        <w:t xml:space="preserve"> </w:t>
      </w:r>
      <w:r>
        <w:rPr>
          <w:rStyle w:val="FontStyle45"/>
          <w:lang w:val="el-GR" w:eastAsia="el-GR"/>
        </w:rPr>
        <w:t xml:space="preserve">και </w:t>
      </w:r>
      <w:r>
        <w:rPr>
          <w:rStyle w:val="FontStyle45"/>
          <w:lang w:eastAsia="el-GR"/>
        </w:rPr>
        <w:t>LDL</w:t>
      </w:r>
      <w:r w:rsidRPr="00F7301B">
        <w:rPr>
          <w:rStyle w:val="FontStyle45"/>
          <w:lang w:val="el-GR" w:eastAsia="el-GR"/>
        </w:rPr>
        <w:t>.</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3"/>
        <w:jc w:val="left"/>
        <w:rPr>
          <w:rStyle w:val="FontStyle44"/>
          <w:lang w:val="el-GR" w:eastAsia="el-GR"/>
        </w:rPr>
      </w:pPr>
      <w:r>
        <w:rPr>
          <w:rStyle w:val="FontStyle44"/>
          <w:lang w:val="el-GR" w:eastAsia="el-GR"/>
        </w:rPr>
        <w:t>Φαρμακοδυναμικές επιδράσεις</w:t>
      </w:r>
    </w:p>
    <w:p w:rsidR="00A502AA" w:rsidRPr="00F7301B" w:rsidRDefault="00A502AA">
      <w:pPr>
        <w:pStyle w:val="Style7"/>
        <w:widowControl/>
        <w:spacing w:before="130" w:line="264" w:lineRule="exact"/>
        <w:rPr>
          <w:rStyle w:val="FontStyle45"/>
          <w:lang w:val="el-GR"/>
        </w:rPr>
      </w:pPr>
      <w:r>
        <w:rPr>
          <w:rStyle w:val="FontStyle45"/>
        </w:rPr>
        <w:t>To</w:t>
      </w:r>
      <w:r w:rsidRPr="00F7301B">
        <w:rPr>
          <w:rStyle w:val="FontStyle45"/>
          <w:lang w:val="el-GR"/>
        </w:rPr>
        <w:t xml:space="preserve"> </w:t>
      </w:r>
      <w:r w:rsidR="00F7301B">
        <w:rPr>
          <w:rStyle w:val="FontStyle45"/>
        </w:rPr>
        <w:t>ROSUVAL</w:t>
      </w:r>
      <w:r w:rsidR="00F7301B" w:rsidRPr="00F7301B">
        <w:rPr>
          <w:rStyle w:val="FontStyle45"/>
          <w:lang w:val="el-GR"/>
        </w:rPr>
        <w:t>/</w:t>
      </w:r>
      <w:r w:rsidR="00F7301B">
        <w:rPr>
          <w:rStyle w:val="FontStyle45"/>
        </w:rPr>
        <w:t>HEREMCO</w:t>
      </w:r>
      <w:r w:rsidR="00F7301B" w:rsidRPr="00F7301B">
        <w:rPr>
          <w:rStyle w:val="FontStyle45"/>
          <w:lang w:val="el-GR"/>
        </w:rPr>
        <w:t xml:space="preserve"> </w:t>
      </w:r>
      <w:r w:rsidRPr="00F7301B">
        <w:rPr>
          <w:rStyle w:val="FontStyle45"/>
          <w:lang w:val="el-GR"/>
        </w:rPr>
        <w:t xml:space="preserve"> </w:t>
      </w:r>
      <w:r>
        <w:rPr>
          <w:rStyle w:val="FontStyle45"/>
          <w:lang w:val="el-GR"/>
        </w:rPr>
        <w:t xml:space="preserve">ελαττώνει την αυξημένη </w:t>
      </w:r>
      <w:r>
        <w:rPr>
          <w:rStyle w:val="FontStyle45"/>
        </w:rPr>
        <w:t>LDL</w:t>
      </w:r>
      <w:r>
        <w:rPr>
          <w:rStyle w:val="FontStyle45"/>
          <w:lang w:val="el-GR"/>
        </w:rPr>
        <w:t xml:space="preserve">-χοληστερόλη, την ολική χοληστερόλη και τα τριγλυκερίδια και αυξάνει την </w:t>
      </w:r>
      <w:r>
        <w:rPr>
          <w:rStyle w:val="FontStyle45"/>
        </w:rPr>
        <w:t>HDL</w:t>
      </w:r>
      <w:r>
        <w:rPr>
          <w:rStyle w:val="FontStyle45"/>
          <w:lang w:val="el-GR"/>
        </w:rPr>
        <w:t xml:space="preserve">-χοληστερόλη. Επίσης, μειώνει την απολιποπρωτεΐνη Β </w:t>
      </w:r>
      <w:r w:rsidRPr="00F7301B">
        <w:rPr>
          <w:rStyle w:val="FontStyle45"/>
          <w:lang w:val="el-GR"/>
        </w:rPr>
        <w:t>(</w:t>
      </w:r>
      <w:r>
        <w:rPr>
          <w:rStyle w:val="FontStyle45"/>
        </w:rPr>
        <w:t>ApoB</w:t>
      </w:r>
      <w:r w:rsidRPr="00F7301B">
        <w:rPr>
          <w:rStyle w:val="FontStyle45"/>
          <w:lang w:val="el-GR"/>
        </w:rPr>
        <w:t xml:space="preserve">), </w:t>
      </w:r>
      <w:r>
        <w:rPr>
          <w:rStyle w:val="FontStyle45"/>
        </w:rPr>
        <w:t>non</w:t>
      </w:r>
      <w:r w:rsidRPr="00F7301B">
        <w:rPr>
          <w:rStyle w:val="FontStyle45"/>
          <w:lang w:val="el-GR"/>
        </w:rPr>
        <w:t xml:space="preserve"> </w:t>
      </w:r>
      <w:r>
        <w:rPr>
          <w:rStyle w:val="FontStyle45"/>
        </w:rPr>
        <w:t>HDL</w:t>
      </w:r>
      <w:r w:rsidRPr="00F7301B">
        <w:rPr>
          <w:rStyle w:val="FontStyle45"/>
          <w:lang w:val="el-GR"/>
        </w:rPr>
        <w:t>-</w:t>
      </w:r>
      <w:r>
        <w:rPr>
          <w:rStyle w:val="FontStyle45"/>
        </w:rPr>
        <w:t>C</w:t>
      </w:r>
      <w:r w:rsidRPr="00F7301B">
        <w:rPr>
          <w:rStyle w:val="FontStyle45"/>
          <w:lang w:val="el-GR"/>
        </w:rPr>
        <w:t xml:space="preserve">, </w:t>
      </w:r>
      <w:r>
        <w:rPr>
          <w:rStyle w:val="FontStyle45"/>
        </w:rPr>
        <w:t>VLDL</w:t>
      </w:r>
      <w:r w:rsidRPr="00F7301B">
        <w:rPr>
          <w:rStyle w:val="FontStyle45"/>
          <w:lang w:val="el-GR"/>
        </w:rPr>
        <w:t>-</w:t>
      </w:r>
      <w:r>
        <w:rPr>
          <w:rStyle w:val="FontStyle45"/>
        </w:rPr>
        <w:t>C</w:t>
      </w:r>
      <w:r w:rsidRPr="00F7301B">
        <w:rPr>
          <w:rStyle w:val="FontStyle45"/>
          <w:lang w:val="el-GR"/>
        </w:rPr>
        <w:t xml:space="preserve">, </w:t>
      </w:r>
      <w:r>
        <w:rPr>
          <w:rStyle w:val="FontStyle45"/>
        </w:rPr>
        <w:t>VLDL</w:t>
      </w:r>
      <w:r w:rsidRPr="00F7301B">
        <w:rPr>
          <w:rStyle w:val="FontStyle45"/>
          <w:lang w:val="el-GR"/>
        </w:rPr>
        <w:t>-</w:t>
      </w:r>
      <w:r>
        <w:rPr>
          <w:rStyle w:val="FontStyle45"/>
        </w:rPr>
        <w:t>TG</w:t>
      </w:r>
      <w:r w:rsidRPr="00F7301B">
        <w:rPr>
          <w:rStyle w:val="FontStyle45"/>
          <w:lang w:val="el-GR"/>
        </w:rPr>
        <w:t xml:space="preserve"> </w:t>
      </w:r>
      <w:r>
        <w:rPr>
          <w:rStyle w:val="FontStyle45"/>
          <w:lang w:val="el-GR"/>
        </w:rPr>
        <w:t xml:space="preserve">και αυξάνει την </w:t>
      </w:r>
      <w:r>
        <w:rPr>
          <w:rStyle w:val="FontStyle45"/>
        </w:rPr>
        <w:t>Apo</w:t>
      </w:r>
      <w:r w:rsidRPr="00F7301B">
        <w:rPr>
          <w:rStyle w:val="FontStyle45"/>
          <w:lang w:val="el-GR"/>
        </w:rPr>
        <w:t xml:space="preserve"> </w:t>
      </w:r>
      <w:r>
        <w:rPr>
          <w:rStyle w:val="FontStyle45"/>
          <w:lang w:val="el-GR"/>
        </w:rPr>
        <w:t>Α</w:t>
      </w:r>
      <w:r>
        <w:rPr>
          <w:rStyle w:val="FontStyle45"/>
          <w:lang w:val="el-GR"/>
        </w:rPr>
        <w:softHyphen/>
        <w:t xml:space="preserve">Ι (βλέπε Πίνακα 3). Το </w:t>
      </w:r>
      <w:r w:rsidR="00F7301B">
        <w:rPr>
          <w:rStyle w:val="FontStyle45"/>
        </w:rPr>
        <w:t>ROSUVAL</w:t>
      </w:r>
      <w:r w:rsidR="00F7301B" w:rsidRPr="00F7301B">
        <w:rPr>
          <w:rStyle w:val="FontStyle45"/>
          <w:lang w:val="el-GR"/>
        </w:rPr>
        <w:t>/</w:t>
      </w:r>
      <w:r w:rsidR="00F7301B">
        <w:rPr>
          <w:rStyle w:val="FontStyle45"/>
        </w:rPr>
        <w:t>HEREMCO</w:t>
      </w:r>
      <w:r w:rsidR="00F7301B" w:rsidRPr="00F7301B">
        <w:rPr>
          <w:rStyle w:val="FontStyle45"/>
          <w:lang w:val="el-GR"/>
        </w:rPr>
        <w:t xml:space="preserve"> </w:t>
      </w:r>
      <w:r w:rsidRPr="00F7301B">
        <w:rPr>
          <w:rStyle w:val="FontStyle45"/>
          <w:lang w:val="el-GR"/>
        </w:rPr>
        <w:t xml:space="preserve"> </w:t>
      </w:r>
      <w:r>
        <w:rPr>
          <w:rStyle w:val="FontStyle45"/>
          <w:lang w:val="el-GR"/>
        </w:rPr>
        <w:t xml:space="preserve">επίσης ελαττώνει τα κλάσματα </w:t>
      </w:r>
      <w:r>
        <w:rPr>
          <w:rStyle w:val="FontStyle45"/>
        </w:rPr>
        <w:t>LDL</w:t>
      </w:r>
      <w:r w:rsidRPr="00F7301B">
        <w:rPr>
          <w:rStyle w:val="FontStyle45"/>
          <w:lang w:val="el-GR"/>
        </w:rPr>
        <w:t xml:space="preserve"> -</w:t>
      </w:r>
      <w:r>
        <w:rPr>
          <w:rStyle w:val="FontStyle45"/>
        </w:rPr>
        <w:t>C</w:t>
      </w:r>
      <w:r w:rsidRPr="00F7301B">
        <w:rPr>
          <w:rStyle w:val="FontStyle45"/>
          <w:lang w:val="el-GR"/>
        </w:rPr>
        <w:t>/</w:t>
      </w:r>
      <w:r>
        <w:rPr>
          <w:rStyle w:val="FontStyle45"/>
        </w:rPr>
        <w:t>HDL</w:t>
      </w:r>
      <w:r w:rsidRPr="00F7301B">
        <w:rPr>
          <w:rStyle w:val="FontStyle45"/>
          <w:lang w:val="el-GR"/>
        </w:rPr>
        <w:t>-</w:t>
      </w:r>
      <w:r>
        <w:rPr>
          <w:rStyle w:val="FontStyle45"/>
        </w:rPr>
        <w:t>C</w:t>
      </w:r>
      <w:r w:rsidRPr="00F7301B">
        <w:rPr>
          <w:rStyle w:val="FontStyle45"/>
          <w:lang w:val="el-GR"/>
        </w:rPr>
        <w:t xml:space="preserve">, </w:t>
      </w:r>
      <w:r>
        <w:rPr>
          <w:rStyle w:val="FontStyle45"/>
          <w:lang w:val="el-GR"/>
        </w:rPr>
        <w:t xml:space="preserve">ολική </w:t>
      </w:r>
      <w:r>
        <w:rPr>
          <w:rStyle w:val="FontStyle45"/>
        </w:rPr>
        <w:t>C</w:t>
      </w:r>
      <w:r w:rsidRPr="00F7301B">
        <w:rPr>
          <w:rStyle w:val="FontStyle45"/>
          <w:lang w:val="el-GR"/>
        </w:rPr>
        <w:t>/</w:t>
      </w:r>
      <w:r>
        <w:rPr>
          <w:rStyle w:val="FontStyle45"/>
        </w:rPr>
        <w:t>HDL</w:t>
      </w:r>
      <w:r w:rsidRPr="00F7301B">
        <w:rPr>
          <w:rStyle w:val="FontStyle45"/>
          <w:lang w:val="el-GR"/>
        </w:rPr>
        <w:t>-</w:t>
      </w:r>
      <w:r>
        <w:rPr>
          <w:rStyle w:val="FontStyle45"/>
        </w:rPr>
        <w:t>C</w:t>
      </w:r>
      <w:r w:rsidRPr="00F7301B">
        <w:rPr>
          <w:rStyle w:val="FontStyle45"/>
          <w:lang w:val="el-GR"/>
        </w:rPr>
        <w:t xml:space="preserve">, </w:t>
      </w:r>
      <w:r>
        <w:rPr>
          <w:rStyle w:val="FontStyle45"/>
        </w:rPr>
        <w:t>nonHDL</w:t>
      </w:r>
      <w:r w:rsidRPr="00F7301B">
        <w:rPr>
          <w:rStyle w:val="FontStyle45"/>
          <w:lang w:val="el-GR"/>
        </w:rPr>
        <w:t>-</w:t>
      </w:r>
      <w:r>
        <w:rPr>
          <w:rStyle w:val="FontStyle45"/>
        </w:rPr>
        <w:t>C</w:t>
      </w:r>
      <w:r w:rsidRPr="00F7301B">
        <w:rPr>
          <w:rStyle w:val="FontStyle45"/>
          <w:lang w:val="el-GR"/>
        </w:rPr>
        <w:t>/</w:t>
      </w:r>
      <w:r>
        <w:rPr>
          <w:rStyle w:val="FontStyle45"/>
        </w:rPr>
        <w:t>HDL</w:t>
      </w:r>
      <w:r w:rsidRPr="00F7301B">
        <w:rPr>
          <w:rStyle w:val="FontStyle45"/>
          <w:lang w:val="el-GR"/>
        </w:rPr>
        <w:t>-</w:t>
      </w:r>
      <w:r>
        <w:rPr>
          <w:rStyle w:val="FontStyle45"/>
        </w:rPr>
        <w:t>C</w:t>
      </w:r>
      <w:r w:rsidRPr="00F7301B">
        <w:rPr>
          <w:rStyle w:val="FontStyle45"/>
          <w:lang w:val="el-GR"/>
        </w:rPr>
        <w:t xml:space="preserve"> </w:t>
      </w:r>
      <w:r>
        <w:rPr>
          <w:rStyle w:val="FontStyle45"/>
          <w:lang w:val="el-GR"/>
        </w:rPr>
        <w:t xml:space="preserve">και </w:t>
      </w:r>
      <w:r>
        <w:rPr>
          <w:rStyle w:val="FontStyle45"/>
        </w:rPr>
        <w:t>ApoB</w:t>
      </w:r>
      <w:r w:rsidRPr="00F7301B">
        <w:rPr>
          <w:rStyle w:val="FontStyle45"/>
          <w:lang w:val="el-GR"/>
        </w:rPr>
        <w:t>/</w:t>
      </w:r>
      <w:r>
        <w:rPr>
          <w:rStyle w:val="FontStyle45"/>
        </w:rPr>
        <w:t>ApoA</w:t>
      </w:r>
      <w:r w:rsidRPr="00F7301B">
        <w:rPr>
          <w:rStyle w:val="FontStyle45"/>
          <w:lang w:val="el-GR"/>
        </w:rPr>
        <w:t>-</w:t>
      </w:r>
      <w:r>
        <w:rPr>
          <w:rStyle w:val="FontStyle45"/>
        </w:rPr>
        <w:t>I</w:t>
      </w:r>
      <w:r w:rsidRPr="00F7301B">
        <w:rPr>
          <w:rStyle w:val="FontStyle45"/>
          <w:lang w:val="el-GR"/>
        </w:rPr>
        <w:t>.</w:t>
      </w:r>
    </w:p>
    <w:p w:rsidR="00A502AA" w:rsidRDefault="00A502AA">
      <w:pPr>
        <w:pStyle w:val="Style11"/>
        <w:widowControl/>
        <w:spacing w:before="115"/>
        <w:ind w:left="1440"/>
        <w:rPr>
          <w:rStyle w:val="FontStyle44"/>
          <w:lang w:val="el-GR" w:eastAsia="el-GR"/>
        </w:rPr>
      </w:pPr>
      <w:r>
        <w:rPr>
          <w:rStyle w:val="FontStyle44"/>
          <w:lang w:val="el-GR" w:eastAsia="el-GR"/>
        </w:rPr>
        <w:t xml:space="preserve">Πίνακας 3  Δοσολογική   ανταπόκριση   σε   ασθενείς   με   πρωτοπαθή υπερχοληστερολαιμία (τύπου </w:t>
      </w:r>
      <w:r>
        <w:rPr>
          <w:rStyle w:val="FontStyle44"/>
          <w:lang w:eastAsia="el-GR"/>
        </w:rPr>
        <w:t>IIa</w:t>
      </w:r>
      <w:r w:rsidRPr="00F7301B">
        <w:rPr>
          <w:rStyle w:val="FontStyle44"/>
          <w:lang w:val="el-GR" w:eastAsia="el-GR"/>
        </w:rPr>
        <w:t xml:space="preserve"> </w:t>
      </w:r>
      <w:r>
        <w:rPr>
          <w:rStyle w:val="FontStyle44"/>
          <w:lang w:val="el-GR" w:eastAsia="el-GR"/>
        </w:rPr>
        <w:t xml:space="preserve">και </w:t>
      </w:r>
      <w:r>
        <w:rPr>
          <w:rStyle w:val="FontStyle44"/>
          <w:lang w:eastAsia="el-GR"/>
        </w:rPr>
        <w:t>IIb</w:t>
      </w:r>
      <w:r w:rsidRPr="00F7301B">
        <w:rPr>
          <w:rStyle w:val="FontStyle44"/>
          <w:lang w:val="el-GR" w:eastAsia="el-GR"/>
        </w:rPr>
        <w:t xml:space="preserve">) </w:t>
      </w:r>
      <w:r>
        <w:rPr>
          <w:rStyle w:val="FontStyle44"/>
          <w:lang w:val="el-GR" w:eastAsia="el-GR"/>
        </w:rPr>
        <w:t>(προσαρμοσθείσα</w:t>
      </w:r>
    </w:p>
    <w:tbl>
      <w:tblPr>
        <w:tblW w:w="0" w:type="auto"/>
        <w:tblInd w:w="40" w:type="dxa"/>
        <w:tblLayout w:type="fixed"/>
        <w:tblCellMar>
          <w:left w:w="40" w:type="dxa"/>
          <w:right w:w="40" w:type="dxa"/>
        </w:tblCellMar>
        <w:tblLook w:val="0000" w:firstRow="0" w:lastRow="0" w:firstColumn="0" w:lastColumn="0" w:noHBand="0" w:noVBand="0"/>
      </w:tblPr>
      <w:tblGrid>
        <w:gridCol w:w="1013"/>
        <w:gridCol w:w="432"/>
        <w:gridCol w:w="1066"/>
        <w:gridCol w:w="1056"/>
        <w:gridCol w:w="1099"/>
        <w:gridCol w:w="701"/>
        <w:gridCol w:w="1430"/>
        <w:gridCol w:w="965"/>
        <w:gridCol w:w="1133"/>
      </w:tblGrid>
      <w:tr w:rsidR="00A502AA">
        <w:tblPrEx>
          <w:tblCellMar>
            <w:top w:w="0" w:type="dxa"/>
            <w:bottom w:w="0" w:type="dxa"/>
          </w:tblCellMar>
        </w:tblPrEx>
        <w:tc>
          <w:tcPr>
            <w:tcW w:w="8895" w:type="dxa"/>
            <w:gridSpan w:val="9"/>
            <w:tcBorders>
              <w:top w:val="nil"/>
              <w:left w:val="nil"/>
              <w:bottom w:val="single" w:sz="6" w:space="0" w:color="auto"/>
              <w:right w:val="nil"/>
            </w:tcBorders>
          </w:tcPr>
          <w:p w:rsidR="00A502AA" w:rsidRDefault="00A502AA">
            <w:pPr>
              <w:pStyle w:val="Style14"/>
              <w:widowControl/>
              <w:spacing w:line="240" w:lineRule="auto"/>
              <w:ind w:left="1392"/>
              <w:rPr>
                <w:rStyle w:val="FontStyle44"/>
                <w:lang w:val="el-GR" w:eastAsia="el-GR"/>
              </w:rPr>
            </w:pPr>
            <w:r>
              <w:rPr>
                <w:rStyle w:val="FontStyle44"/>
                <w:lang w:val="el-GR" w:eastAsia="el-GR"/>
              </w:rPr>
              <w:t>μέση % μεταβολή, σε σχέση με τις τιμές έναρξης).</w:t>
            </w:r>
          </w:p>
        </w:tc>
      </w:tr>
      <w:tr w:rsidR="00A502AA">
        <w:tblPrEx>
          <w:tblCellMar>
            <w:top w:w="0" w:type="dxa"/>
            <w:bottom w:w="0" w:type="dxa"/>
          </w:tblCellMar>
        </w:tblPrEx>
        <w:tc>
          <w:tcPr>
            <w:tcW w:w="1013" w:type="dxa"/>
            <w:tcBorders>
              <w:top w:val="single" w:sz="6" w:space="0" w:color="auto"/>
              <w:left w:val="nil"/>
              <w:bottom w:val="single" w:sz="6" w:space="0" w:color="auto"/>
              <w:right w:val="nil"/>
            </w:tcBorders>
          </w:tcPr>
          <w:p w:rsidR="00A502AA" w:rsidRDefault="00A502AA">
            <w:pPr>
              <w:pStyle w:val="Style14"/>
              <w:widowControl/>
              <w:spacing w:line="240" w:lineRule="auto"/>
              <w:rPr>
                <w:rStyle w:val="FontStyle44"/>
                <w:lang w:val="el-GR" w:eastAsia="el-GR"/>
              </w:rPr>
            </w:pPr>
            <w:r>
              <w:rPr>
                <w:rStyle w:val="FontStyle44"/>
                <w:lang w:val="el-GR" w:eastAsia="el-GR"/>
              </w:rPr>
              <w:t>Δόση</w:t>
            </w:r>
          </w:p>
        </w:tc>
        <w:tc>
          <w:tcPr>
            <w:tcW w:w="432" w:type="dxa"/>
            <w:tcBorders>
              <w:top w:val="single" w:sz="6" w:space="0" w:color="auto"/>
              <w:left w:val="nil"/>
              <w:bottom w:val="single" w:sz="6" w:space="0" w:color="auto"/>
              <w:right w:val="nil"/>
            </w:tcBorders>
          </w:tcPr>
          <w:p w:rsidR="00A502AA" w:rsidRDefault="00A502AA">
            <w:pPr>
              <w:pStyle w:val="Style14"/>
              <w:widowControl/>
              <w:spacing w:line="240" w:lineRule="auto"/>
              <w:rPr>
                <w:rStyle w:val="FontStyle44"/>
              </w:rPr>
            </w:pPr>
            <w:r>
              <w:rPr>
                <w:rStyle w:val="FontStyle44"/>
              </w:rPr>
              <w:t>N</w:t>
            </w:r>
          </w:p>
        </w:tc>
        <w:tc>
          <w:tcPr>
            <w:tcW w:w="1066" w:type="dxa"/>
            <w:tcBorders>
              <w:top w:val="single" w:sz="6" w:space="0" w:color="auto"/>
              <w:left w:val="nil"/>
              <w:bottom w:val="single" w:sz="6" w:space="0" w:color="auto"/>
              <w:right w:val="nil"/>
            </w:tcBorders>
          </w:tcPr>
          <w:p w:rsidR="00A502AA" w:rsidRDefault="00A502AA">
            <w:pPr>
              <w:pStyle w:val="Style14"/>
              <w:widowControl/>
              <w:spacing w:line="240" w:lineRule="auto"/>
              <w:rPr>
                <w:rStyle w:val="FontStyle44"/>
              </w:rPr>
            </w:pPr>
            <w:r>
              <w:rPr>
                <w:rStyle w:val="FontStyle44"/>
              </w:rPr>
              <w:t>LDL-C</w:t>
            </w:r>
          </w:p>
        </w:tc>
        <w:tc>
          <w:tcPr>
            <w:tcW w:w="1056" w:type="dxa"/>
            <w:tcBorders>
              <w:top w:val="single" w:sz="6" w:space="0" w:color="auto"/>
              <w:left w:val="nil"/>
              <w:bottom w:val="single" w:sz="6" w:space="0" w:color="auto"/>
              <w:right w:val="nil"/>
            </w:tcBorders>
          </w:tcPr>
          <w:p w:rsidR="00A502AA" w:rsidRDefault="00A502AA">
            <w:pPr>
              <w:pStyle w:val="Style14"/>
              <w:widowControl/>
              <w:ind w:firstLine="5"/>
              <w:rPr>
                <w:rStyle w:val="FontStyle44"/>
              </w:rPr>
            </w:pPr>
            <w:r>
              <w:rPr>
                <w:rStyle w:val="FontStyle44"/>
              </w:rPr>
              <w:t>Total-C</w:t>
            </w:r>
          </w:p>
        </w:tc>
        <w:tc>
          <w:tcPr>
            <w:tcW w:w="1099" w:type="dxa"/>
            <w:tcBorders>
              <w:top w:val="single" w:sz="6" w:space="0" w:color="auto"/>
              <w:left w:val="nil"/>
              <w:bottom w:val="single" w:sz="6" w:space="0" w:color="auto"/>
              <w:right w:val="nil"/>
            </w:tcBorders>
          </w:tcPr>
          <w:p w:rsidR="00A502AA" w:rsidRDefault="00A502AA">
            <w:pPr>
              <w:pStyle w:val="Style14"/>
              <w:widowControl/>
              <w:spacing w:line="240" w:lineRule="auto"/>
              <w:rPr>
                <w:rStyle w:val="FontStyle44"/>
              </w:rPr>
            </w:pPr>
            <w:r>
              <w:rPr>
                <w:rStyle w:val="FontStyle44"/>
              </w:rPr>
              <w:t>HDL-C</w:t>
            </w:r>
          </w:p>
        </w:tc>
        <w:tc>
          <w:tcPr>
            <w:tcW w:w="701" w:type="dxa"/>
            <w:tcBorders>
              <w:top w:val="single" w:sz="6" w:space="0" w:color="auto"/>
              <w:left w:val="nil"/>
              <w:bottom w:val="single" w:sz="6" w:space="0" w:color="auto"/>
              <w:right w:val="nil"/>
            </w:tcBorders>
          </w:tcPr>
          <w:p w:rsidR="00A502AA" w:rsidRDefault="00A502AA">
            <w:pPr>
              <w:pStyle w:val="Style14"/>
              <w:widowControl/>
              <w:spacing w:line="240" w:lineRule="auto"/>
              <w:rPr>
                <w:rStyle w:val="FontStyle44"/>
              </w:rPr>
            </w:pPr>
            <w:r>
              <w:rPr>
                <w:rStyle w:val="FontStyle44"/>
              </w:rPr>
              <w:t>TG</w:t>
            </w:r>
          </w:p>
        </w:tc>
        <w:tc>
          <w:tcPr>
            <w:tcW w:w="1430" w:type="dxa"/>
            <w:tcBorders>
              <w:top w:val="single" w:sz="6" w:space="0" w:color="auto"/>
              <w:left w:val="nil"/>
              <w:bottom w:val="single" w:sz="6" w:space="0" w:color="auto"/>
              <w:right w:val="nil"/>
            </w:tcBorders>
          </w:tcPr>
          <w:p w:rsidR="00A502AA" w:rsidRDefault="00A502AA">
            <w:pPr>
              <w:pStyle w:val="Style14"/>
              <w:widowControl/>
              <w:spacing w:line="274" w:lineRule="exact"/>
              <w:ind w:firstLine="19"/>
              <w:rPr>
                <w:rStyle w:val="FontStyle44"/>
              </w:rPr>
            </w:pPr>
            <w:r>
              <w:rPr>
                <w:rStyle w:val="FontStyle44"/>
              </w:rPr>
              <w:t>nonHDL-C</w:t>
            </w:r>
          </w:p>
        </w:tc>
        <w:tc>
          <w:tcPr>
            <w:tcW w:w="965" w:type="dxa"/>
            <w:tcBorders>
              <w:top w:val="single" w:sz="6" w:space="0" w:color="auto"/>
              <w:left w:val="nil"/>
              <w:bottom w:val="single" w:sz="6" w:space="0" w:color="auto"/>
              <w:right w:val="nil"/>
            </w:tcBorders>
          </w:tcPr>
          <w:p w:rsidR="00A502AA" w:rsidRDefault="00A502AA">
            <w:pPr>
              <w:pStyle w:val="Style14"/>
              <w:widowControl/>
              <w:spacing w:line="240" w:lineRule="auto"/>
              <w:rPr>
                <w:rStyle w:val="FontStyle44"/>
              </w:rPr>
            </w:pPr>
            <w:r>
              <w:rPr>
                <w:rStyle w:val="FontStyle44"/>
              </w:rPr>
              <w:t>ApoB</w:t>
            </w:r>
          </w:p>
        </w:tc>
        <w:tc>
          <w:tcPr>
            <w:tcW w:w="1133" w:type="dxa"/>
            <w:tcBorders>
              <w:top w:val="single" w:sz="6" w:space="0" w:color="auto"/>
              <w:left w:val="nil"/>
              <w:bottom w:val="single" w:sz="6" w:space="0" w:color="auto"/>
              <w:right w:val="nil"/>
            </w:tcBorders>
          </w:tcPr>
          <w:p w:rsidR="00A502AA" w:rsidRDefault="00A502AA">
            <w:pPr>
              <w:pStyle w:val="Style14"/>
              <w:widowControl/>
              <w:ind w:firstLine="5"/>
              <w:rPr>
                <w:rStyle w:val="FontStyle44"/>
              </w:rPr>
            </w:pPr>
            <w:r>
              <w:rPr>
                <w:rStyle w:val="FontStyle44"/>
              </w:rPr>
              <w:t>ApoA-I</w:t>
            </w:r>
          </w:p>
        </w:tc>
      </w:tr>
      <w:tr w:rsidR="00A502AA">
        <w:tblPrEx>
          <w:tblCellMar>
            <w:top w:w="0" w:type="dxa"/>
            <w:bottom w:w="0" w:type="dxa"/>
          </w:tblCellMar>
        </w:tblPrEx>
        <w:tc>
          <w:tcPr>
            <w:tcW w:w="1013"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Placebo</w:t>
            </w:r>
          </w:p>
        </w:tc>
        <w:tc>
          <w:tcPr>
            <w:tcW w:w="432"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13</w:t>
            </w:r>
          </w:p>
        </w:tc>
        <w:tc>
          <w:tcPr>
            <w:tcW w:w="1066"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-7</w:t>
            </w:r>
          </w:p>
        </w:tc>
        <w:tc>
          <w:tcPr>
            <w:tcW w:w="1056"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-5</w:t>
            </w:r>
          </w:p>
        </w:tc>
        <w:tc>
          <w:tcPr>
            <w:tcW w:w="1099"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3</w:t>
            </w:r>
          </w:p>
        </w:tc>
        <w:tc>
          <w:tcPr>
            <w:tcW w:w="701"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-3</w:t>
            </w:r>
          </w:p>
        </w:tc>
        <w:tc>
          <w:tcPr>
            <w:tcW w:w="1430"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-7</w:t>
            </w:r>
          </w:p>
        </w:tc>
        <w:tc>
          <w:tcPr>
            <w:tcW w:w="965"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-3</w:t>
            </w:r>
          </w:p>
        </w:tc>
        <w:tc>
          <w:tcPr>
            <w:tcW w:w="1133" w:type="dxa"/>
            <w:tcBorders>
              <w:top w:val="single" w:sz="6" w:space="0" w:color="auto"/>
              <w:left w:val="nil"/>
              <w:bottom w:val="nil"/>
              <w:right w:val="nil"/>
            </w:tcBorders>
          </w:tcPr>
          <w:p w:rsidR="00A502AA" w:rsidRDefault="00A502AA">
            <w:pPr>
              <w:pStyle w:val="Style23"/>
              <w:widowControl/>
              <w:rPr>
                <w:rStyle w:val="FontStyle45"/>
              </w:rPr>
            </w:pPr>
            <w:r>
              <w:rPr>
                <w:rStyle w:val="FontStyle45"/>
              </w:rPr>
              <w:t>0</w:t>
            </w:r>
          </w:p>
        </w:tc>
      </w:tr>
      <w:tr w:rsidR="00A502AA">
        <w:tblPrEx>
          <w:tblCellMar>
            <w:top w:w="0" w:type="dxa"/>
            <w:bottom w:w="0" w:type="dxa"/>
          </w:tblCellMar>
        </w:tblPrEx>
        <w:tc>
          <w:tcPr>
            <w:tcW w:w="1013" w:type="dxa"/>
            <w:tcBorders>
              <w:top w:val="nil"/>
              <w:left w:val="nil"/>
              <w:bottom w:val="nil"/>
              <w:right w:val="nil"/>
            </w:tcBorders>
          </w:tcPr>
          <w:p w:rsidR="00A502AA" w:rsidRDefault="00A502AA">
            <w:pPr>
              <w:pStyle w:val="Style23"/>
              <w:widowControl/>
              <w:rPr>
                <w:rStyle w:val="FontStyle45"/>
              </w:rPr>
            </w:pPr>
            <w:r>
              <w:rPr>
                <w:rStyle w:val="FontStyle45"/>
              </w:rPr>
              <w:t>5</w:t>
            </w:r>
          </w:p>
        </w:tc>
        <w:tc>
          <w:tcPr>
            <w:tcW w:w="432" w:type="dxa"/>
            <w:tcBorders>
              <w:top w:val="nil"/>
              <w:left w:val="nil"/>
              <w:bottom w:val="nil"/>
              <w:right w:val="nil"/>
            </w:tcBorders>
          </w:tcPr>
          <w:p w:rsidR="00A502AA" w:rsidRDefault="00A502AA">
            <w:pPr>
              <w:pStyle w:val="Style23"/>
              <w:widowControl/>
              <w:rPr>
                <w:rStyle w:val="FontStyle45"/>
              </w:rPr>
            </w:pPr>
            <w:r>
              <w:rPr>
                <w:rStyle w:val="FontStyle45"/>
              </w:rPr>
              <w:t>17</w:t>
            </w:r>
          </w:p>
        </w:tc>
        <w:tc>
          <w:tcPr>
            <w:tcW w:w="1066" w:type="dxa"/>
            <w:tcBorders>
              <w:top w:val="nil"/>
              <w:left w:val="nil"/>
              <w:bottom w:val="nil"/>
              <w:right w:val="nil"/>
            </w:tcBorders>
          </w:tcPr>
          <w:p w:rsidR="00A502AA" w:rsidRDefault="00A502AA">
            <w:pPr>
              <w:pStyle w:val="Style23"/>
              <w:widowControl/>
              <w:rPr>
                <w:rStyle w:val="FontStyle45"/>
              </w:rPr>
            </w:pPr>
            <w:r>
              <w:rPr>
                <w:rStyle w:val="FontStyle45"/>
              </w:rPr>
              <w:t>-45</w:t>
            </w:r>
          </w:p>
        </w:tc>
        <w:tc>
          <w:tcPr>
            <w:tcW w:w="1056" w:type="dxa"/>
            <w:tcBorders>
              <w:top w:val="nil"/>
              <w:left w:val="nil"/>
              <w:bottom w:val="nil"/>
              <w:right w:val="nil"/>
            </w:tcBorders>
          </w:tcPr>
          <w:p w:rsidR="00A502AA" w:rsidRDefault="00A502AA">
            <w:pPr>
              <w:pStyle w:val="Style23"/>
              <w:widowControl/>
              <w:rPr>
                <w:rStyle w:val="FontStyle45"/>
              </w:rPr>
            </w:pPr>
            <w:r>
              <w:rPr>
                <w:rStyle w:val="FontStyle45"/>
              </w:rPr>
              <w:t>-33</w:t>
            </w:r>
          </w:p>
        </w:tc>
        <w:tc>
          <w:tcPr>
            <w:tcW w:w="1099" w:type="dxa"/>
            <w:tcBorders>
              <w:top w:val="nil"/>
              <w:left w:val="nil"/>
              <w:bottom w:val="nil"/>
              <w:right w:val="nil"/>
            </w:tcBorders>
          </w:tcPr>
          <w:p w:rsidR="00A502AA" w:rsidRDefault="00A502AA">
            <w:pPr>
              <w:pStyle w:val="Style23"/>
              <w:widowControl/>
              <w:rPr>
                <w:rStyle w:val="FontStyle45"/>
              </w:rPr>
            </w:pPr>
            <w:r>
              <w:rPr>
                <w:rStyle w:val="FontStyle45"/>
              </w:rPr>
              <w:t>13</w:t>
            </w:r>
          </w:p>
        </w:tc>
        <w:tc>
          <w:tcPr>
            <w:tcW w:w="701" w:type="dxa"/>
            <w:tcBorders>
              <w:top w:val="nil"/>
              <w:left w:val="nil"/>
              <w:bottom w:val="nil"/>
              <w:right w:val="nil"/>
            </w:tcBorders>
          </w:tcPr>
          <w:p w:rsidR="00A502AA" w:rsidRDefault="00A502AA">
            <w:pPr>
              <w:pStyle w:val="Style23"/>
              <w:widowControl/>
              <w:rPr>
                <w:rStyle w:val="FontStyle45"/>
              </w:rPr>
            </w:pPr>
            <w:r>
              <w:rPr>
                <w:rStyle w:val="FontStyle45"/>
              </w:rPr>
              <w:t>-35</w:t>
            </w:r>
          </w:p>
        </w:tc>
        <w:tc>
          <w:tcPr>
            <w:tcW w:w="1430" w:type="dxa"/>
            <w:tcBorders>
              <w:top w:val="nil"/>
              <w:left w:val="nil"/>
              <w:bottom w:val="nil"/>
              <w:right w:val="nil"/>
            </w:tcBorders>
          </w:tcPr>
          <w:p w:rsidR="00A502AA" w:rsidRDefault="00A502AA">
            <w:pPr>
              <w:pStyle w:val="Style23"/>
              <w:widowControl/>
              <w:rPr>
                <w:rStyle w:val="FontStyle45"/>
              </w:rPr>
            </w:pPr>
            <w:r>
              <w:rPr>
                <w:rStyle w:val="FontStyle45"/>
              </w:rPr>
              <w:t>-44</w:t>
            </w:r>
          </w:p>
        </w:tc>
        <w:tc>
          <w:tcPr>
            <w:tcW w:w="965" w:type="dxa"/>
            <w:tcBorders>
              <w:top w:val="nil"/>
              <w:left w:val="nil"/>
              <w:bottom w:val="nil"/>
              <w:right w:val="nil"/>
            </w:tcBorders>
          </w:tcPr>
          <w:p w:rsidR="00A502AA" w:rsidRDefault="00A502AA">
            <w:pPr>
              <w:pStyle w:val="Style23"/>
              <w:widowControl/>
              <w:rPr>
                <w:rStyle w:val="FontStyle45"/>
              </w:rPr>
            </w:pPr>
            <w:r>
              <w:rPr>
                <w:rStyle w:val="FontStyle45"/>
              </w:rPr>
              <w:t>-38</w:t>
            </w:r>
          </w:p>
        </w:tc>
        <w:tc>
          <w:tcPr>
            <w:tcW w:w="1133" w:type="dxa"/>
            <w:tcBorders>
              <w:top w:val="nil"/>
              <w:left w:val="nil"/>
              <w:bottom w:val="nil"/>
              <w:right w:val="nil"/>
            </w:tcBorders>
          </w:tcPr>
          <w:p w:rsidR="00A502AA" w:rsidRDefault="00A502AA">
            <w:pPr>
              <w:pStyle w:val="Style23"/>
              <w:widowControl/>
              <w:rPr>
                <w:rStyle w:val="FontStyle45"/>
              </w:rPr>
            </w:pPr>
            <w:r>
              <w:rPr>
                <w:rStyle w:val="FontStyle45"/>
              </w:rPr>
              <w:t>4</w:t>
            </w:r>
          </w:p>
        </w:tc>
      </w:tr>
      <w:tr w:rsidR="00A502AA">
        <w:tblPrEx>
          <w:tblCellMar>
            <w:top w:w="0" w:type="dxa"/>
            <w:bottom w:w="0" w:type="dxa"/>
          </w:tblCellMar>
        </w:tblPrEx>
        <w:tc>
          <w:tcPr>
            <w:tcW w:w="1013" w:type="dxa"/>
            <w:tcBorders>
              <w:top w:val="nil"/>
              <w:left w:val="nil"/>
              <w:bottom w:val="nil"/>
              <w:right w:val="nil"/>
            </w:tcBorders>
          </w:tcPr>
          <w:p w:rsidR="00A502AA" w:rsidRDefault="00A502AA">
            <w:pPr>
              <w:pStyle w:val="Style23"/>
              <w:widowControl/>
              <w:rPr>
                <w:rStyle w:val="FontStyle45"/>
              </w:rPr>
            </w:pPr>
            <w:r>
              <w:rPr>
                <w:rStyle w:val="FontStyle45"/>
              </w:rPr>
              <w:t>10</w:t>
            </w:r>
          </w:p>
        </w:tc>
        <w:tc>
          <w:tcPr>
            <w:tcW w:w="432" w:type="dxa"/>
            <w:tcBorders>
              <w:top w:val="nil"/>
              <w:left w:val="nil"/>
              <w:bottom w:val="nil"/>
              <w:right w:val="nil"/>
            </w:tcBorders>
          </w:tcPr>
          <w:p w:rsidR="00A502AA" w:rsidRDefault="00A502AA">
            <w:pPr>
              <w:pStyle w:val="Style23"/>
              <w:widowControl/>
              <w:rPr>
                <w:rStyle w:val="FontStyle45"/>
              </w:rPr>
            </w:pPr>
            <w:r>
              <w:rPr>
                <w:rStyle w:val="FontStyle45"/>
              </w:rPr>
              <w:t>17</w:t>
            </w:r>
          </w:p>
        </w:tc>
        <w:tc>
          <w:tcPr>
            <w:tcW w:w="1066" w:type="dxa"/>
            <w:tcBorders>
              <w:top w:val="nil"/>
              <w:left w:val="nil"/>
              <w:bottom w:val="nil"/>
              <w:right w:val="nil"/>
            </w:tcBorders>
          </w:tcPr>
          <w:p w:rsidR="00A502AA" w:rsidRDefault="00A502AA">
            <w:pPr>
              <w:pStyle w:val="Style23"/>
              <w:widowControl/>
              <w:rPr>
                <w:rStyle w:val="FontStyle45"/>
              </w:rPr>
            </w:pPr>
            <w:r>
              <w:rPr>
                <w:rStyle w:val="FontStyle45"/>
              </w:rPr>
              <w:t>-52</w:t>
            </w:r>
          </w:p>
        </w:tc>
        <w:tc>
          <w:tcPr>
            <w:tcW w:w="1056" w:type="dxa"/>
            <w:tcBorders>
              <w:top w:val="nil"/>
              <w:left w:val="nil"/>
              <w:bottom w:val="nil"/>
              <w:right w:val="nil"/>
            </w:tcBorders>
          </w:tcPr>
          <w:p w:rsidR="00A502AA" w:rsidRDefault="00A502AA">
            <w:pPr>
              <w:pStyle w:val="Style23"/>
              <w:widowControl/>
              <w:rPr>
                <w:rStyle w:val="FontStyle45"/>
              </w:rPr>
            </w:pPr>
            <w:r>
              <w:rPr>
                <w:rStyle w:val="FontStyle45"/>
              </w:rPr>
              <w:t>-36</w:t>
            </w:r>
          </w:p>
        </w:tc>
        <w:tc>
          <w:tcPr>
            <w:tcW w:w="1099" w:type="dxa"/>
            <w:tcBorders>
              <w:top w:val="nil"/>
              <w:left w:val="nil"/>
              <w:bottom w:val="nil"/>
              <w:right w:val="nil"/>
            </w:tcBorders>
          </w:tcPr>
          <w:p w:rsidR="00A502AA" w:rsidRDefault="00A502AA">
            <w:pPr>
              <w:pStyle w:val="Style23"/>
              <w:widowControl/>
              <w:rPr>
                <w:rStyle w:val="FontStyle45"/>
              </w:rPr>
            </w:pPr>
            <w:r>
              <w:rPr>
                <w:rStyle w:val="FontStyle45"/>
              </w:rPr>
              <w:t>14</w:t>
            </w:r>
          </w:p>
        </w:tc>
        <w:tc>
          <w:tcPr>
            <w:tcW w:w="701" w:type="dxa"/>
            <w:tcBorders>
              <w:top w:val="nil"/>
              <w:left w:val="nil"/>
              <w:bottom w:val="nil"/>
              <w:right w:val="nil"/>
            </w:tcBorders>
          </w:tcPr>
          <w:p w:rsidR="00A502AA" w:rsidRDefault="00A502AA">
            <w:pPr>
              <w:pStyle w:val="Style23"/>
              <w:widowControl/>
              <w:rPr>
                <w:rStyle w:val="FontStyle45"/>
              </w:rPr>
            </w:pPr>
            <w:r>
              <w:rPr>
                <w:rStyle w:val="FontStyle45"/>
              </w:rPr>
              <w:t>-10</w:t>
            </w:r>
          </w:p>
        </w:tc>
        <w:tc>
          <w:tcPr>
            <w:tcW w:w="1430" w:type="dxa"/>
            <w:tcBorders>
              <w:top w:val="nil"/>
              <w:left w:val="nil"/>
              <w:bottom w:val="nil"/>
              <w:right w:val="nil"/>
            </w:tcBorders>
          </w:tcPr>
          <w:p w:rsidR="00A502AA" w:rsidRDefault="00A502AA">
            <w:pPr>
              <w:pStyle w:val="Style23"/>
              <w:widowControl/>
              <w:rPr>
                <w:rStyle w:val="FontStyle45"/>
              </w:rPr>
            </w:pPr>
            <w:r>
              <w:rPr>
                <w:rStyle w:val="FontStyle45"/>
              </w:rPr>
              <w:t>-48</w:t>
            </w:r>
          </w:p>
        </w:tc>
        <w:tc>
          <w:tcPr>
            <w:tcW w:w="965" w:type="dxa"/>
            <w:tcBorders>
              <w:top w:val="nil"/>
              <w:left w:val="nil"/>
              <w:bottom w:val="nil"/>
              <w:right w:val="nil"/>
            </w:tcBorders>
          </w:tcPr>
          <w:p w:rsidR="00A502AA" w:rsidRDefault="00A502AA">
            <w:pPr>
              <w:pStyle w:val="Style23"/>
              <w:widowControl/>
              <w:rPr>
                <w:rStyle w:val="FontStyle45"/>
              </w:rPr>
            </w:pPr>
            <w:r>
              <w:rPr>
                <w:rStyle w:val="FontStyle45"/>
              </w:rPr>
              <w:t>-42</w:t>
            </w:r>
          </w:p>
        </w:tc>
        <w:tc>
          <w:tcPr>
            <w:tcW w:w="1133" w:type="dxa"/>
            <w:tcBorders>
              <w:top w:val="nil"/>
              <w:left w:val="nil"/>
              <w:bottom w:val="nil"/>
              <w:right w:val="nil"/>
            </w:tcBorders>
          </w:tcPr>
          <w:p w:rsidR="00A502AA" w:rsidRDefault="00A502AA">
            <w:pPr>
              <w:pStyle w:val="Style23"/>
              <w:widowControl/>
              <w:rPr>
                <w:rStyle w:val="FontStyle45"/>
              </w:rPr>
            </w:pPr>
            <w:r>
              <w:rPr>
                <w:rStyle w:val="FontStyle45"/>
              </w:rPr>
              <w:t>4</w:t>
            </w:r>
          </w:p>
        </w:tc>
      </w:tr>
      <w:tr w:rsidR="00A502AA">
        <w:tblPrEx>
          <w:tblCellMar>
            <w:top w:w="0" w:type="dxa"/>
            <w:bottom w:w="0" w:type="dxa"/>
          </w:tblCellMar>
        </w:tblPrEx>
        <w:tc>
          <w:tcPr>
            <w:tcW w:w="1013" w:type="dxa"/>
            <w:tcBorders>
              <w:top w:val="nil"/>
              <w:left w:val="nil"/>
              <w:bottom w:val="nil"/>
              <w:right w:val="nil"/>
            </w:tcBorders>
          </w:tcPr>
          <w:p w:rsidR="00A502AA" w:rsidRDefault="00A502AA">
            <w:pPr>
              <w:pStyle w:val="Style23"/>
              <w:widowControl/>
              <w:rPr>
                <w:rStyle w:val="FontStyle45"/>
                <w:lang w:val="el-GR" w:eastAsia="el-GR"/>
              </w:rPr>
            </w:pPr>
            <w:r>
              <w:rPr>
                <w:rStyle w:val="FontStyle45"/>
                <w:lang w:val="el-GR" w:eastAsia="el-GR"/>
              </w:rPr>
              <w:t>20</w:t>
            </w:r>
          </w:p>
        </w:tc>
        <w:tc>
          <w:tcPr>
            <w:tcW w:w="432" w:type="dxa"/>
            <w:tcBorders>
              <w:top w:val="nil"/>
              <w:left w:val="nil"/>
              <w:bottom w:val="nil"/>
              <w:right w:val="nil"/>
            </w:tcBorders>
          </w:tcPr>
          <w:p w:rsidR="00A502AA" w:rsidRDefault="00A502AA">
            <w:pPr>
              <w:pStyle w:val="Style23"/>
              <w:widowControl/>
              <w:rPr>
                <w:rStyle w:val="FontStyle45"/>
              </w:rPr>
            </w:pPr>
            <w:r>
              <w:rPr>
                <w:rStyle w:val="FontStyle45"/>
              </w:rPr>
              <w:t>17</w:t>
            </w:r>
          </w:p>
        </w:tc>
        <w:tc>
          <w:tcPr>
            <w:tcW w:w="1066" w:type="dxa"/>
            <w:tcBorders>
              <w:top w:val="nil"/>
              <w:left w:val="nil"/>
              <w:bottom w:val="nil"/>
              <w:right w:val="nil"/>
            </w:tcBorders>
          </w:tcPr>
          <w:p w:rsidR="00A502AA" w:rsidRDefault="00A502AA">
            <w:pPr>
              <w:pStyle w:val="Style23"/>
              <w:widowControl/>
              <w:rPr>
                <w:rStyle w:val="FontStyle45"/>
              </w:rPr>
            </w:pPr>
            <w:r>
              <w:rPr>
                <w:rStyle w:val="FontStyle45"/>
              </w:rPr>
              <w:t>-55</w:t>
            </w:r>
          </w:p>
        </w:tc>
        <w:tc>
          <w:tcPr>
            <w:tcW w:w="1056" w:type="dxa"/>
            <w:tcBorders>
              <w:top w:val="nil"/>
              <w:left w:val="nil"/>
              <w:bottom w:val="nil"/>
              <w:right w:val="nil"/>
            </w:tcBorders>
          </w:tcPr>
          <w:p w:rsidR="00A502AA" w:rsidRDefault="00A502AA">
            <w:pPr>
              <w:pStyle w:val="Style23"/>
              <w:widowControl/>
              <w:rPr>
                <w:rStyle w:val="FontStyle45"/>
              </w:rPr>
            </w:pPr>
            <w:r>
              <w:rPr>
                <w:rStyle w:val="FontStyle45"/>
              </w:rPr>
              <w:t>-40</w:t>
            </w:r>
          </w:p>
        </w:tc>
        <w:tc>
          <w:tcPr>
            <w:tcW w:w="1099" w:type="dxa"/>
            <w:tcBorders>
              <w:top w:val="nil"/>
              <w:left w:val="nil"/>
              <w:bottom w:val="nil"/>
              <w:right w:val="nil"/>
            </w:tcBorders>
          </w:tcPr>
          <w:p w:rsidR="00A502AA" w:rsidRDefault="00A502AA">
            <w:pPr>
              <w:pStyle w:val="Style23"/>
              <w:widowControl/>
              <w:rPr>
                <w:rStyle w:val="FontStyle45"/>
              </w:rPr>
            </w:pPr>
            <w:r>
              <w:rPr>
                <w:rStyle w:val="FontStyle45"/>
              </w:rPr>
              <w:t>8</w:t>
            </w:r>
          </w:p>
        </w:tc>
        <w:tc>
          <w:tcPr>
            <w:tcW w:w="701" w:type="dxa"/>
            <w:tcBorders>
              <w:top w:val="nil"/>
              <w:left w:val="nil"/>
              <w:bottom w:val="nil"/>
              <w:right w:val="nil"/>
            </w:tcBorders>
          </w:tcPr>
          <w:p w:rsidR="00A502AA" w:rsidRDefault="00A502AA">
            <w:pPr>
              <w:pStyle w:val="Style23"/>
              <w:widowControl/>
              <w:rPr>
                <w:rStyle w:val="FontStyle45"/>
              </w:rPr>
            </w:pPr>
            <w:r>
              <w:rPr>
                <w:rStyle w:val="FontStyle45"/>
              </w:rPr>
              <w:t>-23</w:t>
            </w:r>
          </w:p>
        </w:tc>
        <w:tc>
          <w:tcPr>
            <w:tcW w:w="1430" w:type="dxa"/>
            <w:tcBorders>
              <w:top w:val="nil"/>
              <w:left w:val="nil"/>
              <w:bottom w:val="nil"/>
              <w:right w:val="nil"/>
            </w:tcBorders>
          </w:tcPr>
          <w:p w:rsidR="00A502AA" w:rsidRDefault="00A502AA">
            <w:pPr>
              <w:pStyle w:val="Style23"/>
              <w:widowControl/>
              <w:rPr>
                <w:rStyle w:val="FontStyle45"/>
              </w:rPr>
            </w:pPr>
            <w:r>
              <w:rPr>
                <w:rStyle w:val="FontStyle45"/>
              </w:rPr>
              <w:t>-51</w:t>
            </w:r>
          </w:p>
        </w:tc>
        <w:tc>
          <w:tcPr>
            <w:tcW w:w="965" w:type="dxa"/>
            <w:tcBorders>
              <w:top w:val="nil"/>
              <w:left w:val="nil"/>
              <w:bottom w:val="nil"/>
              <w:right w:val="nil"/>
            </w:tcBorders>
          </w:tcPr>
          <w:p w:rsidR="00A502AA" w:rsidRDefault="00A502AA">
            <w:pPr>
              <w:pStyle w:val="Style23"/>
              <w:widowControl/>
              <w:rPr>
                <w:rStyle w:val="FontStyle45"/>
              </w:rPr>
            </w:pPr>
            <w:r>
              <w:rPr>
                <w:rStyle w:val="FontStyle45"/>
              </w:rPr>
              <w:t>-46</w:t>
            </w:r>
          </w:p>
        </w:tc>
        <w:tc>
          <w:tcPr>
            <w:tcW w:w="1133" w:type="dxa"/>
            <w:tcBorders>
              <w:top w:val="nil"/>
              <w:left w:val="nil"/>
              <w:bottom w:val="nil"/>
              <w:right w:val="nil"/>
            </w:tcBorders>
          </w:tcPr>
          <w:p w:rsidR="00A502AA" w:rsidRDefault="00A502AA">
            <w:pPr>
              <w:pStyle w:val="Style23"/>
              <w:widowControl/>
              <w:rPr>
                <w:rStyle w:val="FontStyle45"/>
              </w:rPr>
            </w:pPr>
            <w:r>
              <w:rPr>
                <w:rStyle w:val="FontStyle45"/>
              </w:rPr>
              <w:t>5</w:t>
            </w:r>
          </w:p>
        </w:tc>
      </w:tr>
      <w:tr w:rsidR="00A502AA">
        <w:tblPrEx>
          <w:tblCellMar>
            <w:top w:w="0" w:type="dxa"/>
            <w:bottom w:w="0" w:type="dxa"/>
          </w:tblCellMar>
        </w:tblPrEx>
        <w:tc>
          <w:tcPr>
            <w:tcW w:w="1013"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40</w:t>
            </w:r>
          </w:p>
        </w:tc>
        <w:tc>
          <w:tcPr>
            <w:tcW w:w="432"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18</w:t>
            </w:r>
          </w:p>
        </w:tc>
        <w:tc>
          <w:tcPr>
            <w:tcW w:w="1066"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-63</w:t>
            </w:r>
          </w:p>
        </w:tc>
        <w:tc>
          <w:tcPr>
            <w:tcW w:w="1056"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-46</w:t>
            </w:r>
          </w:p>
        </w:tc>
        <w:tc>
          <w:tcPr>
            <w:tcW w:w="1099"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10</w:t>
            </w:r>
          </w:p>
        </w:tc>
        <w:tc>
          <w:tcPr>
            <w:tcW w:w="701"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-28</w:t>
            </w:r>
          </w:p>
        </w:tc>
        <w:tc>
          <w:tcPr>
            <w:tcW w:w="1430"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-60</w:t>
            </w:r>
          </w:p>
        </w:tc>
        <w:tc>
          <w:tcPr>
            <w:tcW w:w="965"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-54</w:t>
            </w:r>
          </w:p>
        </w:tc>
        <w:tc>
          <w:tcPr>
            <w:tcW w:w="1133" w:type="dxa"/>
            <w:tcBorders>
              <w:top w:val="nil"/>
              <w:left w:val="nil"/>
              <w:bottom w:val="single" w:sz="6" w:space="0" w:color="auto"/>
              <w:right w:val="nil"/>
            </w:tcBorders>
          </w:tcPr>
          <w:p w:rsidR="00A502AA" w:rsidRDefault="00A502AA">
            <w:pPr>
              <w:pStyle w:val="Style23"/>
              <w:widowControl/>
              <w:rPr>
                <w:rStyle w:val="FontStyle45"/>
                <w:lang w:val="el-GR" w:eastAsia="el-GR"/>
              </w:rPr>
            </w:pPr>
            <w:r>
              <w:rPr>
                <w:rStyle w:val="FontStyle45"/>
                <w:lang w:val="el-GR" w:eastAsia="el-GR"/>
              </w:rPr>
              <w:t>0</w:t>
            </w:r>
          </w:p>
        </w:tc>
      </w:tr>
    </w:tbl>
    <w:p w:rsidR="00A502AA" w:rsidRDefault="00A502AA">
      <w:pPr>
        <w:pStyle w:val="Style7"/>
        <w:widowControl/>
        <w:spacing w:before="130" w:line="264" w:lineRule="exact"/>
        <w:rPr>
          <w:rStyle w:val="FontStyle45"/>
          <w:lang w:val="el-GR" w:eastAsia="el-GR"/>
        </w:rPr>
      </w:pPr>
      <w:r>
        <w:rPr>
          <w:rStyle w:val="FontStyle45"/>
          <w:lang w:val="el-GR" w:eastAsia="el-GR"/>
        </w:rPr>
        <w:t xml:space="preserve">Θεραπευτικό αποτέλεσμα στο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είναι εμφανές εντός μίας εβδομάδας από την έναρξη της θεραπείας και το 90% της μέγιστης ανταπόκρισης επιτυγχάνεται σε 2 εβδομάδες. Η μέγιστη ανταπόκριση συνήθως επιτυγχάνεται σε 4 εβδομάδες και διατηρείται με τη συνέχιση της θεραπείας.</w:t>
      </w:r>
    </w:p>
    <w:p w:rsidR="00A502AA" w:rsidRDefault="00A502AA">
      <w:pPr>
        <w:pStyle w:val="Style12"/>
        <w:widowControl/>
        <w:spacing w:before="48"/>
        <w:jc w:val="left"/>
        <w:rPr>
          <w:rStyle w:val="FontStyle44"/>
          <w:lang w:val="el-GR" w:eastAsia="el-GR"/>
        </w:rPr>
      </w:pPr>
      <w:r>
        <w:rPr>
          <w:rStyle w:val="FontStyle44"/>
          <w:lang w:val="el-GR" w:eastAsia="el-GR"/>
        </w:rPr>
        <w:t>Κλινική αποτελεσματικότητα και ασφάλεια</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είναι αποτελεσματικό σε ενήλικες με υπερχοληστερολαιμία, με ή χωρίς υπερτριγλυκεριδαιμία, ανεξάρτητα από εθνικότητα, γένος ή ηλικία και σε ειδικούς πληθυσμούς όπως διαβητικοί, ή ασθενείς με οικογενή υπερχοληστερολαιμία.</w:t>
      </w:r>
    </w:p>
    <w:p w:rsidR="00A502AA" w:rsidRPr="00F7301B" w:rsidRDefault="00A502AA">
      <w:pPr>
        <w:pStyle w:val="Style7"/>
        <w:widowControl/>
        <w:spacing w:before="130" w:line="264" w:lineRule="exact"/>
        <w:rPr>
          <w:rStyle w:val="FontStyle45"/>
          <w:lang w:val="el-GR" w:eastAsia="el-GR"/>
        </w:rPr>
      </w:pPr>
      <w:r>
        <w:rPr>
          <w:rStyle w:val="FontStyle45"/>
          <w:lang w:val="el-GR" w:eastAsia="el-GR"/>
        </w:rPr>
        <w:t xml:space="preserve">Από συγκεντρωτικά στοιχεία μελετών φάσης III το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αποδείχθηκε ότι είναι αποτελεσματική θεραπεία για την πλειοψηφία των ασθενών με υπερχοληστερολαιμία τύπου </w:t>
      </w:r>
      <w:r>
        <w:rPr>
          <w:rStyle w:val="FontStyle45"/>
          <w:lang w:eastAsia="el-GR"/>
        </w:rPr>
        <w:t>IIa</w:t>
      </w:r>
      <w:r w:rsidRPr="00F7301B">
        <w:rPr>
          <w:rStyle w:val="FontStyle45"/>
          <w:lang w:val="el-GR" w:eastAsia="el-GR"/>
        </w:rPr>
        <w:t xml:space="preserve"> </w:t>
      </w:r>
      <w:r>
        <w:rPr>
          <w:rStyle w:val="FontStyle45"/>
          <w:lang w:val="el-GR" w:eastAsia="el-GR"/>
        </w:rPr>
        <w:t xml:space="preserve">και </w:t>
      </w:r>
      <w:r>
        <w:rPr>
          <w:rStyle w:val="FontStyle45"/>
          <w:lang w:eastAsia="el-GR"/>
        </w:rPr>
        <w:t>lib</w:t>
      </w:r>
      <w:r w:rsidRPr="00F7301B">
        <w:rPr>
          <w:rStyle w:val="FontStyle45"/>
          <w:lang w:val="el-GR" w:eastAsia="el-GR"/>
        </w:rPr>
        <w:t xml:space="preserve"> </w:t>
      </w:r>
      <w:r>
        <w:rPr>
          <w:rStyle w:val="FontStyle45"/>
          <w:lang w:val="el-GR" w:eastAsia="el-GR"/>
        </w:rPr>
        <w:t xml:space="preserve">(μέση τιμή </w:t>
      </w:r>
      <w:r>
        <w:rPr>
          <w:rStyle w:val="FontStyle45"/>
          <w:lang w:eastAsia="el-GR"/>
        </w:rPr>
        <w:t>LDL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val="el-GR" w:eastAsia="el-GR"/>
        </w:rPr>
        <w:t xml:space="preserve">κατά την έναρξη της θεραπείας περίπου 4,8 </w:t>
      </w:r>
      <w:r>
        <w:rPr>
          <w:rStyle w:val="FontStyle45"/>
          <w:lang w:eastAsia="el-GR"/>
        </w:rPr>
        <w:t>mmol</w:t>
      </w:r>
      <w:r w:rsidRPr="00F7301B">
        <w:rPr>
          <w:rStyle w:val="FontStyle45"/>
          <w:lang w:val="el-GR" w:eastAsia="el-GR"/>
        </w:rPr>
        <w:t>/</w:t>
      </w:r>
      <w:r>
        <w:rPr>
          <w:rStyle w:val="FontStyle45"/>
          <w:lang w:eastAsia="el-GR"/>
        </w:rPr>
        <w:t>l</w:t>
      </w:r>
      <w:r w:rsidRPr="00F7301B">
        <w:rPr>
          <w:rStyle w:val="FontStyle45"/>
          <w:lang w:val="el-GR" w:eastAsia="el-GR"/>
        </w:rPr>
        <w:t xml:space="preserve">) </w:t>
      </w:r>
      <w:r>
        <w:rPr>
          <w:rStyle w:val="FontStyle45"/>
          <w:lang w:val="el-GR" w:eastAsia="el-GR"/>
        </w:rPr>
        <w:t xml:space="preserve">όσον αφορά τους αναγνωρισμένους στόχους των κατευθυντήριων οδηγιών της </w:t>
      </w:r>
      <w:r>
        <w:rPr>
          <w:rStyle w:val="FontStyle45"/>
          <w:lang w:eastAsia="el-GR"/>
        </w:rPr>
        <w:t>European</w:t>
      </w:r>
      <w:r w:rsidRPr="00F7301B">
        <w:rPr>
          <w:rStyle w:val="FontStyle45"/>
          <w:lang w:val="el-GR" w:eastAsia="el-GR"/>
        </w:rPr>
        <w:t xml:space="preserve"> </w:t>
      </w:r>
      <w:r>
        <w:rPr>
          <w:rStyle w:val="FontStyle45"/>
          <w:lang w:eastAsia="el-GR"/>
        </w:rPr>
        <w:t>Atherosclerosis</w:t>
      </w:r>
      <w:r w:rsidRPr="00F7301B">
        <w:rPr>
          <w:rStyle w:val="FontStyle45"/>
          <w:lang w:val="el-GR" w:eastAsia="el-GR"/>
        </w:rPr>
        <w:t xml:space="preserve"> </w:t>
      </w:r>
      <w:r>
        <w:rPr>
          <w:rStyle w:val="FontStyle45"/>
          <w:lang w:eastAsia="el-GR"/>
        </w:rPr>
        <w:t>Society</w:t>
      </w:r>
      <w:r w:rsidRPr="00F7301B">
        <w:rPr>
          <w:rStyle w:val="FontStyle45"/>
          <w:lang w:val="el-GR" w:eastAsia="el-GR"/>
        </w:rPr>
        <w:t xml:space="preserve"> (</w:t>
      </w:r>
      <w:r>
        <w:rPr>
          <w:rStyle w:val="FontStyle45"/>
          <w:lang w:eastAsia="el-GR"/>
        </w:rPr>
        <w:t>EAS</w:t>
      </w:r>
      <w:r w:rsidRPr="00F7301B">
        <w:rPr>
          <w:rStyle w:val="FontStyle45"/>
          <w:lang w:val="el-GR" w:eastAsia="el-GR"/>
        </w:rPr>
        <w:t xml:space="preserve">, </w:t>
      </w:r>
      <w:r>
        <w:rPr>
          <w:rStyle w:val="FontStyle45"/>
          <w:lang w:val="el-GR" w:eastAsia="el-GR"/>
        </w:rPr>
        <w:t xml:space="preserve">1998). Σε περίπου 80% των ασθενών που έλαβαν 10 </w:t>
      </w:r>
      <w:r>
        <w:rPr>
          <w:rStyle w:val="FontStyle45"/>
          <w:lang w:eastAsia="el-GR"/>
        </w:rPr>
        <w:t>mg</w:t>
      </w:r>
      <w:r w:rsidRPr="00F7301B">
        <w:rPr>
          <w:rStyle w:val="FontStyle45"/>
          <w:lang w:val="el-GR" w:eastAsia="el-GR"/>
        </w:rPr>
        <w:t xml:space="preserve"> </w:t>
      </w:r>
      <w:r>
        <w:rPr>
          <w:rStyle w:val="FontStyle45"/>
          <w:lang w:val="el-GR" w:eastAsia="el-GR"/>
        </w:rPr>
        <w:t xml:space="preserve">επιτεύχθηκαν οι στόχοι της </w:t>
      </w:r>
      <w:r>
        <w:rPr>
          <w:rStyle w:val="FontStyle45"/>
          <w:lang w:eastAsia="el-GR"/>
        </w:rPr>
        <w:t>EAS</w:t>
      </w:r>
      <w:r w:rsidRPr="00F7301B">
        <w:rPr>
          <w:rStyle w:val="FontStyle45"/>
          <w:lang w:val="el-GR" w:eastAsia="el-GR"/>
        </w:rPr>
        <w:t xml:space="preserve"> </w:t>
      </w:r>
      <w:r>
        <w:rPr>
          <w:rStyle w:val="FontStyle45"/>
          <w:lang w:val="el-GR" w:eastAsia="el-GR"/>
        </w:rPr>
        <w:t xml:space="preserve">για τα επίπεδα </w:t>
      </w:r>
      <w:r>
        <w:rPr>
          <w:rStyle w:val="FontStyle45"/>
          <w:lang w:eastAsia="el-GR"/>
        </w:rPr>
        <w:t>LDL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val="el-GR" w:eastAsia="el-GR"/>
        </w:rPr>
        <w:t xml:space="preserve">(&lt;3 </w:t>
      </w:r>
      <w:r>
        <w:rPr>
          <w:rStyle w:val="FontStyle45"/>
          <w:lang w:eastAsia="el-GR"/>
        </w:rPr>
        <w:t>mmol</w:t>
      </w:r>
      <w:r w:rsidRPr="00F7301B">
        <w:rPr>
          <w:rStyle w:val="FontStyle45"/>
          <w:lang w:val="el-GR" w:eastAsia="el-GR"/>
        </w:rPr>
        <w:t>/</w:t>
      </w:r>
      <w:r>
        <w:rPr>
          <w:rStyle w:val="FontStyle45"/>
          <w:lang w:eastAsia="el-GR"/>
        </w:rPr>
        <w:t>l</w:t>
      </w:r>
      <w:r w:rsidRPr="00F7301B">
        <w:rPr>
          <w:rStyle w:val="FontStyle45"/>
          <w:lang w:val="el-GR" w:eastAsia="el-GR"/>
        </w:rPr>
        <w:t>).</w:t>
      </w:r>
    </w:p>
    <w:p w:rsidR="00A502AA" w:rsidRDefault="00A502AA">
      <w:pPr>
        <w:pStyle w:val="Style7"/>
        <w:widowControl/>
        <w:spacing w:before="120" w:line="264" w:lineRule="exact"/>
        <w:rPr>
          <w:rStyle w:val="FontStyle45"/>
          <w:lang w:val="el-GR" w:eastAsia="el-GR"/>
        </w:rPr>
      </w:pPr>
      <w:r>
        <w:rPr>
          <w:rStyle w:val="FontStyle45"/>
          <w:lang w:val="el-GR" w:eastAsia="el-GR"/>
        </w:rPr>
        <w:lastRenderedPageBreak/>
        <w:t xml:space="preserve">Σε μια μεγάλη μελέτη, 435 ασθενείς με ετερόζυγη οικογενή υπερχοληστερολαιμία, έλαβαν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από 20 </w:t>
      </w:r>
      <w:r>
        <w:rPr>
          <w:rStyle w:val="FontStyle45"/>
          <w:lang w:eastAsia="el-GR"/>
        </w:rPr>
        <w:t>mg</w:t>
      </w:r>
      <w:r w:rsidRPr="00F7301B">
        <w:rPr>
          <w:rStyle w:val="FontStyle45"/>
          <w:lang w:val="el-GR" w:eastAsia="el-GR"/>
        </w:rPr>
        <w:t xml:space="preserve"> </w:t>
      </w:r>
      <w:r>
        <w:rPr>
          <w:rStyle w:val="FontStyle45"/>
          <w:lang w:val="el-GR" w:eastAsia="el-GR"/>
        </w:rPr>
        <w:t xml:space="preserve">έως 80 </w:t>
      </w:r>
      <w:r>
        <w:rPr>
          <w:rStyle w:val="FontStyle45"/>
          <w:lang w:eastAsia="el-GR"/>
        </w:rPr>
        <w:t>mg</w:t>
      </w:r>
      <w:r w:rsidRPr="00F7301B">
        <w:rPr>
          <w:rStyle w:val="FontStyle45"/>
          <w:lang w:val="el-GR" w:eastAsia="el-GR"/>
        </w:rPr>
        <w:t xml:space="preserve"> </w:t>
      </w:r>
      <w:r>
        <w:rPr>
          <w:rStyle w:val="FontStyle45"/>
          <w:lang w:val="el-GR" w:eastAsia="el-GR"/>
        </w:rPr>
        <w:t xml:space="preserve">σύμφωνα με ένα σχεδιασμό υποχρεωτικής αύξησης της δόσης. Όλες οι δόσεις παρουσίασαν ευεργετική επίδραση στις λιπιδικές παραμέτρους και στους στόχους της θεραπείας. Μετά τη ρύθμιση σε ημερήσια δόση 40 </w:t>
      </w:r>
      <w:r>
        <w:rPr>
          <w:rStyle w:val="FontStyle45"/>
          <w:lang w:eastAsia="el-GR"/>
        </w:rPr>
        <w:t>mg</w:t>
      </w:r>
      <w:r w:rsidRPr="00F7301B">
        <w:rPr>
          <w:rStyle w:val="FontStyle45"/>
          <w:lang w:val="el-GR" w:eastAsia="el-GR"/>
        </w:rPr>
        <w:t xml:space="preserve"> </w:t>
      </w:r>
      <w:r>
        <w:rPr>
          <w:rStyle w:val="FontStyle45"/>
          <w:lang w:val="el-GR" w:eastAsia="el-GR"/>
        </w:rPr>
        <w:t xml:space="preserve">(διάστημα θεραπείας 12 εβδομάδων) η </w:t>
      </w:r>
      <w:r>
        <w:rPr>
          <w:rStyle w:val="FontStyle45"/>
          <w:lang w:eastAsia="el-GR"/>
        </w:rPr>
        <w:t>LDL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val="el-GR" w:eastAsia="el-GR"/>
        </w:rPr>
        <w:t xml:space="preserve">μειώθηκε κατά 53%. Σε 33% των ασθενών επιτεύχθηκαν οι στόχοι της </w:t>
      </w:r>
      <w:r>
        <w:rPr>
          <w:rStyle w:val="FontStyle45"/>
          <w:lang w:eastAsia="el-GR"/>
        </w:rPr>
        <w:t>EAS</w:t>
      </w:r>
      <w:r w:rsidRPr="00F7301B">
        <w:rPr>
          <w:rStyle w:val="FontStyle45"/>
          <w:lang w:val="el-GR" w:eastAsia="el-GR"/>
        </w:rPr>
        <w:t xml:space="preserve"> </w:t>
      </w:r>
      <w:r>
        <w:rPr>
          <w:rStyle w:val="FontStyle45"/>
          <w:lang w:val="el-GR" w:eastAsia="el-GR"/>
        </w:rPr>
        <w:t>για τα επίπεδα</w:t>
      </w:r>
    </w:p>
    <w:p w:rsidR="00A502AA" w:rsidRPr="00F7301B" w:rsidRDefault="00A502AA">
      <w:pPr>
        <w:pStyle w:val="Style7"/>
        <w:widowControl/>
        <w:spacing w:line="240" w:lineRule="auto"/>
        <w:jc w:val="left"/>
        <w:rPr>
          <w:rStyle w:val="FontStyle45"/>
          <w:lang w:val="el-GR"/>
        </w:rPr>
      </w:pPr>
      <w:r>
        <w:rPr>
          <w:rStyle w:val="FontStyle45"/>
        </w:rPr>
        <w:t>LDL</w:t>
      </w:r>
      <w:r w:rsidRPr="00F7301B">
        <w:rPr>
          <w:rStyle w:val="FontStyle45"/>
          <w:lang w:val="el-GR"/>
        </w:rPr>
        <w:t>-</w:t>
      </w:r>
      <w:r>
        <w:rPr>
          <w:rStyle w:val="FontStyle45"/>
        </w:rPr>
        <w:t>C</w:t>
      </w:r>
      <w:r w:rsidRPr="00F7301B">
        <w:rPr>
          <w:rStyle w:val="FontStyle45"/>
          <w:lang w:val="el-GR"/>
        </w:rPr>
        <w:t xml:space="preserve"> </w:t>
      </w:r>
      <w:r>
        <w:rPr>
          <w:rStyle w:val="FontStyle45"/>
          <w:lang w:val="el-GR"/>
        </w:rPr>
        <w:t xml:space="preserve">(&lt;3 </w:t>
      </w:r>
      <w:r>
        <w:rPr>
          <w:rStyle w:val="FontStyle45"/>
        </w:rPr>
        <w:t>mmol</w:t>
      </w:r>
      <w:r w:rsidRPr="00F7301B">
        <w:rPr>
          <w:rStyle w:val="FontStyle45"/>
          <w:lang w:val="el-GR"/>
        </w:rPr>
        <w:t>/</w:t>
      </w:r>
      <w:r>
        <w:rPr>
          <w:rStyle w:val="FontStyle45"/>
        </w:rPr>
        <w:t>l</w:t>
      </w:r>
      <w:r w:rsidRPr="00F7301B">
        <w:rPr>
          <w:rStyle w:val="FontStyle45"/>
          <w:lang w:val="el-GR"/>
        </w:rPr>
        <w:t>).</w:t>
      </w:r>
    </w:p>
    <w:p w:rsidR="00A502AA" w:rsidRDefault="00A502AA">
      <w:pPr>
        <w:pStyle w:val="Style7"/>
        <w:widowControl/>
        <w:spacing w:before="110" w:line="264" w:lineRule="exact"/>
        <w:rPr>
          <w:rStyle w:val="FontStyle45"/>
          <w:lang w:val="el-GR" w:eastAsia="el-GR"/>
        </w:rPr>
      </w:pPr>
      <w:r>
        <w:rPr>
          <w:rStyle w:val="FontStyle45"/>
          <w:lang w:val="el-GR" w:eastAsia="el-GR"/>
        </w:rPr>
        <w:t xml:space="preserve">Σε μία ανοιχτή μελέτη υποχρεωτικής τιτλοποίησης, 42 ασθενείς με ομόζυγη οικογενή υπερχοληστερολαιμία, αξιολογήθηκαν για την ανταπόκρισή τους σε δόσεις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20 - 40 </w:t>
      </w:r>
      <w:r>
        <w:rPr>
          <w:rStyle w:val="FontStyle45"/>
          <w:lang w:eastAsia="el-GR"/>
        </w:rPr>
        <w:t>mg</w:t>
      </w:r>
      <w:r w:rsidRPr="00F7301B">
        <w:rPr>
          <w:rStyle w:val="FontStyle45"/>
          <w:lang w:val="el-GR" w:eastAsia="el-GR"/>
        </w:rPr>
        <w:t xml:space="preserve">. </w:t>
      </w:r>
      <w:r>
        <w:rPr>
          <w:rStyle w:val="FontStyle45"/>
          <w:lang w:val="el-GR" w:eastAsia="el-GR"/>
        </w:rPr>
        <w:t xml:space="preserve">Στο σύνολο του πληθυσμού, η μέση ελάττωση της </w:t>
      </w:r>
      <w:r>
        <w:rPr>
          <w:rStyle w:val="FontStyle45"/>
          <w:lang w:eastAsia="el-GR"/>
        </w:rPr>
        <w:t>LDL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val="el-GR" w:eastAsia="el-GR"/>
        </w:rPr>
        <w:t>ήταν 22%.</w:t>
      </w:r>
    </w:p>
    <w:p w:rsidR="00A502AA" w:rsidRDefault="00A502AA">
      <w:pPr>
        <w:pStyle w:val="Style7"/>
        <w:widowControl/>
        <w:spacing w:before="110" w:line="264" w:lineRule="exact"/>
        <w:rPr>
          <w:rStyle w:val="FontStyle45"/>
          <w:lang w:val="el-GR" w:eastAsia="el-GR"/>
        </w:rPr>
      </w:pPr>
      <w:r>
        <w:rPr>
          <w:rStyle w:val="FontStyle45"/>
          <w:lang w:val="el-GR" w:eastAsia="el-GR"/>
        </w:rPr>
        <w:t xml:space="preserve">Σε κλινικές μελέτες με περιορισμένο αριθμό ασθενών, </w:t>
      </w:r>
      <w:r w:rsidR="001A1046">
        <w:rPr>
          <w:rStyle w:val="FontStyle45"/>
          <w:lang w:val="el-GR" w:eastAsia="el-GR"/>
        </w:rPr>
        <w:t xml:space="preserve">η </w:t>
      </w:r>
      <w:r w:rsidR="001A1046">
        <w:rPr>
          <w:rStyle w:val="FontStyle45"/>
          <w:lang w:eastAsia="el-GR"/>
        </w:rPr>
        <w:t>Rosuvastatin</w:t>
      </w:r>
      <w:r w:rsidR="00F7301B" w:rsidRPr="00F7301B">
        <w:rPr>
          <w:rStyle w:val="FontStyle45"/>
          <w:lang w:val="el-GR" w:eastAsia="el-GR"/>
        </w:rPr>
        <w:t xml:space="preserve"> </w:t>
      </w:r>
      <w:r w:rsidRPr="00F7301B">
        <w:rPr>
          <w:rStyle w:val="FontStyle45"/>
          <w:lang w:val="el-GR" w:eastAsia="el-GR"/>
        </w:rPr>
        <w:t xml:space="preserve"> </w:t>
      </w:r>
      <w:r>
        <w:rPr>
          <w:rStyle w:val="FontStyle45"/>
          <w:lang w:val="el-GR" w:eastAsia="el-GR"/>
        </w:rPr>
        <w:t xml:space="preserve">έχει αποδειχθεί ότι έχει πρόσθετη αποτελεσματικότητα στην ελάττωση των τριγλυκεριδίων, όταν συγχορηγείται με φαινοφιμπράτη και στην αύξηση των επιπέδων </w:t>
      </w:r>
      <w:r>
        <w:rPr>
          <w:rStyle w:val="FontStyle45"/>
          <w:lang w:eastAsia="el-GR"/>
        </w:rPr>
        <w:t>HDL</w:t>
      </w:r>
      <w:r w:rsidRPr="00F7301B">
        <w:rPr>
          <w:rStyle w:val="FontStyle45"/>
          <w:lang w:val="el-GR" w:eastAsia="el-GR"/>
        </w:rPr>
        <w:t>-</w:t>
      </w:r>
      <w:r>
        <w:rPr>
          <w:rStyle w:val="FontStyle45"/>
          <w:lang w:val="el-GR" w:eastAsia="el-GR"/>
        </w:rPr>
        <w:t>χοληστερόλης, όταν χορηγείται ταυτόχρονα με νιασίνη (βλ. Παράγραφο 4.4).</w:t>
      </w:r>
    </w:p>
    <w:p w:rsidR="00A502AA" w:rsidRDefault="00A502AA">
      <w:pPr>
        <w:pStyle w:val="Style7"/>
        <w:widowControl/>
        <w:spacing w:before="120" w:line="264" w:lineRule="exact"/>
        <w:rPr>
          <w:rStyle w:val="FontStyle45"/>
          <w:lang w:val="el-GR" w:eastAsia="el-GR"/>
        </w:rPr>
      </w:pPr>
      <w:r>
        <w:rPr>
          <w:rStyle w:val="FontStyle45"/>
          <w:lang w:val="el-GR" w:eastAsia="el-GR"/>
        </w:rPr>
        <w:t xml:space="preserve">Σε μία πολυκεντρική, διπλά τυφλή, ελεγχόμενη με εικονικό φάρμακο κλινική μελέτη </w:t>
      </w:r>
      <w:r w:rsidRPr="00F7301B">
        <w:rPr>
          <w:rStyle w:val="FontStyle45"/>
          <w:lang w:val="el-GR" w:eastAsia="el-GR"/>
        </w:rPr>
        <w:t>(</w:t>
      </w:r>
      <w:r>
        <w:rPr>
          <w:rStyle w:val="FontStyle45"/>
          <w:lang w:eastAsia="el-GR"/>
        </w:rPr>
        <w:t>METEOR</w:t>
      </w:r>
      <w:r w:rsidRPr="00F7301B">
        <w:rPr>
          <w:rStyle w:val="FontStyle45"/>
          <w:lang w:val="el-GR" w:eastAsia="el-GR"/>
        </w:rPr>
        <w:t xml:space="preserve">), </w:t>
      </w:r>
      <w:r>
        <w:rPr>
          <w:rStyle w:val="FontStyle45"/>
          <w:lang w:val="el-GR" w:eastAsia="el-GR"/>
        </w:rPr>
        <w:t xml:space="preserve">984 ασθενείς ηλικίας 45 έως 70 ετών και με χαμηλό κίνδυνο για στεφανιαία νόσο (οριζόμενος ως 10-ετής κίνδυνος κατά </w:t>
      </w:r>
      <w:r>
        <w:rPr>
          <w:rStyle w:val="FontStyle45"/>
          <w:lang w:eastAsia="el-GR"/>
        </w:rPr>
        <w:t>Framingham</w:t>
      </w:r>
      <w:r w:rsidRPr="00F7301B">
        <w:rPr>
          <w:rStyle w:val="FontStyle45"/>
          <w:lang w:val="el-GR" w:eastAsia="el-GR"/>
        </w:rPr>
        <w:t xml:space="preserve"> </w:t>
      </w:r>
      <w:r>
        <w:rPr>
          <w:rStyle w:val="FontStyle45"/>
          <w:lang w:val="el-GR" w:eastAsia="el-GR"/>
        </w:rPr>
        <w:t xml:space="preserve">&lt; 10%), με μέση τιμή </w:t>
      </w:r>
      <w:r>
        <w:rPr>
          <w:rStyle w:val="FontStyle45"/>
          <w:lang w:eastAsia="el-GR"/>
        </w:rPr>
        <w:t>LDL</w:t>
      </w:r>
      <w:r>
        <w:rPr>
          <w:rStyle w:val="FontStyle45"/>
          <w:lang w:val="el-GR" w:eastAsia="el-GR"/>
        </w:rPr>
        <w:t xml:space="preserve">-χοληστερόλης 4,0 </w:t>
      </w:r>
      <w:r>
        <w:rPr>
          <w:rStyle w:val="FontStyle45"/>
          <w:lang w:eastAsia="el-GR"/>
        </w:rPr>
        <w:t>mmol</w:t>
      </w:r>
      <w:r w:rsidRPr="00F7301B">
        <w:rPr>
          <w:rStyle w:val="FontStyle45"/>
          <w:lang w:val="el-GR" w:eastAsia="el-GR"/>
        </w:rPr>
        <w:t>/</w:t>
      </w:r>
      <w:r>
        <w:rPr>
          <w:rStyle w:val="FontStyle45"/>
          <w:lang w:eastAsia="el-GR"/>
        </w:rPr>
        <w:t>L</w:t>
      </w:r>
      <w:r w:rsidRPr="00F7301B">
        <w:rPr>
          <w:rStyle w:val="FontStyle45"/>
          <w:lang w:val="el-GR" w:eastAsia="el-GR"/>
        </w:rPr>
        <w:t xml:space="preserve"> </w:t>
      </w:r>
      <w:r>
        <w:rPr>
          <w:rStyle w:val="FontStyle45"/>
          <w:lang w:val="el-GR" w:eastAsia="el-GR"/>
        </w:rPr>
        <w:t xml:space="preserve">(154,5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αλλά με υποκλινική αθηροσκλήρωση (εντοπιζόμενη από το πάχος του έσω μέσου χιτώνα της καρωτίδος </w:t>
      </w:r>
      <w:r>
        <w:rPr>
          <w:rStyle w:val="FontStyle45"/>
          <w:lang w:eastAsia="el-GR"/>
        </w:rPr>
        <w:t>CIMT</w:t>
      </w:r>
      <w:r w:rsidRPr="00F7301B">
        <w:rPr>
          <w:rStyle w:val="FontStyle45"/>
          <w:lang w:val="el-GR" w:eastAsia="el-GR"/>
        </w:rPr>
        <w:t xml:space="preserve">), </w:t>
      </w:r>
      <w:r>
        <w:rPr>
          <w:rStyle w:val="FontStyle45"/>
          <w:lang w:val="el-GR" w:eastAsia="el-GR"/>
        </w:rPr>
        <w:t xml:space="preserve">τυχαιοποιήθηκαν σε 40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εφάπαξ ημερησίως ή σε εικονικό φάρμακο για 2 έτη. Η ροσουβαστατίνη ελάττωσε σημαντικά το ρυθμό εξέλιξης του μέγιστου </w:t>
      </w:r>
      <w:r>
        <w:rPr>
          <w:rStyle w:val="FontStyle45"/>
          <w:lang w:eastAsia="el-GR"/>
        </w:rPr>
        <w:t>CIMT</w:t>
      </w:r>
      <w:r w:rsidRPr="00F7301B">
        <w:rPr>
          <w:rStyle w:val="FontStyle45"/>
          <w:lang w:val="el-GR" w:eastAsia="el-GR"/>
        </w:rPr>
        <w:t xml:space="preserve"> </w:t>
      </w:r>
      <w:r>
        <w:rPr>
          <w:rStyle w:val="FontStyle45"/>
          <w:lang w:val="el-GR" w:eastAsia="el-GR"/>
        </w:rPr>
        <w:t xml:space="preserve">για τα 12 σημεία της καρωτίδας συγκριτικά με το εικονικό φάρμακο κατά -0,0145 </w:t>
      </w:r>
      <w:r>
        <w:rPr>
          <w:rStyle w:val="FontStyle45"/>
          <w:lang w:eastAsia="el-GR"/>
        </w:rPr>
        <w:t>mm</w:t>
      </w:r>
      <w:r w:rsidRPr="00F7301B">
        <w:rPr>
          <w:rStyle w:val="FontStyle45"/>
          <w:lang w:val="el-GR" w:eastAsia="el-GR"/>
        </w:rPr>
        <w:t xml:space="preserve"> </w:t>
      </w:r>
      <w:r>
        <w:rPr>
          <w:rStyle w:val="FontStyle45"/>
          <w:lang w:val="el-GR" w:eastAsia="el-GR"/>
        </w:rPr>
        <w:t xml:space="preserve">/ έτος [95% διάστημα εμπιστοσύνης -0,0196, -0,0093, </w:t>
      </w:r>
      <w:r>
        <w:rPr>
          <w:rStyle w:val="FontStyle45"/>
          <w:lang w:eastAsia="el-GR"/>
        </w:rPr>
        <w:t>p</w:t>
      </w:r>
      <w:r w:rsidRPr="00F7301B">
        <w:rPr>
          <w:rStyle w:val="FontStyle45"/>
          <w:lang w:val="el-GR" w:eastAsia="el-GR"/>
        </w:rPr>
        <w:t xml:space="preserve">&lt; </w:t>
      </w:r>
      <w:r>
        <w:rPr>
          <w:rStyle w:val="FontStyle45"/>
          <w:lang w:val="el-GR" w:eastAsia="el-GR"/>
        </w:rPr>
        <w:t xml:space="preserve">0,0001]. Η αλλαγή από την γραμμή εκκίνησης ήταν </w:t>
      </w:r>
      <w:r w:rsidRPr="00F7301B">
        <w:rPr>
          <w:rStyle w:val="FontStyle45"/>
          <w:lang w:val="el-GR" w:eastAsia="el-GR"/>
        </w:rPr>
        <w:t>-0,0014</w:t>
      </w:r>
      <w:r>
        <w:rPr>
          <w:rStyle w:val="FontStyle45"/>
          <w:lang w:eastAsia="el-GR"/>
        </w:rPr>
        <w:t>mm</w:t>
      </w:r>
      <w:r w:rsidRPr="00F7301B">
        <w:rPr>
          <w:rStyle w:val="FontStyle45"/>
          <w:lang w:val="el-GR" w:eastAsia="el-GR"/>
        </w:rPr>
        <w:t xml:space="preserve"> </w:t>
      </w:r>
      <w:r>
        <w:rPr>
          <w:rStyle w:val="FontStyle45"/>
          <w:lang w:val="el-GR" w:eastAsia="el-GR"/>
        </w:rPr>
        <w:t xml:space="preserve">/ έτος (-0,12%/έτος (μη σημαντική)) για την ροσουβαστατίνη συγκριτικά με μία πρόοδο </w:t>
      </w:r>
      <w:r w:rsidRPr="00F7301B">
        <w:rPr>
          <w:rStyle w:val="FontStyle45"/>
          <w:lang w:val="el-GR" w:eastAsia="el-GR"/>
        </w:rPr>
        <w:t>+0,0131</w:t>
      </w:r>
      <w:r>
        <w:rPr>
          <w:rStyle w:val="FontStyle45"/>
          <w:lang w:eastAsia="el-GR"/>
        </w:rPr>
        <w:t>mm</w:t>
      </w:r>
      <w:r w:rsidRPr="00F7301B">
        <w:rPr>
          <w:rStyle w:val="FontStyle45"/>
          <w:lang w:val="el-GR" w:eastAsia="el-GR"/>
        </w:rPr>
        <w:t xml:space="preserve"> </w:t>
      </w:r>
      <w:r>
        <w:rPr>
          <w:rStyle w:val="FontStyle45"/>
          <w:lang w:val="el-GR" w:eastAsia="el-GR"/>
        </w:rPr>
        <w:t xml:space="preserve">/ έτος (1,12% / έτος </w:t>
      </w:r>
      <w:r w:rsidRPr="00F7301B">
        <w:rPr>
          <w:rStyle w:val="FontStyle45"/>
          <w:lang w:val="el-GR" w:eastAsia="el-GR"/>
        </w:rPr>
        <w:t>(</w:t>
      </w:r>
      <w:r>
        <w:rPr>
          <w:rStyle w:val="FontStyle45"/>
          <w:lang w:eastAsia="el-GR"/>
        </w:rPr>
        <w:t>p</w:t>
      </w:r>
      <w:r w:rsidRPr="00F7301B">
        <w:rPr>
          <w:rStyle w:val="FontStyle45"/>
          <w:lang w:val="el-GR" w:eastAsia="el-GR"/>
        </w:rPr>
        <w:t xml:space="preserve">&lt;0,0001)) </w:t>
      </w:r>
      <w:r>
        <w:rPr>
          <w:rStyle w:val="FontStyle45"/>
          <w:lang w:val="el-GR" w:eastAsia="el-GR"/>
        </w:rPr>
        <w:t xml:space="preserve">για την ομάδα του εικονικού φαρμάκου. Δεν έχει καταδειχθεί άμεση συσχέτιση ανάμεσα στη μείωση του </w:t>
      </w:r>
      <w:r>
        <w:rPr>
          <w:rStyle w:val="FontStyle45"/>
          <w:lang w:eastAsia="el-GR"/>
        </w:rPr>
        <w:t>CIMT</w:t>
      </w:r>
      <w:r w:rsidRPr="00F7301B">
        <w:rPr>
          <w:rStyle w:val="FontStyle45"/>
          <w:lang w:val="el-GR" w:eastAsia="el-GR"/>
        </w:rPr>
        <w:t xml:space="preserve"> </w:t>
      </w:r>
      <w:r>
        <w:rPr>
          <w:rStyle w:val="FontStyle45"/>
          <w:lang w:val="el-GR" w:eastAsia="el-GR"/>
        </w:rPr>
        <w:t xml:space="preserve">και στη μείωση του κινδύνου για καρδιοαγγειακά επεισόδια. Ο πληθυσμός που μελετήθηκε στην </w:t>
      </w:r>
      <w:r>
        <w:rPr>
          <w:rStyle w:val="FontStyle45"/>
          <w:lang w:eastAsia="el-GR"/>
        </w:rPr>
        <w:t>METEOR</w:t>
      </w:r>
      <w:r w:rsidRPr="00F7301B">
        <w:rPr>
          <w:rStyle w:val="FontStyle45"/>
          <w:lang w:val="el-GR" w:eastAsia="el-GR"/>
        </w:rPr>
        <w:t xml:space="preserve"> </w:t>
      </w:r>
      <w:r>
        <w:rPr>
          <w:rStyle w:val="FontStyle45"/>
          <w:lang w:val="el-GR" w:eastAsia="el-GR"/>
        </w:rPr>
        <w:t xml:space="preserve">είναι χαμηλού κινδύνου για στεφανιαία καρδιακή νόσο και δεν εκπροσωπεί τον πληθυσμό στόχο </w:t>
      </w:r>
      <w:r w:rsidR="001A1046">
        <w:rPr>
          <w:rStyle w:val="FontStyle45"/>
          <w:lang w:val="el-GR" w:eastAsia="el-GR"/>
        </w:rPr>
        <w:t xml:space="preserve">της </w:t>
      </w:r>
      <w:r w:rsidR="001A1046">
        <w:rPr>
          <w:rStyle w:val="FontStyle45"/>
          <w:lang w:eastAsia="el-GR"/>
        </w:rPr>
        <w:t>Rosuvastatin</w:t>
      </w:r>
      <w:r w:rsidR="001A1046" w:rsidRPr="001A1046">
        <w:rPr>
          <w:rStyle w:val="FontStyle45"/>
          <w:lang w:val="el-GR" w:eastAsia="el-GR"/>
        </w:rPr>
        <w:t xml:space="preserve"> </w:t>
      </w:r>
      <w:r w:rsidR="001A1046">
        <w:rPr>
          <w:rStyle w:val="FontStyle45"/>
          <w:lang w:val="el-GR" w:eastAsia="el-GR"/>
        </w:rPr>
        <w:t>των</w:t>
      </w:r>
      <w:r w:rsidRPr="00F7301B">
        <w:rPr>
          <w:rStyle w:val="FontStyle45"/>
          <w:lang w:val="el-GR" w:eastAsia="el-GR"/>
        </w:rPr>
        <w:t xml:space="preserve"> 40</w:t>
      </w:r>
      <w:r>
        <w:rPr>
          <w:rStyle w:val="FontStyle45"/>
          <w:lang w:eastAsia="el-GR"/>
        </w:rPr>
        <w:t>mg</w:t>
      </w:r>
      <w:r w:rsidRPr="00F7301B">
        <w:rPr>
          <w:rStyle w:val="FontStyle45"/>
          <w:lang w:val="el-GR" w:eastAsia="el-GR"/>
        </w:rPr>
        <w:t xml:space="preserve">. </w:t>
      </w:r>
      <w:r>
        <w:rPr>
          <w:rStyle w:val="FontStyle45"/>
          <w:lang w:val="el-GR" w:eastAsia="el-GR"/>
        </w:rPr>
        <w:t xml:space="preserve">Η δόση των </w:t>
      </w:r>
      <w:r w:rsidRPr="00F7301B">
        <w:rPr>
          <w:rStyle w:val="FontStyle45"/>
          <w:lang w:val="el-GR" w:eastAsia="el-GR"/>
        </w:rPr>
        <w:t>40</w:t>
      </w:r>
      <w:r>
        <w:rPr>
          <w:rStyle w:val="FontStyle45"/>
          <w:lang w:eastAsia="el-GR"/>
        </w:rPr>
        <w:t>mg</w:t>
      </w:r>
      <w:r w:rsidRPr="00F7301B">
        <w:rPr>
          <w:rStyle w:val="FontStyle45"/>
          <w:lang w:val="el-GR" w:eastAsia="el-GR"/>
        </w:rPr>
        <w:t xml:space="preserve"> </w:t>
      </w:r>
      <w:r>
        <w:rPr>
          <w:rStyle w:val="FontStyle45"/>
          <w:lang w:val="el-GR" w:eastAsia="el-GR"/>
        </w:rPr>
        <w:t>πρέπει να συνταγογραφείται μόνο σε ασθενείς με σοβαρή υπερχοληστερολαιμία με υψηλό καρδιαγγειακό κίνδυνο (βλέπε παράγραφο 4.2).</w:t>
      </w:r>
    </w:p>
    <w:p w:rsidR="00A502AA" w:rsidRDefault="00A502AA">
      <w:pPr>
        <w:pStyle w:val="Style7"/>
        <w:widowControl/>
        <w:spacing w:before="115" w:line="269" w:lineRule="exact"/>
        <w:rPr>
          <w:rStyle w:val="FontStyle45"/>
          <w:lang w:val="el-GR" w:eastAsia="el-GR"/>
        </w:rPr>
      </w:pPr>
      <w:r>
        <w:rPr>
          <w:rStyle w:val="FontStyle45"/>
          <w:lang w:val="el-GR" w:eastAsia="el-GR"/>
        </w:rPr>
        <w:t xml:space="preserve">Στη μελέτη </w:t>
      </w:r>
      <w:r>
        <w:rPr>
          <w:rStyle w:val="FontStyle45"/>
          <w:lang w:eastAsia="el-GR"/>
        </w:rPr>
        <w:t>JUPITER</w:t>
      </w:r>
      <w:r w:rsidRPr="00F7301B">
        <w:rPr>
          <w:rStyle w:val="FontStyle45"/>
          <w:lang w:val="el-GR" w:eastAsia="el-GR"/>
        </w:rPr>
        <w:t xml:space="preserve"> (</w:t>
      </w:r>
      <w:r>
        <w:rPr>
          <w:rStyle w:val="FontStyle45"/>
          <w:lang w:eastAsia="el-GR"/>
        </w:rPr>
        <w:t>Justification</w:t>
      </w:r>
      <w:r w:rsidRPr="00F7301B">
        <w:rPr>
          <w:rStyle w:val="FontStyle45"/>
          <w:lang w:val="el-GR" w:eastAsia="el-GR"/>
        </w:rPr>
        <w:t xml:space="preserve"> </w:t>
      </w:r>
      <w:r>
        <w:rPr>
          <w:rStyle w:val="FontStyle45"/>
          <w:lang w:eastAsia="el-GR"/>
        </w:rPr>
        <w:t>for</w:t>
      </w:r>
      <w:r w:rsidRPr="00F7301B">
        <w:rPr>
          <w:rStyle w:val="FontStyle45"/>
          <w:lang w:val="el-GR" w:eastAsia="el-GR"/>
        </w:rPr>
        <w:t xml:space="preserve"> </w:t>
      </w:r>
      <w:r>
        <w:rPr>
          <w:rStyle w:val="FontStyle45"/>
          <w:lang w:eastAsia="el-GR"/>
        </w:rPr>
        <w:t>the</w:t>
      </w:r>
      <w:r w:rsidRPr="00F7301B">
        <w:rPr>
          <w:rStyle w:val="FontStyle45"/>
          <w:lang w:val="el-GR" w:eastAsia="el-GR"/>
        </w:rPr>
        <w:t xml:space="preserve"> </w:t>
      </w:r>
      <w:r>
        <w:rPr>
          <w:rStyle w:val="FontStyle45"/>
          <w:lang w:eastAsia="el-GR"/>
        </w:rPr>
        <w:t>Use</w:t>
      </w:r>
      <w:r w:rsidRPr="00F7301B">
        <w:rPr>
          <w:rStyle w:val="FontStyle45"/>
          <w:lang w:val="el-GR" w:eastAsia="el-GR"/>
        </w:rPr>
        <w:t xml:space="preserve"> </w:t>
      </w:r>
      <w:r>
        <w:rPr>
          <w:rStyle w:val="FontStyle45"/>
          <w:lang w:eastAsia="el-GR"/>
        </w:rPr>
        <w:t>of</w:t>
      </w:r>
      <w:r w:rsidRPr="00F7301B">
        <w:rPr>
          <w:rStyle w:val="FontStyle45"/>
          <w:lang w:val="el-GR" w:eastAsia="el-GR"/>
        </w:rPr>
        <w:t xml:space="preserve"> </w:t>
      </w:r>
      <w:r>
        <w:rPr>
          <w:rStyle w:val="FontStyle45"/>
          <w:lang w:eastAsia="el-GR"/>
        </w:rPr>
        <w:t>Statins</w:t>
      </w:r>
      <w:r w:rsidRPr="00F7301B">
        <w:rPr>
          <w:rStyle w:val="FontStyle45"/>
          <w:lang w:val="el-GR" w:eastAsia="el-GR"/>
        </w:rPr>
        <w:t xml:space="preserve"> </w:t>
      </w:r>
      <w:r>
        <w:rPr>
          <w:rStyle w:val="FontStyle45"/>
          <w:lang w:eastAsia="el-GR"/>
        </w:rPr>
        <w:t>in</w:t>
      </w:r>
      <w:r w:rsidRPr="00F7301B">
        <w:rPr>
          <w:rStyle w:val="FontStyle45"/>
          <w:lang w:val="el-GR" w:eastAsia="el-GR"/>
        </w:rPr>
        <w:t xml:space="preserve"> </w:t>
      </w:r>
      <w:r>
        <w:rPr>
          <w:rStyle w:val="FontStyle45"/>
          <w:lang w:eastAsia="el-GR"/>
        </w:rPr>
        <w:t>Primary</w:t>
      </w:r>
      <w:r w:rsidRPr="00F7301B">
        <w:rPr>
          <w:rStyle w:val="FontStyle45"/>
          <w:lang w:val="el-GR" w:eastAsia="el-GR"/>
        </w:rPr>
        <w:t xml:space="preserve"> </w:t>
      </w:r>
      <w:r>
        <w:rPr>
          <w:rStyle w:val="FontStyle45"/>
          <w:lang w:eastAsia="el-GR"/>
        </w:rPr>
        <w:t>Prevention</w:t>
      </w:r>
      <w:r w:rsidRPr="00F7301B">
        <w:rPr>
          <w:rStyle w:val="FontStyle45"/>
          <w:lang w:val="el-GR" w:eastAsia="el-GR"/>
        </w:rPr>
        <w:t xml:space="preserve">: </w:t>
      </w:r>
      <w:r>
        <w:rPr>
          <w:rStyle w:val="FontStyle45"/>
          <w:lang w:eastAsia="el-GR"/>
        </w:rPr>
        <w:t>An</w:t>
      </w:r>
      <w:r w:rsidRPr="00F7301B">
        <w:rPr>
          <w:rStyle w:val="FontStyle45"/>
          <w:lang w:val="el-GR" w:eastAsia="el-GR"/>
        </w:rPr>
        <w:t xml:space="preserve"> </w:t>
      </w:r>
      <w:r>
        <w:rPr>
          <w:rStyle w:val="FontStyle45"/>
          <w:lang w:eastAsia="el-GR"/>
        </w:rPr>
        <w:t>Intervention</w:t>
      </w:r>
      <w:r w:rsidRPr="00F7301B">
        <w:rPr>
          <w:rStyle w:val="FontStyle45"/>
          <w:lang w:val="el-GR" w:eastAsia="el-GR"/>
        </w:rPr>
        <w:t xml:space="preserve"> </w:t>
      </w:r>
      <w:r>
        <w:rPr>
          <w:rStyle w:val="FontStyle45"/>
          <w:lang w:eastAsia="el-GR"/>
        </w:rPr>
        <w:t>Trial</w:t>
      </w:r>
      <w:r w:rsidRPr="00F7301B">
        <w:rPr>
          <w:rStyle w:val="FontStyle45"/>
          <w:lang w:val="el-GR" w:eastAsia="el-GR"/>
        </w:rPr>
        <w:t xml:space="preserve"> </w:t>
      </w:r>
      <w:r>
        <w:rPr>
          <w:rStyle w:val="FontStyle45"/>
          <w:lang w:eastAsia="el-GR"/>
        </w:rPr>
        <w:t>Evaluating</w:t>
      </w:r>
      <w:r w:rsidRPr="00F7301B">
        <w:rPr>
          <w:rStyle w:val="FontStyle45"/>
          <w:lang w:val="el-GR" w:eastAsia="el-GR"/>
        </w:rPr>
        <w:t xml:space="preserve"> </w:t>
      </w:r>
      <w:r>
        <w:rPr>
          <w:rStyle w:val="FontStyle45"/>
          <w:lang w:eastAsia="el-GR"/>
        </w:rPr>
        <w:t>Rosuvastatin</w:t>
      </w:r>
      <w:r w:rsidRPr="00F7301B">
        <w:rPr>
          <w:rStyle w:val="FontStyle45"/>
          <w:lang w:val="el-GR" w:eastAsia="el-GR"/>
        </w:rPr>
        <w:t xml:space="preserve">), </w:t>
      </w:r>
      <w:r>
        <w:rPr>
          <w:rStyle w:val="FontStyle45"/>
          <w:lang w:val="el-GR" w:eastAsia="el-GR"/>
        </w:rPr>
        <w:t>η επίδραση της ροσουβαστατίνης στην εμφάνιση των σοβαρών καρδιαγγειακών συμβαμάτων αρτηριοσκληρωτικής νόσου προσδιορίστηκε σε 17.802 άντρες (&gt;50 ετών) και γυναίκες (&gt;60 ετών).</w:t>
      </w:r>
    </w:p>
    <w:p w:rsidR="00A502AA" w:rsidRDefault="00A502AA">
      <w:pPr>
        <w:pStyle w:val="Style7"/>
        <w:widowControl/>
        <w:spacing w:before="48" w:line="269" w:lineRule="exact"/>
        <w:rPr>
          <w:rStyle w:val="FontStyle45"/>
          <w:lang w:val="el-GR" w:eastAsia="el-GR"/>
        </w:rPr>
      </w:pPr>
      <w:r>
        <w:rPr>
          <w:rStyle w:val="FontStyle45"/>
          <w:lang w:val="el-GR" w:eastAsia="el-GR"/>
        </w:rPr>
        <w:t xml:space="preserve">Οι συμμετέχοντες στη μελέτη επιλέχθηκαν τυχαία για το εικονικό φάρμακο </w:t>
      </w:r>
      <w:r w:rsidRPr="00F7301B">
        <w:rPr>
          <w:rStyle w:val="FontStyle45"/>
          <w:lang w:val="el-GR" w:eastAsia="el-GR"/>
        </w:rPr>
        <w:t>(</w:t>
      </w:r>
      <w:r>
        <w:rPr>
          <w:rStyle w:val="FontStyle45"/>
          <w:lang w:eastAsia="el-GR"/>
        </w:rPr>
        <w:t>n</w:t>
      </w:r>
      <w:r w:rsidRPr="00F7301B">
        <w:rPr>
          <w:rStyle w:val="FontStyle45"/>
          <w:lang w:val="el-GR" w:eastAsia="el-GR"/>
        </w:rPr>
        <w:t xml:space="preserve">=8901) </w:t>
      </w:r>
      <w:r>
        <w:rPr>
          <w:rStyle w:val="FontStyle45"/>
          <w:lang w:val="el-GR" w:eastAsia="el-GR"/>
        </w:rPr>
        <w:t xml:space="preserve">ή τη ροσουβαστατίνη 20 </w:t>
      </w:r>
      <w:r>
        <w:rPr>
          <w:rStyle w:val="FontStyle45"/>
          <w:lang w:eastAsia="el-GR"/>
        </w:rPr>
        <w:t>mg</w:t>
      </w:r>
      <w:r w:rsidRPr="00F7301B">
        <w:rPr>
          <w:rStyle w:val="FontStyle45"/>
          <w:lang w:val="el-GR" w:eastAsia="el-GR"/>
        </w:rPr>
        <w:t xml:space="preserve"> </w:t>
      </w:r>
      <w:r>
        <w:rPr>
          <w:rStyle w:val="FontStyle45"/>
          <w:lang w:val="el-GR" w:eastAsia="el-GR"/>
        </w:rPr>
        <w:t xml:space="preserve">μία φορά ημερησίως </w:t>
      </w:r>
      <w:r w:rsidRPr="00F7301B">
        <w:rPr>
          <w:rStyle w:val="FontStyle45"/>
          <w:lang w:val="el-GR" w:eastAsia="el-GR"/>
        </w:rPr>
        <w:t>(</w:t>
      </w:r>
      <w:r>
        <w:rPr>
          <w:rStyle w:val="FontStyle45"/>
          <w:lang w:eastAsia="el-GR"/>
        </w:rPr>
        <w:t>n</w:t>
      </w:r>
      <w:r w:rsidRPr="00F7301B">
        <w:rPr>
          <w:rStyle w:val="FontStyle45"/>
          <w:lang w:val="el-GR" w:eastAsia="el-GR"/>
        </w:rPr>
        <w:t xml:space="preserve">=8901) </w:t>
      </w:r>
      <w:r>
        <w:rPr>
          <w:rStyle w:val="FontStyle45"/>
          <w:lang w:val="el-GR" w:eastAsia="el-GR"/>
        </w:rPr>
        <w:t>και ήταν υπό παρακολούθηση για μία μέση διάρκεια 2 χρόνων.</w:t>
      </w:r>
    </w:p>
    <w:p w:rsidR="00A502AA" w:rsidRDefault="00A502AA">
      <w:pPr>
        <w:pStyle w:val="Style7"/>
        <w:widowControl/>
        <w:spacing w:before="125" w:line="264" w:lineRule="exact"/>
        <w:rPr>
          <w:rStyle w:val="FontStyle45"/>
          <w:lang w:val="el-GR" w:eastAsia="el-GR"/>
        </w:rPr>
      </w:pPr>
      <w:r>
        <w:rPr>
          <w:rStyle w:val="FontStyle45"/>
          <w:lang w:val="el-GR" w:eastAsia="el-GR"/>
        </w:rPr>
        <w:t xml:space="preserve">Η συγκέντρωση της </w:t>
      </w:r>
      <w:r>
        <w:rPr>
          <w:rStyle w:val="FontStyle45"/>
          <w:lang w:eastAsia="el-GR"/>
        </w:rPr>
        <w:t>LDL</w:t>
      </w:r>
      <w:r w:rsidRPr="00F7301B">
        <w:rPr>
          <w:rStyle w:val="FontStyle45"/>
          <w:lang w:val="el-GR" w:eastAsia="el-GR"/>
        </w:rPr>
        <w:t xml:space="preserve"> </w:t>
      </w:r>
      <w:r>
        <w:rPr>
          <w:rStyle w:val="FontStyle45"/>
          <w:lang w:val="el-GR" w:eastAsia="el-GR"/>
        </w:rPr>
        <w:t xml:space="preserve">χοληστερόλης μειώθηκε κατά 45% </w:t>
      </w:r>
      <w:r w:rsidRPr="00F7301B">
        <w:rPr>
          <w:rStyle w:val="FontStyle45"/>
          <w:lang w:val="el-GR" w:eastAsia="el-GR"/>
        </w:rPr>
        <w:t>(</w:t>
      </w:r>
      <w:r>
        <w:rPr>
          <w:rStyle w:val="FontStyle45"/>
          <w:lang w:eastAsia="el-GR"/>
        </w:rPr>
        <w:t>p</w:t>
      </w:r>
      <w:r w:rsidRPr="00F7301B">
        <w:rPr>
          <w:rStyle w:val="FontStyle45"/>
          <w:lang w:val="el-GR" w:eastAsia="el-GR"/>
        </w:rPr>
        <w:t xml:space="preserve">&lt;0,001) </w:t>
      </w:r>
      <w:r>
        <w:rPr>
          <w:rStyle w:val="FontStyle45"/>
          <w:lang w:val="el-GR" w:eastAsia="el-GR"/>
        </w:rPr>
        <w:t>στην ομάδα της ροσουβαστατίνης σε σύγκριση με την ομάδα του εικονικού φαρμάκου.</w:t>
      </w:r>
    </w:p>
    <w:p w:rsidR="00A502AA" w:rsidRDefault="00A502AA">
      <w:pPr>
        <w:pStyle w:val="Style7"/>
        <w:widowControl/>
        <w:spacing w:before="101" w:line="264" w:lineRule="exact"/>
        <w:rPr>
          <w:rStyle w:val="FontStyle45"/>
          <w:lang w:val="el-GR" w:eastAsia="el-GR"/>
        </w:rPr>
      </w:pPr>
      <w:r>
        <w:rPr>
          <w:rStyle w:val="FontStyle45"/>
          <w:lang w:val="el-GR" w:eastAsia="el-GR"/>
        </w:rPr>
        <w:t xml:space="preserve">Σε μία </w:t>
      </w:r>
      <w:r>
        <w:rPr>
          <w:rStyle w:val="FontStyle45"/>
          <w:lang w:eastAsia="el-GR"/>
        </w:rPr>
        <w:t>post</w:t>
      </w:r>
      <w:r w:rsidRPr="00F7301B">
        <w:rPr>
          <w:rStyle w:val="FontStyle45"/>
          <w:lang w:val="el-GR" w:eastAsia="el-GR"/>
        </w:rPr>
        <w:t>-</w:t>
      </w:r>
      <w:r>
        <w:rPr>
          <w:rStyle w:val="FontStyle45"/>
          <w:lang w:eastAsia="el-GR"/>
        </w:rPr>
        <w:t>hoc</w:t>
      </w:r>
      <w:r w:rsidRPr="00F7301B">
        <w:rPr>
          <w:rStyle w:val="FontStyle45"/>
          <w:lang w:val="el-GR" w:eastAsia="el-GR"/>
        </w:rPr>
        <w:t xml:space="preserve"> </w:t>
      </w:r>
      <w:r>
        <w:rPr>
          <w:rStyle w:val="FontStyle45"/>
          <w:lang w:val="el-GR" w:eastAsia="el-GR"/>
        </w:rPr>
        <w:t xml:space="preserve">ανάλυση μίας υποομάδας υψηλού κινδύνου με αρχική τιμή </w:t>
      </w:r>
      <w:r>
        <w:rPr>
          <w:rStyle w:val="FontStyle45"/>
          <w:lang w:eastAsia="el-GR"/>
        </w:rPr>
        <w:t>Framingham</w:t>
      </w:r>
      <w:r w:rsidRPr="00F7301B">
        <w:rPr>
          <w:rStyle w:val="FontStyle45"/>
          <w:lang w:val="el-GR" w:eastAsia="el-GR"/>
        </w:rPr>
        <w:t xml:space="preserve"> </w:t>
      </w:r>
      <w:r>
        <w:rPr>
          <w:rStyle w:val="FontStyle45"/>
          <w:lang w:eastAsia="el-GR"/>
        </w:rPr>
        <w:t>risk</w:t>
      </w:r>
      <w:r w:rsidRPr="00F7301B">
        <w:rPr>
          <w:rStyle w:val="FontStyle45"/>
          <w:lang w:val="el-GR" w:eastAsia="el-GR"/>
        </w:rPr>
        <w:t xml:space="preserve"> </w:t>
      </w:r>
      <w:r>
        <w:rPr>
          <w:rStyle w:val="FontStyle45"/>
          <w:lang w:eastAsia="el-GR"/>
        </w:rPr>
        <w:t>score</w:t>
      </w:r>
      <w:r w:rsidRPr="00F7301B">
        <w:rPr>
          <w:rStyle w:val="FontStyle45"/>
          <w:lang w:val="el-GR" w:eastAsia="el-GR"/>
        </w:rPr>
        <w:t xml:space="preserve"> </w:t>
      </w:r>
      <w:r>
        <w:rPr>
          <w:rStyle w:val="FontStyle45"/>
          <w:lang w:val="el-GR" w:eastAsia="el-GR"/>
        </w:rPr>
        <w:t xml:space="preserve">&gt;20% (1558 άτομα) υπήρξε σημαντική μείωση στο σύνθετο τελικό σημείο καρδιαγγειακού θανάτου, εγκεφαλικού επεισοδίου και εμφράγματος του μυοκαρδίου </w:t>
      </w:r>
      <w:r w:rsidRPr="00F7301B">
        <w:rPr>
          <w:rStyle w:val="FontStyle45"/>
          <w:lang w:val="el-GR" w:eastAsia="el-GR"/>
        </w:rPr>
        <w:t>(</w:t>
      </w:r>
      <w:r>
        <w:rPr>
          <w:rStyle w:val="FontStyle45"/>
          <w:lang w:eastAsia="el-GR"/>
        </w:rPr>
        <w:t>p</w:t>
      </w:r>
      <w:r w:rsidRPr="00F7301B">
        <w:rPr>
          <w:rStyle w:val="FontStyle45"/>
          <w:lang w:val="el-GR" w:eastAsia="el-GR"/>
        </w:rPr>
        <w:t xml:space="preserve">=0,028) </w:t>
      </w:r>
      <w:r>
        <w:rPr>
          <w:rStyle w:val="FontStyle45"/>
          <w:lang w:val="el-GR" w:eastAsia="el-GR"/>
        </w:rPr>
        <w:t xml:space="preserve">στη θεραπεία με ροσουβαστατίνη έναντι του εικονικού φαρμάκου. Η απόλυτη μείωση κινδύνου στο ποσοστό συμβαμάτων ανά 1000 ασθενείς-χρόνο ήταν 8,8. Η συνολική θνησιμότητα ήταν αμετάβλητη στην ομάδα υψηλού κινδύνου </w:t>
      </w:r>
      <w:r w:rsidRPr="00F7301B">
        <w:rPr>
          <w:rStyle w:val="FontStyle45"/>
          <w:lang w:val="el-GR" w:eastAsia="el-GR"/>
        </w:rPr>
        <w:t>(</w:t>
      </w:r>
      <w:r>
        <w:rPr>
          <w:rStyle w:val="FontStyle45"/>
          <w:lang w:eastAsia="el-GR"/>
        </w:rPr>
        <w:t>p</w:t>
      </w:r>
      <w:r w:rsidRPr="00F7301B">
        <w:rPr>
          <w:rStyle w:val="FontStyle45"/>
          <w:lang w:val="el-GR" w:eastAsia="el-GR"/>
        </w:rPr>
        <w:t xml:space="preserve">=0,193). </w:t>
      </w:r>
      <w:r>
        <w:rPr>
          <w:rStyle w:val="FontStyle45"/>
          <w:lang w:val="el-GR" w:eastAsia="el-GR"/>
        </w:rPr>
        <w:t xml:space="preserve">Σε μία </w:t>
      </w:r>
      <w:r>
        <w:rPr>
          <w:rStyle w:val="FontStyle45"/>
          <w:lang w:eastAsia="el-GR"/>
        </w:rPr>
        <w:t>post</w:t>
      </w:r>
      <w:r w:rsidRPr="00F7301B">
        <w:rPr>
          <w:rStyle w:val="FontStyle45"/>
          <w:lang w:val="el-GR" w:eastAsia="el-GR"/>
        </w:rPr>
        <w:t>-</w:t>
      </w:r>
      <w:r>
        <w:rPr>
          <w:rStyle w:val="FontStyle45"/>
          <w:lang w:eastAsia="el-GR"/>
        </w:rPr>
        <w:t>hoc</w:t>
      </w:r>
      <w:r w:rsidRPr="00F7301B">
        <w:rPr>
          <w:rStyle w:val="FontStyle45"/>
          <w:lang w:val="el-GR" w:eastAsia="el-GR"/>
        </w:rPr>
        <w:t xml:space="preserve"> </w:t>
      </w:r>
      <w:r>
        <w:rPr>
          <w:rStyle w:val="FontStyle45"/>
          <w:lang w:val="el-GR" w:eastAsia="el-GR"/>
        </w:rPr>
        <w:t xml:space="preserve">ανάλυση μιας υποομάδας υψηλού κινδύνου (συνολικά 9302 άτομα) με αρχική τιμή κινδύνου </w:t>
      </w:r>
      <w:r>
        <w:rPr>
          <w:rStyle w:val="FontStyle45"/>
          <w:lang w:eastAsia="el-GR"/>
        </w:rPr>
        <w:t>SCORE</w:t>
      </w:r>
      <w:r w:rsidRPr="00F7301B">
        <w:rPr>
          <w:rStyle w:val="FontStyle45"/>
          <w:lang w:val="el-GR" w:eastAsia="el-GR"/>
        </w:rPr>
        <w:t xml:space="preserve"> </w:t>
      </w:r>
      <w:r>
        <w:rPr>
          <w:rStyle w:val="FontStyle45"/>
          <w:lang w:val="el-GR" w:eastAsia="el-GR"/>
        </w:rPr>
        <w:t xml:space="preserve">&gt;5% (υπολογίστηκε να συμπεριληφθούν άτομα άνω των 65 ετών) υπήρχε σημαντική μείωση στο σύνθετο τελικό σημείο καρδιαγγειακού θανάτου, εγκεφαλικού επεισοδίου και εμφράγματος του μυοκαρδίου </w:t>
      </w:r>
      <w:r w:rsidRPr="00F7301B">
        <w:rPr>
          <w:rStyle w:val="FontStyle45"/>
          <w:lang w:val="el-GR" w:eastAsia="el-GR"/>
        </w:rPr>
        <w:t>(</w:t>
      </w:r>
      <w:r>
        <w:rPr>
          <w:rStyle w:val="FontStyle45"/>
          <w:lang w:eastAsia="el-GR"/>
        </w:rPr>
        <w:t>p</w:t>
      </w:r>
      <w:r w:rsidRPr="00F7301B">
        <w:rPr>
          <w:rStyle w:val="FontStyle45"/>
          <w:lang w:val="el-GR" w:eastAsia="el-GR"/>
        </w:rPr>
        <w:t xml:space="preserve">=0,0003) </w:t>
      </w:r>
      <w:r>
        <w:rPr>
          <w:rStyle w:val="FontStyle45"/>
          <w:lang w:val="el-GR" w:eastAsia="el-GR"/>
        </w:rPr>
        <w:t xml:space="preserve">στη θεραπεία με ροσουβαστατίνη έναντι του εικονικού φαρμάκου. Η απόλυτη μείωση κινδύνου στο </w:t>
      </w:r>
      <w:r>
        <w:rPr>
          <w:rStyle w:val="FontStyle45"/>
          <w:lang w:val="el-GR" w:eastAsia="el-GR"/>
        </w:rPr>
        <w:lastRenderedPageBreak/>
        <w:t>ποσοστό συμβαμάτων ήταν 5,1 ανά 1000 ασθενείς-χρόνο. Η συνολική   θνησιμότητα   ήταν   αμετάβλητη   στην   ομάδα   υψηλού   κινδύνου</w:t>
      </w:r>
    </w:p>
    <w:p w:rsidR="00A502AA" w:rsidRPr="00F7301B" w:rsidRDefault="00A502AA">
      <w:pPr>
        <w:pStyle w:val="Style7"/>
        <w:widowControl/>
        <w:spacing w:line="240" w:lineRule="auto"/>
        <w:jc w:val="left"/>
        <w:rPr>
          <w:rStyle w:val="FontStyle45"/>
          <w:lang w:val="el-GR"/>
        </w:rPr>
      </w:pPr>
      <w:r w:rsidRPr="00F7301B">
        <w:rPr>
          <w:rStyle w:val="FontStyle45"/>
          <w:lang w:val="el-GR"/>
        </w:rPr>
        <w:t>(</w:t>
      </w:r>
      <w:r>
        <w:rPr>
          <w:rStyle w:val="FontStyle45"/>
        </w:rPr>
        <w:t>p</w:t>
      </w:r>
      <w:r w:rsidRPr="00F7301B">
        <w:rPr>
          <w:rStyle w:val="FontStyle45"/>
          <w:lang w:val="el-GR"/>
        </w:rPr>
        <w:t>=0,076).</w:t>
      </w:r>
    </w:p>
    <w:p w:rsidR="00A502AA" w:rsidRDefault="00A502AA">
      <w:pPr>
        <w:pStyle w:val="Style7"/>
        <w:widowControl/>
        <w:spacing w:before="110" w:line="264" w:lineRule="exact"/>
        <w:rPr>
          <w:rStyle w:val="FontStyle45"/>
          <w:lang w:val="el-GR" w:eastAsia="el-GR"/>
        </w:rPr>
      </w:pPr>
      <w:r>
        <w:rPr>
          <w:rStyle w:val="FontStyle45"/>
          <w:lang w:val="el-GR" w:eastAsia="el-GR"/>
        </w:rPr>
        <w:t xml:space="preserve">Στην μελέτη </w:t>
      </w:r>
      <w:r>
        <w:rPr>
          <w:rStyle w:val="FontStyle45"/>
          <w:lang w:eastAsia="el-GR"/>
        </w:rPr>
        <w:t>JUPITER</w:t>
      </w:r>
      <w:r w:rsidRPr="00F7301B">
        <w:rPr>
          <w:rStyle w:val="FontStyle45"/>
          <w:lang w:val="el-GR" w:eastAsia="el-GR"/>
        </w:rPr>
        <w:t xml:space="preserve"> </w:t>
      </w:r>
      <w:r>
        <w:rPr>
          <w:rStyle w:val="FontStyle45"/>
          <w:lang w:val="el-GR" w:eastAsia="el-GR"/>
        </w:rPr>
        <w:t>υπήρξαν 6,6% ασθενείς της ομάδας της ροσουβαστατίνης και 6,2% της ομάδας του εικονικού φαρμάκου που σταμάτησαν τη θεραπεία στη μελέτη λόγω κάποιου ανεπιθύμητου συμβάντος. Τα πιο συχνά ανεπιθύμητα συμβάματα που οδήγησαν στη διακοπή της θεραπείας ήταν: μυαλγία (0,3% ροσουβαστατίνη, 0,2% εικονικό φάρμακο), κοιλιακό άλγος (0,03% ροσουβαστατίνη, 0,02% εικονικό φάρμακο) και εξάνθημα (0,02% ροσουβαστατίνη, 0,03% εικονικό φάρμακο). Τα πιο συχνά ανεπιθύμητα συμβάματα σε ποσοστό μεγαλύτερο ή ίσο με το εικονικό φάρμακο ήταν: ουρολοίμωξη (8,7% ροσουβαστατίνη, 8,6% εικονικό φάρμακο), ρινοφαρυγγίτιδα (7,6% ροσουβαστατίνη, 7,2% εικονικό φάρμακο), οσφυαλγία (7,6% ροσουβαστατίνη, 6,9% εικονικό φάρμακο) και μυαλγία (7,6% ροσουβαστατίνη, 6,6% εικονικό φάρμακο).</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8"/>
        <w:jc w:val="left"/>
        <w:rPr>
          <w:rStyle w:val="FontStyle44"/>
          <w:lang w:val="el-GR" w:eastAsia="el-GR"/>
        </w:rPr>
      </w:pPr>
      <w:r>
        <w:rPr>
          <w:rStyle w:val="FontStyle44"/>
          <w:lang w:val="el-GR" w:eastAsia="el-GR"/>
        </w:rPr>
        <w:t>Παιδιατρικός πληθυσμός</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Σε μία διπλά-τυφλή, τυχαιοποιημένη, πολυκεντρική, ελεγχόμενη με εικονικό φάρμακο, 12 εβδομάδων μελέτη </w:t>
      </w:r>
      <w:r w:rsidRPr="00F7301B">
        <w:rPr>
          <w:rStyle w:val="FontStyle45"/>
          <w:lang w:val="el-GR" w:eastAsia="el-GR"/>
        </w:rPr>
        <w:t>(</w:t>
      </w:r>
      <w:r>
        <w:rPr>
          <w:rStyle w:val="FontStyle45"/>
          <w:lang w:eastAsia="el-GR"/>
        </w:rPr>
        <w:t>n</w:t>
      </w:r>
      <w:r w:rsidRPr="00F7301B">
        <w:rPr>
          <w:rStyle w:val="FontStyle45"/>
          <w:lang w:val="el-GR" w:eastAsia="el-GR"/>
        </w:rPr>
        <w:t xml:space="preserve">=176, </w:t>
      </w:r>
      <w:r>
        <w:rPr>
          <w:rStyle w:val="FontStyle45"/>
          <w:lang w:val="el-GR" w:eastAsia="el-GR"/>
        </w:rPr>
        <w:t xml:space="preserve">97 άρρενες και 79 θήλεις) ακολουθούμενη από μία 40 εβδομάδων </w:t>
      </w:r>
      <w:r w:rsidRPr="00F7301B">
        <w:rPr>
          <w:rStyle w:val="FontStyle45"/>
          <w:lang w:val="el-GR" w:eastAsia="el-GR"/>
        </w:rPr>
        <w:t>(</w:t>
      </w:r>
      <w:r>
        <w:rPr>
          <w:rStyle w:val="FontStyle45"/>
          <w:lang w:eastAsia="el-GR"/>
        </w:rPr>
        <w:t>n</w:t>
      </w:r>
      <w:r w:rsidRPr="00F7301B">
        <w:rPr>
          <w:rStyle w:val="FontStyle45"/>
          <w:lang w:val="el-GR" w:eastAsia="el-GR"/>
        </w:rPr>
        <w:t xml:space="preserve">=173, </w:t>
      </w:r>
      <w:r>
        <w:rPr>
          <w:rStyle w:val="FontStyle45"/>
          <w:lang w:val="el-GR" w:eastAsia="el-GR"/>
        </w:rPr>
        <w:t xml:space="preserve">96 άρρενες και 77 θήλεις), ανοιχτή, φάση τιτλοποίησης της δόσης ροσουβαστατίνης, ασθενείς ηλικίας 10-17 ετών </w:t>
      </w:r>
      <w:r w:rsidRPr="00F7301B">
        <w:rPr>
          <w:rStyle w:val="FontStyle45"/>
          <w:lang w:val="el-GR" w:eastAsia="el-GR"/>
        </w:rPr>
        <w:t>(</w:t>
      </w:r>
      <w:r>
        <w:rPr>
          <w:rStyle w:val="FontStyle45"/>
          <w:lang w:eastAsia="el-GR"/>
        </w:rPr>
        <w:t>Tanner</w:t>
      </w:r>
      <w:r w:rsidRPr="00F7301B">
        <w:rPr>
          <w:rStyle w:val="FontStyle45"/>
          <w:lang w:val="el-GR" w:eastAsia="el-GR"/>
        </w:rPr>
        <w:t xml:space="preserve"> </w:t>
      </w:r>
      <w:r>
        <w:rPr>
          <w:rStyle w:val="FontStyle45"/>
          <w:lang w:eastAsia="el-GR"/>
        </w:rPr>
        <w:t>stage</w:t>
      </w:r>
      <w:r w:rsidRPr="00F7301B">
        <w:rPr>
          <w:rStyle w:val="FontStyle45"/>
          <w:lang w:val="el-GR" w:eastAsia="el-GR"/>
        </w:rPr>
        <w:t xml:space="preserve"> </w:t>
      </w:r>
      <w:r>
        <w:rPr>
          <w:rStyle w:val="FontStyle45"/>
          <w:lang w:eastAsia="el-GR"/>
        </w:rPr>
        <w:t>II</w:t>
      </w:r>
      <w:r w:rsidRPr="00F7301B">
        <w:rPr>
          <w:rStyle w:val="FontStyle45"/>
          <w:lang w:val="el-GR" w:eastAsia="el-GR"/>
        </w:rPr>
        <w:t>-</w:t>
      </w:r>
      <w:r>
        <w:rPr>
          <w:rStyle w:val="FontStyle45"/>
          <w:lang w:eastAsia="el-GR"/>
        </w:rPr>
        <w:t>V</w:t>
      </w:r>
      <w:r w:rsidRPr="00F7301B">
        <w:rPr>
          <w:rStyle w:val="FontStyle45"/>
          <w:lang w:val="el-GR" w:eastAsia="el-GR"/>
        </w:rPr>
        <w:t xml:space="preserve">, </w:t>
      </w:r>
      <w:r>
        <w:rPr>
          <w:rStyle w:val="FontStyle45"/>
          <w:lang w:val="el-GR" w:eastAsia="el-GR"/>
        </w:rPr>
        <w:t xml:space="preserve">θήλεις τουλάχιστον 1 χρόνο μετά την εμμηναρχή) με ετερόζυγη οικογενή υπερχοληστερολαιμία λάμβαναν ροσουβαστατίνη 5, 10 ή 20 </w:t>
      </w:r>
      <w:r>
        <w:rPr>
          <w:rStyle w:val="FontStyle45"/>
          <w:lang w:eastAsia="el-GR"/>
        </w:rPr>
        <w:t>mg</w:t>
      </w:r>
      <w:r w:rsidRPr="00F7301B">
        <w:rPr>
          <w:rStyle w:val="FontStyle45"/>
          <w:lang w:val="el-GR" w:eastAsia="el-GR"/>
        </w:rPr>
        <w:t xml:space="preserve"> </w:t>
      </w:r>
      <w:r>
        <w:rPr>
          <w:rStyle w:val="FontStyle45"/>
          <w:lang w:val="el-GR" w:eastAsia="el-GR"/>
        </w:rPr>
        <w:t xml:space="preserve">ή εικονικό φάρμακο ημερησίως για 12 εβδομάδες και στη συνέχεια όλοι λάμβαναν ροσουβαστατίνη ημερησίως για 40 εβδομάδες. Κατά την εισαγωγή στη μελέτη, περίπου το 30% των ασθενών ήταν 10-13 ετών και περίπου το 17%, 18%, 40% και 25% ήταν </w:t>
      </w:r>
      <w:r>
        <w:rPr>
          <w:rStyle w:val="FontStyle45"/>
          <w:lang w:eastAsia="el-GR"/>
        </w:rPr>
        <w:t>Tanner</w:t>
      </w:r>
      <w:r w:rsidRPr="00F7301B">
        <w:rPr>
          <w:rStyle w:val="FontStyle45"/>
          <w:lang w:val="el-GR" w:eastAsia="el-GR"/>
        </w:rPr>
        <w:t xml:space="preserve"> </w:t>
      </w:r>
      <w:r>
        <w:rPr>
          <w:rStyle w:val="FontStyle45"/>
          <w:lang w:eastAsia="el-GR"/>
        </w:rPr>
        <w:t>stage</w:t>
      </w:r>
      <w:r w:rsidRPr="00F7301B">
        <w:rPr>
          <w:rStyle w:val="FontStyle45"/>
          <w:lang w:val="el-GR" w:eastAsia="el-GR"/>
        </w:rPr>
        <w:t xml:space="preserve"> </w:t>
      </w:r>
      <w:r>
        <w:rPr>
          <w:rStyle w:val="FontStyle45"/>
          <w:lang w:val="el-GR" w:eastAsia="el-GR"/>
        </w:rPr>
        <w:t xml:space="preserve">ΙΙ, ΙΙΙ, </w:t>
      </w:r>
      <w:r>
        <w:rPr>
          <w:rStyle w:val="FontStyle45"/>
          <w:lang w:eastAsia="el-GR"/>
        </w:rPr>
        <w:t>IV</w:t>
      </w:r>
      <w:r w:rsidRPr="00F7301B">
        <w:rPr>
          <w:rStyle w:val="FontStyle45"/>
          <w:lang w:val="el-GR" w:eastAsia="el-GR"/>
        </w:rPr>
        <w:t xml:space="preserve"> </w:t>
      </w:r>
      <w:r>
        <w:rPr>
          <w:rStyle w:val="FontStyle45"/>
          <w:lang w:val="el-GR" w:eastAsia="el-GR"/>
        </w:rPr>
        <w:t xml:space="preserve">και </w:t>
      </w:r>
      <w:r>
        <w:rPr>
          <w:rStyle w:val="FontStyle45"/>
          <w:lang w:eastAsia="el-GR"/>
        </w:rPr>
        <w:t>V</w:t>
      </w:r>
      <w:r w:rsidRPr="00F7301B">
        <w:rPr>
          <w:rStyle w:val="FontStyle45"/>
          <w:lang w:val="el-GR" w:eastAsia="el-GR"/>
        </w:rPr>
        <w:t xml:space="preserve">, </w:t>
      </w:r>
      <w:r>
        <w:rPr>
          <w:rStyle w:val="FontStyle45"/>
          <w:lang w:val="el-GR" w:eastAsia="el-GR"/>
        </w:rPr>
        <w:t>αντιστοίχως.</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Η </w:t>
      </w:r>
      <w:r>
        <w:rPr>
          <w:rStyle w:val="FontStyle45"/>
          <w:lang w:eastAsia="el-GR"/>
        </w:rPr>
        <w:t>LDL</w:t>
      </w:r>
      <w:r>
        <w:rPr>
          <w:rStyle w:val="FontStyle45"/>
          <w:lang w:val="el-GR" w:eastAsia="el-GR"/>
        </w:rPr>
        <w:t xml:space="preserve">-χοληστερόλη μειώθηκε κατά 38,3%, 44,6% και 50,0% με ροσουβαστατίνη 5, 10 και 20 </w:t>
      </w:r>
      <w:r>
        <w:rPr>
          <w:rStyle w:val="FontStyle45"/>
          <w:lang w:eastAsia="el-GR"/>
        </w:rPr>
        <w:t>mg</w:t>
      </w:r>
      <w:r w:rsidRPr="00F7301B">
        <w:rPr>
          <w:rStyle w:val="FontStyle45"/>
          <w:lang w:val="el-GR" w:eastAsia="el-GR"/>
        </w:rPr>
        <w:t xml:space="preserve">, </w:t>
      </w:r>
      <w:r>
        <w:rPr>
          <w:rStyle w:val="FontStyle45"/>
          <w:lang w:val="el-GR" w:eastAsia="el-GR"/>
        </w:rPr>
        <w:t>αντιστοίχως, σε σύγκριση με το 0,7% με το εικονικό φάρμακο.</w:t>
      </w:r>
    </w:p>
    <w:p w:rsidR="00A502AA" w:rsidRPr="00F7301B" w:rsidRDefault="00A502AA">
      <w:pPr>
        <w:pStyle w:val="Style7"/>
        <w:widowControl/>
        <w:spacing w:before="120" w:line="264" w:lineRule="exact"/>
        <w:rPr>
          <w:rStyle w:val="FontStyle45"/>
          <w:lang w:val="el-GR" w:eastAsia="el-GR"/>
        </w:rPr>
      </w:pPr>
      <w:r>
        <w:rPr>
          <w:rStyle w:val="FontStyle45"/>
          <w:lang w:val="el-GR" w:eastAsia="el-GR"/>
        </w:rPr>
        <w:t xml:space="preserve">Στο τέλος της 40 εβδομάδων, ανοιχτής, τιτλοποίησης της δόσης έως την επίτευξη του στόχου, αύξηση της δόσης στο μέγιστο των 20 </w:t>
      </w:r>
      <w:r>
        <w:rPr>
          <w:rStyle w:val="FontStyle45"/>
          <w:lang w:eastAsia="el-GR"/>
        </w:rPr>
        <w:t>mg</w:t>
      </w:r>
      <w:r w:rsidRPr="00F7301B">
        <w:rPr>
          <w:rStyle w:val="FontStyle45"/>
          <w:lang w:val="el-GR" w:eastAsia="el-GR"/>
        </w:rPr>
        <w:t xml:space="preserve"> </w:t>
      </w:r>
      <w:r>
        <w:rPr>
          <w:rStyle w:val="FontStyle45"/>
          <w:lang w:val="el-GR" w:eastAsia="el-GR"/>
        </w:rPr>
        <w:t xml:space="preserve">μία φορά ημερησίως, 70 από τους 173 ασθενείς (40,5%) πέτυχαν την επιδιωκόμενη </w:t>
      </w:r>
      <w:r>
        <w:rPr>
          <w:rStyle w:val="FontStyle45"/>
          <w:lang w:eastAsia="el-GR"/>
        </w:rPr>
        <w:t>LDL</w:t>
      </w:r>
      <w:r>
        <w:rPr>
          <w:rStyle w:val="FontStyle45"/>
          <w:lang w:val="el-GR" w:eastAsia="el-GR"/>
        </w:rPr>
        <w:t xml:space="preserve">-χοληστερόλη, η οποία ήταν λιγότερο από 2,8 </w:t>
      </w:r>
      <w:r>
        <w:rPr>
          <w:rStyle w:val="FontStyle45"/>
          <w:lang w:eastAsia="el-GR"/>
        </w:rPr>
        <w:t>mmol</w:t>
      </w:r>
      <w:r w:rsidRPr="00F7301B">
        <w:rPr>
          <w:rStyle w:val="FontStyle45"/>
          <w:lang w:val="el-GR" w:eastAsia="el-GR"/>
        </w:rPr>
        <w:t>/</w:t>
      </w:r>
      <w:r>
        <w:rPr>
          <w:rStyle w:val="FontStyle45"/>
          <w:lang w:eastAsia="el-GR"/>
        </w:rPr>
        <w:t>L</w:t>
      </w:r>
      <w:r w:rsidRPr="00F7301B">
        <w:rPr>
          <w:rStyle w:val="FontStyle45"/>
          <w:lang w:val="el-GR" w:eastAsia="el-GR"/>
        </w:rPr>
        <w:t>.</w:t>
      </w:r>
    </w:p>
    <w:p w:rsidR="00A502AA" w:rsidRDefault="00A502AA">
      <w:pPr>
        <w:pStyle w:val="Style7"/>
        <w:widowControl/>
        <w:spacing w:before="48" w:line="264" w:lineRule="exact"/>
        <w:rPr>
          <w:rStyle w:val="FontStyle45"/>
          <w:lang w:val="el-GR" w:eastAsia="el-GR"/>
        </w:rPr>
      </w:pPr>
      <w:r>
        <w:rPr>
          <w:rStyle w:val="FontStyle45"/>
          <w:lang w:val="el-GR" w:eastAsia="el-GR"/>
        </w:rPr>
        <w:t xml:space="preserve">Μετά από 52 εβδομάδες μελέτης θεραπείας, δεν παρατηρήθηκε επίδραση στην ανάπτυξη, στο βάρος, το ΔΜΣ ή τη σεξουαλική ωρίμανση (βλ. Παράγραφο 4.4). Αυτή η μελέτη </w:t>
      </w:r>
      <w:r w:rsidRPr="00F7301B">
        <w:rPr>
          <w:rStyle w:val="FontStyle45"/>
          <w:lang w:val="el-GR" w:eastAsia="el-GR"/>
        </w:rPr>
        <w:t>(</w:t>
      </w:r>
      <w:r>
        <w:rPr>
          <w:rStyle w:val="FontStyle45"/>
          <w:lang w:eastAsia="el-GR"/>
        </w:rPr>
        <w:t>n</w:t>
      </w:r>
      <w:r w:rsidRPr="00F7301B">
        <w:rPr>
          <w:rStyle w:val="FontStyle45"/>
          <w:lang w:val="el-GR" w:eastAsia="el-GR"/>
        </w:rPr>
        <w:t xml:space="preserve"> = 176) </w:t>
      </w:r>
      <w:r>
        <w:rPr>
          <w:rStyle w:val="FontStyle45"/>
          <w:lang w:val="el-GR" w:eastAsia="el-GR"/>
        </w:rPr>
        <w:t>δεν ήταν κατάλληλη για διερεύνηση των σπάνιων ανεπιθύμητων συμβαμάτων.</w:t>
      </w:r>
    </w:p>
    <w:p w:rsidR="00A502AA" w:rsidRPr="00F7301B" w:rsidRDefault="00A502AA">
      <w:pPr>
        <w:pStyle w:val="Style7"/>
        <w:widowControl/>
        <w:spacing w:line="264" w:lineRule="exact"/>
        <w:rPr>
          <w:rStyle w:val="FontStyle45"/>
          <w:lang w:val="el-GR" w:eastAsia="el-GR"/>
        </w:rPr>
      </w:pPr>
      <w:r>
        <w:rPr>
          <w:rStyle w:val="FontStyle45"/>
          <w:lang w:val="el-GR" w:eastAsia="el-GR"/>
        </w:rPr>
        <w:t xml:space="preserve">Η ροσουβαστατίνη μελετήθηκε επίσης σε μια μελέτη 2 ετών ανοικτής σήμανσης, τιτλοποίησης της δόσης έως την επίτευξη του στόχου, σε 198 παιδιά με ετερόζυγη οικογενή υπερχοληστερολαιμία ηλικίας 6 με 17 ετών (88 άρρενες και 110 θήλεις, </w:t>
      </w:r>
      <w:r>
        <w:rPr>
          <w:rStyle w:val="FontStyle45"/>
          <w:lang w:eastAsia="el-GR"/>
        </w:rPr>
        <w:t>Tanner</w:t>
      </w:r>
      <w:r w:rsidRPr="00F7301B">
        <w:rPr>
          <w:rStyle w:val="FontStyle45"/>
          <w:lang w:val="el-GR" w:eastAsia="el-GR"/>
        </w:rPr>
        <w:t xml:space="preserve"> </w:t>
      </w:r>
      <w:r>
        <w:rPr>
          <w:rStyle w:val="FontStyle45"/>
          <w:lang w:eastAsia="el-GR"/>
        </w:rPr>
        <w:t>stage</w:t>
      </w:r>
      <w:r w:rsidRPr="00F7301B">
        <w:rPr>
          <w:rStyle w:val="FontStyle45"/>
          <w:lang w:val="el-GR" w:eastAsia="el-GR"/>
        </w:rPr>
        <w:t xml:space="preserve"> </w:t>
      </w:r>
      <w:r>
        <w:rPr>
          <w:rStyle w:val="FontStyle45"/>
          <w:lang w:val="el-GR" w:eastAsia="el-GR"/>
        </w:rPr>
        <w:t xml:space="preserve">&lt; </w:t>
      </w:r>
      <w:r>
        <w:rPr>
          <w:rStyle w:val="FontStyle45"/>
          <w:lang w:eastAsia="el-GR"/>
        </w:rPr>
        <w:t>II</w:t>
      </w:r>
      <w:r w:rsidRPr="00F7301B">
        <w:rPr>
          <w:rStyle w:val="FontStyle45"/>
          <w:lang w:val="el-GR" w:eastAsia="el-GR"/>
        </w:rPr>
        <w:t xml:space="preserve"> </w:t>
      </w:r>
      <w:r>
        <w:rPr>
          <w:rStyle w:val="FontStyle45"/>
          <w:lang w:val="el-GR" w:eastAsia="el-GR"/>
        </w:rPr>
        <w:t xml:space="preserve">- </w:t>
      </w:r>
      <w:r>
        <w:rPr>
          <w:rStyle w:val="FontStyle45"/>
          <w:lang w:eastAsia="el-GR"/>
        </w:rPr>
        <w:t>V</w:t>
      </w:r>
      <w:r w:rsidRPr="00F7301B">
        <w:rPr>
          <w:rStyle w:val="FontStyle45"/>
          <w:lang w:val="el-GR" w:eastAsia="el-GR"/>
        </w:rPr>
        <w:t xml:space="preserve">). </w:t>
      </w:r>
      <w:r>
        <w:rPr>
          <w:rStyle w:val="FontStyle45"/>
          <w:lang w:val="el-GR" w:eastAsia="el-GR"/>
        </w:rPr>
        <w:t xml:space="preserve">Η δόση έναρξης για όλους τους ασθενείς ήταν 5 </w:t>
      </w:r>
      <w:r>
        <w:rPr>
          <w:rStyle w:val="FontStyle45"/>
          <w:lang w:eastAsia="el-GR"/>
        </w:rPr>
        <w:t>mg</w:t>
      </w:r>
      <w:r w:rsidRPr="00F7301B">
        <w:rPr>
          <w:rStyle w:val="FontStyle45"/>
          <w:lang w:val="el-GR" w:eastAsia="el-GR"/>
        </w:rPr>
        <w:t xml:space="preserve"> </w:t>
      </w:r>
      <w:r>
        <w:rPr>
          <w:rStyle w:val="FontStyle45"/>
          <w:lang w:val="el-GR" w:eastAsia="el-GR"/>
        </w:rPr>
        <w:t xml:space="preserve">ροσουβαστατίνης μια φορά ημερησίως. Οι ασθενείς ηλικίας 6 με 9 ετών </w:t>
      </w:r>
      <w:r w:rsidRPr="00F7301B">
        <w:rPr>
          <w:rStyle w:val="FontStyle45"/>
          <w:lang w:val="el-GR" w:eastAsia="el-GR"/>
        </w:rPr>
        <w:t>(</w:t>
      </w:r>
      <w:r>
        <w:rPr>
          <w:rStyle w:val="FontStyle45"/>
          <w:lang w:eastAsia="el-GR"/>
        </w:rPr>
        <w:t>n</w:t>
      </w:r>
      <w:r w:rsidRPr="00F7301B">
        <w:rPr>
          <w:rStyle w:val="FontStyle45"/>
          <w:lang w:val="el-GR" w:eastAsia="el-GR"/>
        </w:rPr>
        <w:t xml:space="preserve">=64), </w:t>
      </w:r>
      <w:r>
        <w:rPr>
          <w:rStyle w:val="FontStyle45"/>
          <w:lang w:val="el-GR" w:eastAsia="el-GR"/>
        </w:rPr>
        <w:t xml:space="preserve">μπορούσαν να τιτλοποιηθούν στη μέγιστη δόση των </w:t>
      </w:r>
      <w:r w:rsidRPr="00F7301B">
        <w:rPr>
          <w:rStyle w:val="FontStyle45"/>
          <w:lang w:val="el-GR" w:eastAsia="el-GR"/>
        </w:rPr>
        <w:t xml:space="preserve">10 </w:t>
      </w:r>
      <w:r>
        <w:rPr>
          <w:rStyle w:val="FontStyle45"/>
          <w:lang w:eastAsia="el-GR"/>
        </w:rPr>
        <w:t>mg</w:t>
      </w:r>
      <w:r w:rsidRPr="00F7301B">
        <w:rPr>
          <w:rStyle w:val="FontStyle45"/>
          <w:lang w:val="el-GR" w:eastAsia="el-GR"/>
        </w:rPr>
        <w:t xml:space="preserve"> </w:t>
      </w:r>
      <w:r>
        <w:rPr>
          <w:rStyle w:val="FontStyle45"/>
          <w:lang w:val="el-GR" w:eastAsia="el-GR"/>
        </w:rPr>
        <w:t xml:space="preserve">μία φορά ημερησίως και οι ασθενείς ηλικίας </w:t>
      </w:r>
      <w:r w:rsidRPr="00F7301B">
        <w:rPr>
          <w:rStyle w:val="FontStyle45"/>
          <w:lang w:val="el-GR" w:eastAsia="el-GR"/>
        </w:rPr>
        <w:t xml:space="preserve">10 </w:t>
      </w:r>
      <w:r>
        <w:rPr>
          <w:rStyle w:val="FontStyle45"/>
          <w:lang w:val="el-GR" w:eastAsia="el-GR"/>
        </w:rPr>
        <w:t xml:space="preserve">με </w:t>
      </w:r>
      <w:r w:rsidRPr="00F7301B">
        <w:rPr>
          <w:rStyle w:val="FontStyle45"/>
          <w:lang w:val="el-GR" w:eastAsia="el-GR"/>
        </w:rPr>
        <w:t xml:space="preserve">17 </w:t>
      </w:r>
      <w:r>
        <w:rPr>
          <w:rStyle w:val="FontStyle45"/>
          <w:lang w:val="el-GR" w:eastAsia="el-GR"/>
        </w:rPr>
        <w:t xml:space="preserve">ετών </w:t>
      </w:r>
      <w:r w:rsidRPr="00F7301B">
        <w:rPr>
          <w:rStyle w:val="FontStyle45"/>
          <w:lang w:val="el-GR" w:eastAsia="el-GR"/>
        </w:rPr>
        <w:t>(</w:t>
      </w:r>
      <w:r>
        <w:rPr>
          <w:rStyle w:val="FontStyle45"/>
          <w:lang w:eastAsia="el-GR"/>
        </w:rPr>
        <w:t>n</w:t>
      </w:r>
      <w:r w:rsidRPr="00F7301B">
        <w:rPr>
          <w:rStyle w:val="FontStyle45"/>
          <w:lang w:val="el-GR" w:eastAsia="el-GR"/>
        </w:rPr>
        <w:t xml:space="preserve">=134) </w:t>
      </w:r>
      <w:r>
        <w:rPr>
          <w:rStyle w:val="FontStyle45"/>
          <w:lang w:val="el-GR" w:eastAsia="el-GR"/>
        </w:rPr>
        <w:t xml:space="preserve">στη μέγιστη δόση των </w:t>
      </w:r>
      <w:r w:rsidRPr="00F7301B">
        <w:rPr>
          <w:rStyle w:val="FontStyle45"/>
          <w:lang w:val="el-GR" w:eastAsia="el-GR"/>
        </w:rPr>
        <w:t xml:space="preserve">20 </w:t>
      </w:r>
      <w:r>
        <w:rPr>
          <w:rStyle w:val="FontStyle45"/>
          <w:lang w:eastAsia="el-GR"/>
        </w:rPr>
        <w:t>mg</w:t>
      </w:r>
      <w:r w:rsidRPr="00F7301B">
        <w:rPr>
          <w:rStyle w:val="FontStyle45"/>
          <w:lang w:val="el-GR" w:eastAsia="el-GR"/>
        </w:rPr>
        <w:t xml:space="preserve"> </w:t>
      </w:r>
      <w:r>
        <w:rPr>
          <w:rStyle w:val="FontStyle45"/>
          <w:lang w:val="el-GR" w:eastAsia="el-GR"/>
        </w:rPr>
        <w:t xml:space="preserve">μια φορά ημερησίως </w:t>
      </w:r>
      <w:r w:rsidRPr="00F7301B">
        <w:rPr>
          <w:rStyle w:val="FontStyle45"/>
          <w:lang w:val="el-GR" w:eastAsia="el-GR"/>
        </w:rPr>
        <w:t>.</w:t>
      </w: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5"/>
          <w:lang w:val="el-GR" w:eastAsia="el-GR"/>
        </w:rPr>
        <w:t xml:space="preserve">Μετά από 24 μήνες θεραπείας με ροσουβαστατίνη, η </w:t>
      </w:r>
      <w:r>
        <w:rPr>
          <w:rStyle w:val="FontStyle45"/>
          <w:lang w:eastAsia="el-GR"/>
        </w:rPr>
        <w:t>LS</w:t>
      </w:r>
      <w:r w:rsidRPr="00F7301B">
        <w:rPr>
          <w:rStyle w:val="FontStyle45"/>
          <w:lang w:val="el-GR" w:eastAsia="el-GR"/>
        </w:rPr>
        <w:t xml:space="preserve"> </w:t>
      </w:r>
      <w:r>
        <w:rPr>
          <w:rStyle w:val="FontStyle45"/>
          <w:lang w:val="el-GR" w:eastAsia="el-GR"/>
        </w:rPr>
        <w:t xml:space="preserve">μέση εκατοστιαία μείωση από την τιμή έναρξης της </w:t>
      </w:r>
      <w:r>
        <w:rPr>
          <w:rStyle w:val="FontStyle45"/>
          <w:lang w:eastAsia="el-GR"/>
        </w:rPr>
        <w:t>LDL</w:t>
      </w:r>
      <w:r w:rsidRPr="00F7301B">
        <w:rPr>
          <w:rStyle w:val="FontStyle45"/>
          <w:lang w:val="el-GR" w:eastAsia="el-GR"/>
        </w:rPr>
        <w:t>-</w:t>
      </w:r>
      <w:r>
        <w:rPr>
          <w:rStyle w:val="FontStyle45"/>
          <w:lang w:val="el-GR" w:eastAsia="el-GR"/>
        </w:rPr>
        <w:t xml:space="preserve">χοληστερόλης ήταν -43 % (Τιμή έναρξης: 236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Μήνας 24: 133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Για κάθε ηλικιακή ομάδα , οι μέσες εκατοστιαίες μειώσεις </w:t>
      </w:r>
      <w:r>
        <w:rPr>
          <w:rStyle w:val="FontStyle45"/>
          <w:lang w:eastAsia="el-GR"/>
        </w:rPr>
        <w:t>LS</w:t>
      </w:r>
      <w:r w:rsidRPr="00F7301B">
        <w:rPr>
          <w:rStyle w:val="FontStyle45"/>
          <w:lang w:val="el-GR" w:eastAsia="el-GR"/>
        </w:rPr>
        <w:t xml:space="preserve"> </w:t>
      </w:r>
      <w:r>
        <w:rPr>
          <w:rStyle w:val="FontStyle45"/>
          <w:lang w:val="el-GR" w:eastAsia="el-GR"/>
        </w:rPr>
        <w:t xml:space="preserve">από τις τιμές έναρξης της </w:t>
      </w:r>
      <w:r>
        <w:rPr>
          <w:rStyle w:val="FontStyle45"/>
          <w:lang w:eastAsia="el-GR"/>
        </w:rPr>
        <w:t>LDL</w:t>
      </w:r>
      <w:r>
        <w:rPr>
          <w:rStyle w:val="FontStyle45"/>
          <w:lang w:val="el-GR" w:eastAsia="el-GR"/>
        </w:rPr>
        <w:t xml:space="preserve">-χοληστερόλη ήταν -43% (Τιμή έναρξης: 234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Μήνας 24 : 124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-45 % (Τιμή έναρξης: 234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124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και -35% (Τιμή έναρξης: 241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 xml:space="preserve">Μήνας 24: 153 </w:t>
      </w:r>
      <w:r>
        <w:rPr>
          <w:rStyle w:val="FontStyle45"/>
          <w:lang w:eastAsia="el-GR"/>
        </w:rPr>
        <w:t>mg</w:t>
      </w:r>
      <w:r w:rsidRPr="00F7301B">
        <w:rPr>
          <w:rStyle w:val="FontStyle45"/>
          <w:lang w:val="el-GR" w:eastAsia="el-GR"/>
        </w:rPr>
        <w:t>/</w:t>
      </w:r>
      <w:r>
        <w:rPr>
          <w:rStyle w:val="FontStyle45"/>
          <w:lang w:eastAsia="el-GR"/>
        </w:rPr>
        <w:t>dL</w:t>
      </w:r>
      <w:r w:rsidRPr="00F7301B">
        <w:rPr>
          <w:rStyle w:val="FontStyle45"/>
          <w:lang w:val="el-GR" w:eastAsia="el-GR"/>
        </w:rPr>
        <w:t xml:space="preserve">) </w:t>
      </w:r>
      <w:r>
        <w:rPr>
          <w:rStyle w:val="FontStyle45"/>
          <w:lang w:val="el-GR" w:eastAsia="el-GR"/>
        </w:rPr>
        <w:t>σε 6 με &lt;10, από 10 με &lt;14, και 14 με &lt;18 ετών, αντίστοιχα.</w:t>
      </w:r>
    </w:p>
    <w:p w:rsidR="00A502AA" w:rsidRPr="00F7301B" w:rsidRDefault="00E317F9">
      <w:pPr>
        <w:pStyle w:val="Style7"/>
        <w:widowControl/>
        <w:spacing w:line="240" w:lineRule="exact"/>
        <w:rPr>
          <w:sz w:val="20"/>
          <w:szCs w:val="20"/>
          <w:lang w:val="el-GR"/>
        </w:rPr>
      </w:pPr>
      <w:r>
        <w:rPr>
          <w:sz w:val="20"/>
          <w:szCs w:val="20"/>
          <w:lang w:val="el-GR"/>
        </w:rPr>
        <w:br w:type="page"/>
      </w:r>
    </w:p>
    <w:p w:rsidR="00A502AA" w:rsidRDefault="00A502AA">
      <w:pPr>
        <w:pStyle w:val="Style7"/>
        <w:widowControl/>
        <w:spacing w:before="34" w:line="264" w:lineRule="exact"/>
        <w:rPr>
          <w:rStyle w:val="FontStyle45"/>
          <w:lang w:val="el-GR" w:eastAsia="el-GR"/>
        </w:rPr>
      </w:pPr>
      <w:r>
        <w:rPr>
          <w:rStyle w:val="FontStyle45"/>
          <w:lang w:val="el-GR" w:eastAsia="el-GR"/>
        </w:rPr>
        <w:t xml:space="preserve">Η ροσουβαστατίνη 5 </w:t>
      </w:r>
      <w:r>
        <w:rPr>
          <w:rStyle w:val="FontStyle45"/>
          <w:lang w:eastAsia="el-GR"/>
        </w:rPr>
        <w:t>mg</w:t>
      </w:r>
      <w:r w:rsidRPr="00F7301B">
        <w:rPr>
          <w:rStyle w:val="FontStyle45"/>
          <w:lang w:val="el-GR" w:eastAsia="el-GR"/>
        </w:rPr>
        <w:t xml:space="preserve">, </w:t>
      </w:r>
      <w:r>
        <w:rPr>
          <w:rStyle w:val="FontStyle45"/>
          <w:lang w:val="el-GR" w:eastAsia="el-GR"/>
        </w:rPr>
        <w:t xml:space="preserve">10 </w:t>
      </w:r>
      <w:r>
        <w:rPr>
          <w:rStyle w:val="FontStyle45"/>
          <w:lang w:eastAsia="el-GR"/>
        </w:rPr>
        <w:t>mg</w:t>
      </w:r>
      <w:r w:rsidRPr="00F7301B">
        <w:rPr>
          <w:rStyle w:val="FontStyle45"/>
          <w:lang w:val="el-GR" w:eastAsia="el-GR"/>
        </w:rPr>
        <w:t xml:space="preserve"> </w:t>
      </w:r>
      <w:r>
        <w:rPr>
          <w:rStyle w:val="FontStyle45"/>
          <w:lang w:val="el-GR" w:eastAsia="el-GR"/>
        </w:rPr>
        <w:t xml:space="preserve">και 20 </w:t>
      </w:r>
      <w:r>
        <w:rPr>
          <w:rStyle w:val="FontStyle45"/>
          <w:lang w:eastAsia="el-GR"/>
        </w:rPr>
        <w:t>mg</w:t>
      </w:r>
      <w:r w:rsidRPr="00F7301B">
        <w:rPr>
          <w:rStyle w:val="FontStyle45"/>
          <w:lang w:val="el-GR" w:eastAsia="el-GR"/>
        </w:rPr>
        <w:t xml:space="preserve"> </w:t>
      </w:r>
      <w:r>
        <w:rPr>
          <w:rStyle w:val="FontStyle45"/>
          <w:lang w:val="el-GR" w:eastAsia="el-GR"/>
        </w:rPr>
        <w:t>πέτυχε επίσης στατιστικά σημαντικές μέσες μεταβολές από την τιμή έναρξης για τις ακόλουθες μεταβλητές λιπιδίων και</w:t>
      </w:r>
    </w:p>
    <w:p w:rsidR="00A502AA" w:rsidRPr="00F7301B" w:rsidRDefault="00A502AA">
      <w:pPr>
        <w:pStyle w:val="Style7"/>
        <w:widowControl/>
        <w:spacing w:line="240" w:lineRule="auto"/>
        <w:rPr>
          <w:rStyle w:val="FontStyle45"/>
          <w:lang w:val="el-GR" w:eastAsia="el-GR"/>
        </w:rPr>
      </w:pPr>
      <w:r>
        <w:rPr>
          <w:rStyle w:val="FontStyle45"/>
          <w:lang w:val="el-GR" w:eastAsia="el-GR"/>
        </w:rPr>
        <w:t xml:space="preserve">λιποπρωτεϊνών : </w:t>
      </w:r>
      <w:r>
        <w:rPr>
          <w:rStyle w:val="FontStyle45"/>
          <w:lang w:eastAsia="el-GR"/>
        </w:rPr>
        <w:t>HDL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eastAsia="el-GR"/>
        </w:rPr>
        <w:t>TC</w:t>
      </w:r>
      <w:r w:rsidRPr="00F7301B">
        <w:rPr>
          <w:rStyle w:val="FontStyle45"/>
          <w:lang w:val="el-GR" w:eastAsia="el-GR"/>
        </w:rPr>
        <w:t>,</w:t>
      </w:r>
      <w:r>
        <w:rPr>
          <w:rStyle w:val="FontStyle45"/>
          <w:lang w:eastAsia="el-GR"/>
        </w:rPr>
        <w:t>non</w:t>
      </w:r>
      <w:r w:rsidRPr="00F7301B">
        <w:rPr>
          <w:rStyle w:val="FontStyle45"/>
          <w:lang w:val="el-GR" w:eastAsia="el-GR"/>
        </w:rPr>
        <w:t>-</w:t>
      </w:r>
      <w:r>
        <w:rPr>
          <w:rStyle w:val="FontStyle45"/>
          <w:lang w:eastAsia="el-GR"/>
        </w:rPr>
        <w:t>HDL</w:t>
      </w:r>
      <w:r w:rsidRPr="00F7301B">
        <w:rPr>
          <w:rStyle w:val="FontStyle45"/>
          <w:lang w:val="el-GR" w:eastAsia="el-GR"/>
        </w:rPr>
        <w:t xml:space="preserve">- </w:t>
      </w:r>
      <w:r>
        <w:rPr>
          <w:rStyle w:val="FontStyle45"/>
          <w:lang w:eastAsia="el-GR"/>
        </w:rPr>
        <w:t>C</w:t>
      </w:r>
      <w:r w:rsidRPr="00F7301B">
        <w:rPr>
          <w:rStyle w:val="FontStyle45"/>
          <w:lang w:val="el-GR" w:eastAsia="el-GR"/>
        </w:rPr>
        <w:t xml:space="preserve">, </w:t>
      </w:r>
      <w:r>
        <w:rPr>
          <w:rStyle w:val="FontStyle45"/>
          <w:lang w:eastAsia="el-GR"/>
        </w:rPr>
        <w:t>LDL</w:t>
      </w:r>
      <w:r w:rsidRPr="00F7301B">
        <w:rPr>
          <w:rStyle w:val="FontStyle45"/>
          <w:lang w:val="el-GR" w:eastAsia="el-GR"/>
        </w:rPr>
        <w:t xml:space="preserve"> </w:t>
      </w:r>
      <w:r>
        <w:rPr>
          <w:rStyle w:val="FontStyle45"/>
          <w:lang w:eastAsia="el-GR"/>
        </w:rPr>
        <w:t>C</w:t>
      </w:r>
      <w:r w:rsidRPr="00F7301B">
        <w:rPr>
          <w:rStyle w:val="FontStyle45"/>
          <w:lang w:val="el-GR" w:eastAsia="el-GR"/>
        </w:rPr>
        <w:t>/</w:t>
      </w:r>
      <w:r>
        <w:rPr>
          <w:rStyle w:val="FontStyle45"/>
          <w:lang w:eastAsia="el-GR"/>
        </w:rPr>
        <w:t>HDL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eastAsia="el-GR"/>
        </w:rPr>
        <w:t>TC</w:t>
      </w:r>
      <w:r w:rsidRPr="00F7301B">
        <w:rPr>
          <w:rStyle w:val="FontStyle45"/>
          <w:lang w:val="el-GR" w:eastAsia="el-GR"/>
        </w:rPr>
        <w:t>/</w:t>
      </w:r>
      <w:r>
        <w:rPr>
          <w:rStyle w:val="FontStyle45"/>
          <w:lang w:eastAsia="el-GR"/>
        </w:rPr>
        <w:t>HDL</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eastAsia="el-GR"/>
        </w:rPr>
        <w:t>TG</w:t>
      </w:r>
      <w:r w:rsidRPr="00F7301B">
        <w:rPr>
          <w:rStyle w:val="FontStyle45"/>
          <w:lang w:val="el-GR" w:eastAsia="el-GR"/>
        </w:rPr>
        <w:t>/</w:t>
      </w:r>
      <w:r>
        <w:rPr>
          <w:rStyle w:val="FontStyle45"/>
          <w:lang w:eastAsia="el-GR"/>
        </w:rPr>
        <w:t>HDL</w:t>
      </w:r>
      <w:r w:rsidRPr="00F7301B">
        <w:rPr>
          <w:rStyle w:val="FontStyle45"/>
          <w:lang w:val="el-GR" w:eastAsia="el-GR"/>
        </w:rPr>
        <w:t>-</w:t>
      </w:r>
      <w:r>
        <w:rPr>
          <w:rStyle w:val="FontStyle45"/>
          <w:lang w:eastAsia="el-GR"/>
        </w:rPr>
        <w:t>C</w:t>
      </w:r>
      <w:r w:rsidRPr="00F7301B">
        <w:rPr>
          <w:rStyle w:val="FontStyle45"/>
          <w:lang w:val="el-GR" w:eastAsia="el-GR"/>
        </w:rPr>
        <w:t>,</w:t>
      </w:r>
    </w:p>
    <w:p w:rsidR="00A502AA" w:rsidRDefault="00A502AA">
      <w:pPr>
        <w:pStyle w:val="Style7"/>
        <w:widowControl/>
        <w:spacing w:line="264" w:lineRule="exact"/>
        <w:rPr>
          <w:rStyle w:val="FontStyle45"/>
          <w:lang w:val="el-GR"/>
        </w:rPr>
      </w:pPr>
      <w:r>
        <w:rPr>
          <w:rStyle w:val="FontStyle45"/>
        </w:rPr>
        <w:t>non</w:t>
      </w:r>
      <w:r w:rsidRPr="00F7301B">
        <w:rPr>
          <w:rStyle w:val="FontStyle45"/>
          <w:lang w:val="el-GR"/>
        </w:rPr>
        <w:t>-</w:t>
      </w:r>
      <w:r>
        <w:rPr>
          <w:rStyle w:val="FontStyle45"/>
        </w:rPr>
        <w:t>HDL</w:t>
      </w:r>
      <w:r w:rsidRPr="00F7301B">
        <w:rPr>
          <w:rStyle w:val="FontStyle45"/>
          <w:lang w:val="el-GR"/>
        </w:rPr>
        <w:t>-</w:t>
      </w:r>
      <w:r>
        <w:rPr>
          <w:rStyle w:val="FontStyle45"/>
        </w:rPr>
        <w:t>C</w:t>
      </w:r>
      <w:r w:rsidRPr="00F7301B">
        <w:rPr>
          <w:rStyle w:val="FontStyle45"/>
          <w:lang w:val="el-GR"/>
        </w:rPr>
        <w:t>/</w:t>
      </w:r>
      <w:r>
        <w:rPr>
          <w:rStyle w:val="FontStyle45"/>
        </w:rPr>
        <w:t>HDL</w:t>
      </w:r>
      <w:r w:rsidRPr="00F7301B">
        <w:rPr>
          <w:rStyle w:val="FontStyle45"/>
          <w:lang w:val="el-GR"/>
        </w:rPr>
        <w:t>-</w:t>
      </w:r>
      <w:r>
        <w:rPr>
          <w:rStyle w:val="FontStyle45"/>
        </w:rPr>
        <w:t>C</w:t>
      </w:r>
      <w:r w:rsidRPr="00F7301B">
        <w:rPr>
          <w:rStyle w:val="FontStyle45"/>
          <w:lang w:val="el-GR"/>
        </w:rPr>
        <w:t xml:space="preserve">, </w:t>
      </w:r>
      <w:r>
        <w:rPr>
          <w:rStyle w:val="FontStyle45"/>
          <w:lang w:val="el-GR"/>
        </w:rPr>
        <w:t>ApοΒ, ApοΒ/ApοA-1. Οι μεταβολές αυτές ήταν η καθεμία στην κατεύθυνση των βελτιωμένων ανταποκρίσεων των λιπιδίων και διατηρήθηκαν για πάνω από 2 χρόνια.</w:t>
      </w: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154" w:line="264" w:lineRule="exact"/>
        <w:rPr>
          <w:rStyle w:val="FontStyle45"/>
          <w:lang w:val="el-GR" w:eastAsia="el-GR"/>
        </w:rPr>
      </w:pPr>
      <w:r>
        <w:rPr>
          <w:rStyle w:val="FontStyle45"/>
          <w:lang w:val="el-GR" w:eastAsia="el-GR"/>
        </w:rPr>
        <w:t>Μετά από 24 μήνες θεραπείας, δεν παρατηρήθηκε καμία επίδραση στην ανάπτυξη, στο βάρος, το ΔΜΣ ή τη σεξουαλική ωρίμανση ( βλ. παράγραφο 4.4).</w:t>
      </w: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8" w:line="264" w:lineRule="exact"/>
        <w:rPr>
          <w:rStyle w:val="FontStyle45"/>
          <w:lang w:val="el-GR" w:eastAsia="el-GR"/>
        </w:rPr>
      </w:pPr>
      <w:r>
        <w:rPr>
          <w:rStyle w:val="FontStyle45"/>
          <w:lang w:val="el-GR" w:eastAsia="el-GR"/>
        </w:rPr>
        <w:t>Ο Ευρωπαϊκός Οργανισμός Φαρμάκων απαλλάσσει από την υποχρέωση υποβολής των αποτελεσμάτων των μελετών με ροσουβαστατίνη σε όλο το υποσύνολο του παιδιατρικού πληθυσμού για τη θεραπεία της ομόζυγης οικογενούς υπερχοληστερολαιμίας, την πρωτοπαθή συνδυασμένη (μικτή) δυσλιπιδαιμία και για την πρόληψη των καρδιαγγειακών συμβαμάτων (βλ. παράγραφο 4.2 για πληροφορίες σχετικά με την παιδιατρική χρήση).</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5.2 Φαρμακοκινητικές ιδιότητες</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4"/>
          <w:lang w:val="el-GR" w:eastAsia="el-GR"/>
        </w:rPr>
        <w:t xml:space="preserve">Απορρόφηση: </w:t>
      </w:r>
      <w:r>
        <w:rPr>
          <w:rStyle w:val="FontStyle45"/>
          <w:lang w:val="el-GR" w:eastAsia="el-GR"/>
        </w:rPr>
        <w:t>Τα μέγιστα επίπεδα της ροσουβαστατίνης στο πλάσμα επιτυγχάνονται περίπου 5 ώρες μετά την από του στόματος χορήγηση. Η απόλυτη βιοδιαθεσιμότητα είναι περίπου 20%.</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29" w:line="264" w:lineRule="exact"/>
        <w:rPr>
          <w:rStyle w:val="FontStyle45"/>
          <w:lang w:val="el-GR" w:eastAsia="el-GR"/>
        </w:rPr>
      </w:pPr>
      <w:r>
        <w:rPr>
          <w:rStyle w:val="FontStyle44"/>
          <w:lang w:val="el-GR" w:eastAsia="el-GR"/>
        </w:rPr>
        <w:t xml:space="preserve">Κατανομή: </w:t>
      </w:r>
      <w:r>
        <w:rPr>
          <w:rStyle w:val="FontStyle45"/>
          <w:lang w:val="el-GR" w:eastAsia="el-GR"/>
        </w:rPr>
        <w:t xml:space="preserve">Η ροσουβαστατίνη συγκεντρώνεται σε μεγάλο βαθμό στο ήπαρ που είναι η κύρια περιοχή σύνθεσης της χοληστερόλης και αποβολής της </w:t>
      </w:r>
      <w:r>
        <w:rPr>
          <w:rStyle w:val="FontStyle45"/>
          <w:lang w:eastAsia="el-GR"/>
        </w:rPr>
        <w:t>LDL</w:t>
      </w:r>
      <w:r w:rsidRPr="00F7301B">
        <w:rPr>
          <w:rStyle w:val="FontStyle45"/>
          <w:lang w:val="el-GR" w:eastAsia="el-GR"/>
        </w:rPr>
        <w:t>-</w:t>
      </w:r>
      <w:r>
        <w:rPr>
          <w:rStyle w:val="FontStyle45"/>
          <w:lang w:val="el-GR" w:eastAsia="el-GR"/>
        </w:rPr>
        <w:t xml:space="preserve">χοληστερόλης. Ο όγκος κατανομής της ροσουβαστατίνης είναι περίπου 134 </w:t>
      </w:r>
      <w:r>
        <w:rPr>
          <w:rStyle w:val="FontStyle45"/>
          <w:lang w:eastAsia="el-GR"/>
        </w:rPr>
        <w:t>L</w:t>
      </w:r>
      <w:r w:rsidRPr="00F7301B">
        <w:rPr>
          <w:rStyle w:val="FontStyle45"/>
          <w:lang w:val="el-GR" w:eastAsia="el-GR"/>
        </w:rPr>
        <w:t xml:space="preserve">. </w:t>
      </w:r>
      <w:r>
        <w:rPr>
          <w:rStyle w:val="FontStyle45"/>
          <w:lang w:val="el-GR" w:eastAsia="el-GR"/>
        </w:rPr>
        <w:t>Περίπου το 90% της ροσουβαστατίνης είναι συνδεδεμένο με τις πρωτεΐνες του πλάσματος, κυρίως με τη λευκωματίνη.</w:t>
      </w:r>
    </w:p>
    <w:p w:rsidR="00A502AA" w:rsidRDefault="00A502AA">
      <w:pPr>
        <w:pStyle w:val="Style7"/>
        <w:widowControl/>
        <w:spacing w:before="48" w:line="264" w:lineRule="exact"/>
        <w:rPr>
          <w:rStyle w:val="FontStyle45"/>
          <w:lang w:val="el-GR" w:eastAsia="el-GR"/>
        </w:rPr>
      </w:pPr>
      <w:r>
        <w:rPr>
          <w:rStyle w:val="FontStyle44"/>
          <w:lang w:val="el-GR" w:eastAsia="el-GR"/>
        </w:rPr>
        <w:t xml:space="preserve">Μεταβολισμός: </w:t>
      </w:r>
      <w:r>
        <w:rPr>
          <w:rStyle w:val="FontStyle45"/>
          <w:lang w:eastAsia="el-GR"/>
        </w:rPr>
        <w:t>H</w:t>
      </w:r>
      <w:r w:rsidRPr="00F7301B">
        <w:rPr>
          <w:rStyle w:val="FontStyle45"/>
          <w:lang w:val="el-GR" w:eastAsia="el-GR"/>
        </w:rPr>
        <w:t xml:space="preserve"> </w:t>
      </w:r>
      <w:r>
        <w:rPr>
          <w:rStyle w:val="FontStyle45"/>
          <w:lang w:val="el-GR" w:eastAsia="el-GR"/>
        </w:rPr>
        <w:t xml:space="preserve">ροσουβαστατίνη υπόκειται σε περιορισμένο μεταβολισμό (περίπου 10%). Μελέτες μεταβολισμού </w:t>
      </w:r>
      <w:r>
        <w:rPr>
          <w:rStyle w:val="FontStyle43"/>
          <w:lang w:eastAsia="el-GR"/>
        </w:rPr>
        <w:t>in</w:t>
      </w:r>
      <w:r w:rsidRPr="00F7301B">
        <w:rPr>
          <w:rStyle w:val="FontStyle43"/>
          <w:lang w:val="el-GR" w:eastAsia="el-GR"/>
        </w:rPr>
        <w:t xml:space="preserve"> </w:t>
      </w:r>
      <w:r>
        <w:rPr>
          <w:rStyle w:val="FontStyle43"/>
          <w:lang w:eastAsia="el-GR"/>
        </w:rPr>
        <w:t>vitro</w:t>
      </w:r>
      <w:r w:rsidRPr="00F7301B">
        <w:rPr>
          <w:rStyle w:val="FontStyle43"/>
          <w:lang w:val="el-GR" w:eastAsia="el-GR"/>
        </w:rPr>
        <w:t xml:space="preserve"> </w:t>
      </w:r>
      <w:r>
        <w:rPr>
          <w:rStyle w:val="FontStyle45"/>
          <w:lang w:val="el-GR" w:eastAsia="el-GR"/>
        </w:rPr>
        <w:t xml:space="preserve">με χρήση ανθρώπινων ηπατοκυττάρων, υποδηλώνουν ότι η ροσουβαστατίνη είναι φτωχό υπόστρωμα του μεταβολισμού που βασίζεται στο κυτόχρωμα </w:t>
      </w:r>
      <w:r>
        <w:rPr>
          <w:rStyle w:val="FontStyle45"/>
          <w:lang w:eastAsia="el-GR"/>
        </w:rPr>
        <w:t>P</w:t>
      </w:r>
      <w:r w:rsidRPr="00F7301B">
        <w:rPr>
          <w:rStyle w:val="FontStyle45"/>
          <w:lang w:val="el-GR" w:eastAsia="el-GR"/>
        </w:rPr>
        <w:t xml:space="preserve">450. </w:t>
      </w:r>
      <w:r>
        <w:rPr>
          <w:rStyle w:val="FontStyle45"/>
          <w:lang w:val="el-GR" w:eastAsia="el-GR"/>
        </w:rPr>
        <w:t xml:space="preserve">Το </w:t>
      </w:r>
      <w:r>
        <w:rPr>
          <w:rStyle w:val="FontStyle45"/>
          <w:lang w:eastAsia="el-GR"/>
        </w:rPr>
        <w:t>CYP</w:t>
      </w:r>
      <w:r w:rsidRPr="00F7301B">
        <w:rPr>
          <w:rStyle w:val="FontStyle45"/>
          <w:lang w:val="el-GR" w:eastAsia="el-GR"/>
        </w:rPr>
        <w:t>2</w:t>
      </w:r>
      <w:r>
        <w:rPr>
          <w:rStyle w:val="FontStyle45"/>
          <w:lang w:eastAsia="el-GR"/>
        </w:rPr>
        <w:t>C</w:t>
      </w:r>
      <w:r w:rsidRPr="00F7301B">
        <w:rPr>
          <w:rStyle w:val="FontStyle45"/>
          <w:lang w:val="el-GR" w:eastAsia="el-GR"/>
        </w:rPr>
        <w:t xml:space="preserve">9 </w:t>
      </w:r>
      <w:r>
        <w:rPr>
          <w:rStyle w:val="FontStyle45"/>
          <w:lang w:val="el-GR" w:eastAsia="el-GR"/>
        </w:rPr>
        <w:t xml:space="preserve">ήταν το κυρίως ισοένζυμο που εμπλέκεται, ενώ τα </w:t>
      </w:r>
      <w:r w:rsidRPr="00F7301B">
        <w:rPr>
          <w:rStyle w:val="FontStyle45"/>
          <w:lang w:val="el-GR" w:eastAsia="el-GR"/>
        </w:rPr>
        <w:t>2</w:t>
      </w:r>
      <w:r>
        <w:rPr>
          <w:rStyle w:val="FontStyle45"/>
          <w:lang w:eastAsia="el-GR"/>
        </w:rPr>
        <w:t>C</w:t>
      </w:r>
      <w:r w:rsidRPr="00F7301B">
        <w:rPr>
          <w:rStyle w:val="FontStyle45"/>
          <w:lang w:val="el-GR" w:eastAsia="el-GR"/>
        </w:rPr>
        <w:t>19, 3</w:t>
      </w:r>
      <w:r>
        <w:rPr>
          <w:rStyle w:val="FontStyle45"/>
          <w:lang w:eastAsia="el-GR"/>
        </w:rPr>
        <w:t>A</w:t>
      </w:r>
      <w:r w:rsidRPr="00F7301B">
        <w:rPr>
          <w:rStyle w:val="FontStyle45"/>
          <w:lang w:val="el-GR" w:eastAsia="el-GR"/>
        </w:rPr>
        <w:t xml:space="preserve">4 </w:t>
      </w:r>
      <w:r>
        <w:rPr>
          <w:rStyle w:val="FontStyle45"/>
          <w:lang w:val="el-GR" w:eastAsia="el-GR"/>
        </w:rPr>
        <w:t xml:space="preserve">και </w:t>
      </w:r>
      <w:r w:rsidRPr="00F7301B">
        <w:rPr>
          <w:rStyle w:val="FontStyle45"/>
          <w:lang w:val="el-GR" w:eastAsia="el-GR"/>
        </w:rPr>
        <w:t>2</w:t>
      </w:r>
      <w:r>
        <w:rPr>
          <w:rStyle w:val="FontStyle45"/>
          <w:lang w:eastAsia="el-GR"/>
        </w:rPr>
        <w:t>D</w:t>
      </w:r>
      <w:r w:rsidRPr="00F7301B">
        <w:rPr>
          <w:rStyle w:val="FontStyle45"/>
          <w:lang w:val="el-GR" w:eastAsia="el-GR"/>
        </w:rPr>
        <w:t xml:space="preserve">6 </w:t>
      </w:r>
      <w:r>
        <w:rPr>
          <w:rStyle w:val="FontStyle45"/>
          <w:lang w:val="el-GR" w:eastAsia="el-GR"/>
        </w:rPr>
        <w:t xml:space="preserve">εμπλέκονται σε μικρότερο βαθμό. Οι κύριοι μεταβολίτες που προσδιορίζονται είναι ο Ν-απομεθυλιωμένος μεταβολίτης και οι λακτονικοί μεταβολίτες. Ο Ν-απομεθυλιωμένος μεταβολίτης είναι κατά περίπου 50% λιγότερο δραστικός από την ροσουβαστατίνη, ενώ η λακτονική μορφή θεωρείται κλινικά ανενεργή. Η ροσουβαστατίνη ευθύνεται για περισσότερο από το 90% της ανασταλτικής δραστικότητας της κυκλοφορούσης στο αίμα </w:t>
      </w:r>
      <w:r>
        <w:rPr>
          <w:rStyle w:val="FontStyle45"/>
          <w:lang w:eastAsia="el-GR"/>
        </w:rPr>
        <w:t>HMG</w:t>
      </w:r>
      <w:r w:rsidRPr="00F7301B">
        <w:rPr>
          <w:rStyle w:val="FontStyle45"/>
          <w:lang w:val="el-GR" w:eastAsia="el-GR"/>
        </w:rPr>
        <w:t xml:space="preserve"> </w:t>
      </w:r>
      <w:r>
        <w:rPr>
          <w:rStyle w:val="FontStyle45"/>
          <w:lang w:eastAsia="el-GR"/>
        </w:rPr>
        <w:t>CoA</w:t>
      </w:r>
      <w:r w:rsidRPr="00F7301B">
        <w:rPr>
          <w:rStyle w:val="FontStyle45"/>
          <w:lang w:val="el-GR" w:eastAsia="el-GR"/>
        </w:rPr>
        <w:t xml:space="preserve"> </w:t>
      </w:r>
      <w:r>
        <w:rPr>
          <w:rStyle w:val="FontStyle45"/>
          <w:lang w:val="el-GR" w:eastAsia="el-GR"/>
        </w:rPr>
        <w:t>αναγωγάσης.</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24" w:line="264" w:lineRule="exact"/>
        <w:rPr>
          <w:rStyle w:val="FontStyle45"/>
          <w:lang w:val="el-GR" w:eastAsia="el-GR"/>
        </w:rPr>
      </w:pPr>
      <w:r>
        <w:rPr>
          <w:rStyle w:val="FontStyle44"/>
          <w:lang w:val="el-GR" w:eastAsia="el-GR"/>
        </w:rPr>
        <w:t xml:space="preserve">Απέκκριση: </w:t>
      </w:r>
      <w:r>
        <w:rPr>
          <w:rStyle w:val="FontStyle45"/>
          <w:lang w:val="el-GR" w:eastAsia="el-GR"/>
        </w:rPr>
        <w:t xml:space="preserve">Περίπου 90% της δόσης της ροσουβαστατίνης απεκκρίνεται αμετάβλητη στα κόπρανα (αποτελούμενη από προσροφημένη και μη δραστική ουσία) και το υπόλοιπο ποσοστό αποβάλλεται στα ούρα. Ποσοστό περίπου 5% απεκκρίνεται αμετάβλητο από τα ούρα. Η ημιπερίοδος ζωής της απομάκρυνσης της ροσουβαστατίνης από το πλάσμα είναι 19 ώρες. Η ημιπερίοδος ζωής της απομάκρυνσης δεν αυξάνεται σε υψηλότερες δόσεις. </w:t>
      </w:r>
      <w:r>
        <w:rPr>
          <w:rStyle w:val="FontStyle45"/>
          <w:lang w:eastAsia="el-GR"/>
        </w:rPr>
        <w:t>H</w:t>
      </w:r>
      <w:r w:rsidRPr="00F7301B">
        <w:rPr>
          <w:rStyle w:val="FontStyle45"/>
          <w:lang w:val="el-GR" w:eastAsia="el-GR"/>
        </w:rPr>
        <w:t xml:space="preserve"> </w:t>
      </w:r>
      <w:r>
        <w:rPr>
          <w:rStyle w:val="FontStyle45"/>
          <w:lang w:val="el-GR" w:eastAsia="el-GR"/>
        </w:rPr>
        <w:t xml:space="preserve">μέση γεωμετρική κάθαρση από το πλάσμα είναι περίπου 50 λίτρα/ώρα (συντελεστής μεταβλητότητας 21,7%). Όπως και με τους άλλους αναστολείς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η πρόσληψη της ροσουβαστατίνης από το ήπαρ εμπλέκει τον μεμβρανικό μεταφορέα </w:t>
      </w:r>
      <w:r>
        <w:rPr>
          <w:rStyle w:val="FontStyle45"/>
          <w:lang w:eastAsia="el-GR"/>
        </w:rPr>
        <w:t>OATP</w:t>
      </w:r>
      <w:r w:rsidRPr="00F7301B">
        <w:rPr>
          <w:rStyle w:val="FontStyle45"/>
          <w:lang w:val="el-GR" w:eastAsia="el-GR"/>
        </w:rPr>
        <w:t>-</w:t>
      </w:r>
      <w:r>
        <w:rPr>
          <w:rStyle w:val="FontStyle45"/>
          <w:lang w:eastAsia="el-GR"/>
        </w:rPr>
        <w:t>C</w:t>
      </w:r>
      <w:r w:rsidRPr="00F7301B">
        <w:rPr>
          <w:rStyle w:val="FontStyle45"/>
          <w:lang w:val="el-GR" w:eastAsia="el-GR"/>
        </w:rPr>
        <w:t xml:space="preserve">. </w:t>
      </w:r>
      <w:r>
        <w:rPr>
          <w:rStyle w:val="FontStyle45"/>
          <w:lang w:val="el-GR" w:eastAsia="el-GR"/>
        </w:rPr>
        <w:t>Ο μεταφορέας αυτός είναι σημαντικός για την ηπατική απέκκριση της ροσουβαστατίνης.</w:t>
      </w:r>
    </w:p>
    <w:p w:rsidR="00A502AA" w:rsidRPr="00F7301B" w:rsidRDefault="00A502AA">
      <w:pPr>
        <w:pStyle w:val="Style7"/>
        <w:widowControl/>
        <w:spacing w:line="240" w:lineRule="exact"/>
        <w:rPr>
          <w:sz w:val="20"/>
          <w:szCs w:val="20"/>
          <w:lang w:val="el-GR"/>
        </w:rPr>
      </w:pP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34" w:line="264" w:lineRule="exact"/>
        <w:rPr>
          <w:rStyle w:val="FontStyle45"/>
          <w:lang w:val="el-GR" w:eastAsia="el-GR"/>
        </w:rPr>
      </w:pPr>
      <w:r>
        <w:rPr>
          <w:rStyle w:val="FontStyle44"/>
          <w:lang w:val="el-GR" w:eastAsia="el-GR"/>
        </w:rPr>
        <w:lastRenderedPageBreak/>
        <w:t xml:space="preserve">Γραμμικότητα: </w:t>
      </w:r>
      <w:r>
        <w:rPr>
          <w:rStyle w:val="FontStyle45"/>
          <w:lang w:val="el-GR" w:eastAsia="el-GR"/>
        </w:rPr>
        <w:t>Η συστηματική έκθεση στη ροσουβαστατίνη αυξάνει αναλογικά με τη δόση. Δεν υπάρχουν μεταβολές στις φαρμακοκινητικές παραμέτρους μετά από επαναλαμβανόμενες ημερήσιες δόσεις.</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62"/>
        <w:jc w:val="left"/>
        <w:rPr>
          <w:rStyle w:val="FontStyle44"/>
          <w:lang w:val="el-GR" w:eastAsia="el-GR"/>
        </w:rPr>
      </w:pPr>
      <w:r>
        <w:rPr>
          <w:rStyle w:val="FontStyle44"/>
          <w:lang w:val="el-GR" w:eastAsia="el-GR"/>
        </w:rPr>
        <w:t>Ειδικές κατηγορίες πληθυσμού:</w:t>
      </w:r>
    </w:p>
    <w:p w:rsidR="00A502AA" w:rsidRDefault="00A502AA">
      <w:pPr>
        <w:pStyle w:val="Style7"/>
        <w:widowControl/>
        <w:spacing w:before="125" w:line="264" w:lineRule="exact"/>
        <w:rPr>
          <w:rStyle w:val="FontStyle45"/>
          <w:lang w:val="el-GR" w:eastAsia="el-GR"/>
        </w:rPr>
      </w:pPr>
      <w:r>
        <w:rPr>
          <w:rStyle w:val="FontStyle44"/>
          <w:lang w:val="el-GR" w:eastAsia="el-GR"/>
        </w:rPr>
        <w:t xml:space="preserve">Ηλικία και φύλο: </w:t>
      </w:r>
      <w:r>
        <w:rPr>
          <w:rStyle w:val="FontStyle45"/>
          <w:lang w:val="el-GR" w:eastAsia="el-GR"/>
        </w:rPr>
        <w:t xml:space="preserve">Δεν παρουσιάστηκε σχετική κλινικής σημασίας επίδραση της ηλικίας ή του φύλου στη φαρμακοκινητική της ροσουβαστατίνης σε ενήλικες. </w:t>
      </w:r>
      <w:r w:rsidR="004B0E85" w:rsidRPr="004B0E85">
        <w:rPr>
          <w:rStyle w:val="FontStyle45"/>
          <w:lang w:val="el-GR" w:eastAsia="el-GR"/>
        </w:rPr>
        <w:t>Η έκθεση σε παιδιά και εφήβους με ετερόζυγη οικογενή υπερχοληστερολαιμία φαίνεται να είναι παρόμοια ή χαμηλότερη από ότι σε ενήλικες ασθενείς με δυσλιπιδαιμία</w:t>
      </w:r>
      <w:r>
        <w:rPr>
          <w:rStyle w:val="FontStyle45"/>
          <w:lang w:val="el-GR" w:eastAsia="el-GR"/>
        </w:rPr>
        <w:t xml:space="preserve"> (βλ. «Παιδιατρικός πληθυσμός» παρακάτω).</w:t>
      </w:r>
    </w:p>
    <w:p w:rsidR="00A502AA" w:rsidRDefault="00A502AA">
      <w:pPr>
        <w:pStyle w:val="Style7"/>
        <w:widowControl/>
        <w:spacing w:before="125" w:line="264" w:lineRule="exact"/>
        <w:rPr>
          <w:rStyle w:val="FontStyle45"/>
          <w:lang w:val="el-GR" w:eastAsia="el-GR"/>
        </w:rPr>
      </w:pPr>
      <w:r>
        <w:rPr>
          <w:rStyle w:val="FontStyle44"/>
          <w:lang w:val="el-GR" w:eastAsia="el-GR"/>
        </w:rPr>
        <w:t xml:space="preserve">Φυλή: </w:t>
      </w:r>
      <w:r>
        <w:rPr>
          <w:rStyle w:val="FontStyle45"/>
          <w:lang w:val="el-GR" w:eastAsia="el-GR"/>
        </w:rPr>
        <w:t xml:space="preserve">Οι φαρμακοκινητικές μελέτες δείχνουν σχεδόν διπλασιασμό της μέσης </w:t>
      </w:r>
      <w:r>
        <w:rPr>
          <w:rStyle w:val="FontStyle45"/>
          <w:lang w:eastAsia="el-GR"/>
        </w:rPr>
        <w:t>AUC</w:t>
      </w:r>
      <w:r w:rsidRPr="00F7301B">
        <w:rPr>
          <w:rStyle w:val="FontStyle45"/>
          <w:lang w:val="el-GR" w:eastAsia="el-GR"/>
        </w:rPr>
        <w:t xml:space="preserve"> </w:t>
      </w:r>
      <w:r>
        <w:rPr>
          <w:rStyle w:val="FontStyle45"/>
          <w:lang w:val="el-GR" w:eastAsia="el-GR"/>
        </w:rPr>
        <w:t xml:space="preserve">και της </w:t>
      </w:r>
      <w:r>
        <w:rPr>
          <w:rStyle w:val="FontStyle45"/>
          <w:lang w:eastAsia="el-GR"/>
        </w:rPr>
        <w:t>Cmax</w:t>
      </w:r>
      <w:r w:rsidRPr="00F7301B">
        <w:rPr>
          <w:rStyle w:val="FontStyle45"/>
          <w:lang w:val="el-GR" w:eastAsia="el-GR"/>
        </w:rPr>
        <w:t xml:space="preserve"> </w:t>
      </w:r>
      <w:r>
        <w:rPr>
          <w:rStyle w:val="FontStyle45"/>
          <w:lang w:val="el-GR" w:eastAsia="el-GR"/>
        </w:rPr>
        <w:t xml:space="preserve">στους Ασιάτες (Ιάπωνες, Κινέζους, Φιλιππινέζους, Βιετναμέζους και Κορεάτες) σε σχέση με τους Καυκάσιους. Ασιάτες - Ινδοί παρουσιάζουν περίπου 1,3 φορά αύξηση στην μέση </w:t>
      </w:r>
      <w:r>
        <w:rPr>
          <w:rStyle w:val="FontStyle45"/>
          <w:lang w:eastAsia="el-GR"/>
        </w:rPr>
        <w:t>AUC</w:t>
      </w:r>
      <w:r w:rsidRPr="00F7301B">
        <w:rPr>
          <w:rStyle w:val="FontStyle45"/>
          <w:lang w:val="el-GR" w:eastAsia="el-GR"/>
        </w:rPr>
        <w:t xml:space="preserve"> </w:t>
      </w:r>
      <w:r>
        <w:rPr>
          <w:rStyle w:val="FontStyle45"/>
          <w:lang w:val="el-GR" w:eastAsia="el-GR"/>
        </w:rPr>
        <w:t xml:space="preserve">και </w:t>
      </w:r>
      <w:r>
        <w:rPr>
          <w:rStyle w:val="FontStyle45"/>
          <w:lang w:eastAsia="el-GR"/>
        </w:rPr>
        <w:t>Cmax</w:t>
      </w:r>
      <w:r w:rsidRPr="00F7301B">
        <w:rPr>
          <w:rStyle w:val="FontStyle45"/>
          <w:lang w:val="el-GR" w:eastAsia="el-GR"/>
        </w:rPr>
        <w:t xml:space="preserve">. </w:t>
      </w:r>
      <w:r>
        <w:rPr>
          <w:rStyle w:val="FontStyle45"/>
          <w:lang w:val="el-GR" w:eastAsia="el-GR"/>
        </w:rPr>
        <w:t>Μια πληθυσμιακή φαρμακοκινητική ανάλυση δεν έδειξε κλινικά σημαντικές διαφορές στα φαρμακοκινητικά δεδομένα μεταξύ Καυκασίων και Μαύρης Φυλής.</w:t>
      </w:r>
    </w:p>
    <w:p w:rsidR="00A502AA" w:rsidRDefault="00A502AA">
      <w:pPr>
        <w:pStyle w:val="Style7"/>
        <w:widowControl/>
        <w:spacing w:before="130" w:line="264" w:lineRule="exact"/>
        <w:rPr>
          <w:rStyle w:val="FontStyle45"/>
          <w:lang w:val="el-GR" w:eastAsia="el-GR"/>
        </w:rPr>
      </w:pPr>
      <w:r>
        <w:rPr>
          <w:rStyle w:val="FontStyle44"/>
          <w:lang w:val="el-GR" w:eastAsia="el-GR"/>
        </w:rPr>
        <w:t xml:space="preserve">Νεφρική ανεπάρκεια: </w:t>
      </w:r>
      <w:r>
        <w:rPr>
          <w:rStyle w:val="FontStyle45"/>
          <w:lang w:val="el-GR" w:eastAsia="el-GR"/>
        </w:rPr>
        <w:t xml:space="preserve">Σε μία μελέτη που έγινε σε άτομα με διαφορετικής βαρύτητας νεφρική δυσλειτουργία, η ήπια έως μέτρια νεφρική νόσος δεν είχε καμία επίδραση στα επίπεδα της ροσουβαστατίνης ή του Ν-απομεθυλιωμένου μεταβολίτη στο πλάσμα. Άτομα με σοβαρή νεφρική δυσλειτουργία </w:t>
      </w:r>
      <w:r w:rsidRPr="00F7301B">
        <w:rPr>
          <w:rStyle w:val="FontStyle45"/>
          <w:lang w:val="el-GR" w:eastAsia="el-GR"/>
        </w:rPr>
        <w:t>(</w:t>
      </w:r>
      <w:r>
        <w:rPr>
          <w:rStyle w:val="FontStyle45"/>
          <w:lang w:eastAsia="el-GR"/>
        </w:rPr>
        <w:t>CrCl</w:t>
      </w:r>
      <w:r w:rsidRPr="00F7301B">
        <w:rPr>
          <w:rStyle w:val="FontStyle45"/>
          <w:lang w:val="el-GR" w:eastAsia="el-GR"/>
        </w:rPr>
        <w:t>&lt;30</w:t>
      </w:r>
      <w:r>
        <w:rPr>
          <w:rStyle w:val="FontStyle45"/>
          <w:lang w:eastAsia="el-GR"/>
        </w:rPr>
        <w:t>ml</w:t>
      </w:r>
      <w:r w:rsidRPr="00F7301B">
        <w:rPr>
          <w:rStyle w:val="FontStyle45"/>
          <w:lang w:val="el-GR" w:eastAsia="el-GR"/>
        </w:rPr>
        <w:t>/</w:t>
      </w:r>
      <w:r>
        <w:rPr>
          <w:rStyle w:val="FontStyle45"/>
          <w:lang w:eastAsia="el-GR"/>
        </w:rPr>
        <w:t>min</w:t>
      </w:r>
      <w:r w:rsidRPr="00F7301B">
        <w:rPr>
          <w:rStyle w:val="FontStyle45"/>
          <w:lang w:val="el-GR" w:eastAsia="el-GR"/>
        </w:rPr>
        <w:t xml:space="preserve">) </w:t>
      </w:r>
      <w:r>
        <w:rPr>
          <w:rStyle w:val="FontStyle45"/>
          <w:lang w:val="el-GR" w:eastAsia="el-GR"/>
        </w:rPr>
        <w:t>είχαν τριπλάσια αύξηση στα επίπεδα πλάσματος και 9πλάσια αύξηση στη συγκέντρωση του Ν-απομεθυλιωμένου μεταβολίτη σε σύγκριση με τους υγιείς εθελοντές. Τα επίπεδα πλάσματος της ροσουβαστατίνης σε σταθεροποιημένη κατάσταση σε ασθενείς που υπόκεινται σε αιμοδιάλυση ήταν περίπου 50% υψηλότερα σε σύγκριση με αυτά των υγιών εθελοντών.</w:t>
      </w:r>
    </w:p>
    <w:p w:rsidR="00A502AA" w:rsidRDefault="00A502AA">
      <w:pPr>
        <w:pStyle w:val="Style7"/>
        <w:widowControl/>
        <w:spacing w:before="48" w:line="264" w:lineRule="exact"/>
        <w:rPr>
          <w:rStyle w:val="FontStyle45"/>
          <w:lang w:val="el-GR" w:eastAsia="el-GR"/>
        </w:rPr>
      </w:pPr>
      <w:r>
        <w:rPr>
          <w:rStyle w:val="FontStyle44"/>
          <w:lang w:val="el-GR" w:eastAsia="el-GR"/>
        </w:rPr>
        <w:t xml:space="preserve">Ηπατική ανεπάρκεια: </w:t>
      </w:r>
      <w:r>
        <w:rPr>
          <w:rStyle w:val="FontStyle45"/>
          <w:lang w:val="el-GR" w:eastAsia="el-GR"/>
        </w:rPr>
        <w:t xml:space="preserve">Σε μία μελέτη σε άτομα με διαφορετικής βαρύτητας ηπατική δυσλειτουργία δεν υπήρξαν στοιχεία αυξημένης έκθεσης στη ροσουβαστατίνη σε άτομα με βαθμολόγηση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w:t>
      </w:r>
      <w:r>
        <w:rPr>
          <w:rStyle w:val="FontStyle45"/>
          <w:lang w:val="el-GR" w:eastAsia="el-GR"/>
        </w:rPr>
        <w:t xml:space="preserve">7 και μικρότερη. Εντούτοις, δύο περιστατικά με βαθμολόγηση 8 και 9 κατά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w:t>
      </w:r>
      <w:r>
        <w:rPr>
          <w:rStyle w:val="FontStyle45"/>
          <w:lang w:val="el-GR" w:eastAsia="el-GR"/>
        </w:rPr>
        <w:t xml:space="preserve">παρουσίασαν αύξηση στη συστηματική έκθεση τουλάχιστον διπλάσια σε σύγκριση με τα άτομα με χαμηλότερους βαθμούς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w:t>
      </w:r>
      <w:r>
        <w:rPr>
          <w:rStyle w:val="FontStyle45"/>
          <w:lang w:val="el-GR" w:eastAsia="el-GR"/>
        </w:rPr>
        <w:t xml:space="preserve">Δεν υπάρχει εμπειρία σε άτομα με βαθμολόγηση </w:t>
      </w:r>
      <w:r>
        <w:rPr>
          <w:rStyle w:val="FontStyle45"/>
          <w:lang w:eastAsia="el-GR"/>
        </w:rPr>
        <w:t>Child</w:t>
      </w:r>
      <w:r w:rsidRPr="00F7301B">
        <w:rPr>
          <w:rStyle w:val="FontStyle45"/>
          <w:lang w:val="el-GR" w:eastAsia="el-GR"/>
        </w:rPr>
        <w:t>-</w:t>
      </w:r>
      <w:r>
        <w:rPr>
          <w:rStyle w:val="FontStyle45"/>
          <w:lang w:eastAsia="el-GR"/>
        </w:rPr>
        <w:t>Pugh</w:t>
      </w:r>
      <w:r w:rsidRPr="00F7301B">
        <w:rPr>
          <w:rStyle w:val="FontStyle45"/>
          <w:lang w:val="el-GR" w:eastAsia="el-GR"/>
        </w:rPr>
        <w:t xml:space="preserve"> 9 </w:t>
      </w:r>
      <w:r>
        <w:rPr>
          <w:rStyle w:val="FontStyle45"/>
          <w:lang w:val="el-GR" w:eastAsia="el-GR"/>
        </w:rPr>
        <w:t>και άνω.</w:t>
      </w:r>
    </w:p>
    <w:p w:rsidR="00A502AA" w:rsidRPr="00F7301B" w:rsidRDefault="00A502AA">
      <w:pPr>
        <w:pStyle w:val="Style7"/>
        <w:widowControl/>
        <w:spacing w:before="130" w:line="264" w:lineRule="exact"/>
        <w:rPr>
          <w:rStyle w:val="FontStyle45"/>
          <w:lang w:val="el-GR" w:eastAsia="el-GR"/>
        </w:rPr>
      </w:pPr>
      <w:r>
        <w:rPr>
          <w:rStyle w:val="FontStyle44"/>
          <w:lang w:val="el-GR" w:eastAsia="el-GR"/>
        </w:rPr>
        <w:t xml:space="preserve">Γενετικοί πολυμορφισμοί: </w:t>
      </w:r>
      <w:r>
        <w:rPr>
          <w:rStyle w:val="FontStyle45"/>
          <w:lang w:val="el-GR" w:eastAsia="el-GR"/>
        </w:rPr>
        <w:t xml:space="preserve">Η Διάθεση των αναστολέων της </w:t>
      </w:r>
      <w:r>
        <w:rPr>
          <w:rStyle w:val="FontStyle45"/>
          <w:lang w:eastAsia="el-GR"/>
        </w:rPr>
        <w:t>HMG</w:t>
      </w:r>
      <w:r w:rsidRPr="00F7301B">
        <w:rPr>
          <w:rStyle w:val="FontStyle45"/>
          <w:lang w:val="el-GR" w:eastAsia="el-GR"/>
        </w:rPr>
        <w:t>-</w:t>
      </w:r>
      <w:r>
        <w:rPr>
          <w:rStyle w:val="FontStyle45"/>
          <w:lang w:eastAsia="el-GR"/>
        </w:rPr>
        <w:t>CoA</w:t>
      </w:r>
      <w:r w:rsidRPr="00F7301B">
        <w:rPr>
          <w:rStyle w:val="FontStyle45"/>
          <w:lang w:val="el-GR" w:eastAsia="el-GR"/>
        </w:rPr>
        <w:t xml:space="preserve"> </w:t>
      </w:r>
      <w:r>
        <w:rPr>
          <w:rStyle w:val="FontStyle45"/>
          <w:lang w:val="el-GR" w:eastAsia="el-GR"/>
        </w:rPr>
        <w:t xml:space="preserve">αναγωγάσης, συμπεριλαμβανομένης της ροσουβαστατίνης, περιλαμβάνει τις πρωτεΐνες μεταφορείς </w:t>
      </w:r>
      <w:r>
        <w:rPr>
          <w:rStyle w:val="FontStyle45"/>
          <w:lang w:eastAsia="el-GR"/>
        </w:rPr>
        <w:t>OATP</w:t>
      </w:r>
      <w:r w:rsidRPr="00F7301B">
        <w:rPr>
          <w:rStyle w:val="FontStyle45"/>
          <w:lang w:val="el-GR" w:eastAsia="el-GR"/>
        </w:rPr>
        <w:t>1</w:t>
      </w:r>
      <w:r>
        <w:rPr>
          <w:rStyle w:val="FontStyle45"/>
          <w:lang w:eastAsia="el-GR"/>
        </w:rPr>
        <w:t>B</w:t>
      </w:r>
      <w:r w:rsidRPr="00F7301B">
        <w:rPr>
          <w:rStyle w:val="FontStyle45"/>
          <w:lang w:val="el-GR" w:eastAsia="el-GR"/>
        </w:rPr>
        <w:t xml:space="preserve">1 </w:t>
      </w:r>
      <w:r>
        <w:rPr>
          <w:rStyle w:val="FontStyle45"/>
          <w:lang w:val="el-GR" w:eastAsia="el-GR"/>
        </w:rPr>
        <w:t xml:space="preserve">και </w:t>
      </w:r>
      <w:r>
        <w:rPr>
          <w:rStyle w:val="FontStyle45"/>
          <w:lang w:eastAsia="el-GR"/>
        </w:rPr>
        <w:t>BCRP</w:t>
      </w:r>
      <w:r w:rsidRPr="00F7301B">
        <w:rPr>
          <w:rStyle w:val="FontStyle45"/>
          <w:lang w:val="el-GR" w:eastAsia="el-GR"/>
        </w:rPr>
        <w:t xml:space="preserve">. </w:t>
      </w:r>
      <w:r>
        <w:rPr>
          <w:rStyle w:val="FontStyle45"/>
          <w:lang w:val="el-GR" w:eastAsia="el-GR"/>
        </w:rPr>
        <w:t xml:space="preserve">Σε ασθενείς με </w:t>
      </w:r>
      <w:r>
        <w:rPr>
          <w:rStyle w:val="FontStyle45"/>
          <w:lang w:eastAsia="el-GR"/>
        </w:rPr>
        <w:t>SLCO</w:t>
      </w:r>
      <w:r w:rsidRPr="00F7301B">
        <w:rPr>
          <w:rStyle w:val="FontStyle45"/>
          <w:lang w:val="el-GR" w:eastAsia="el-GR"/>
        </w:rPr>
        <w:t>1</w:t>
      </w:r>
      <w:r>
        <w:rPr>
          <w:rStyle w:val="FontStyle45"/>
          <w:lang w:eastAsia="el-GR"/>
        </w:rPr>
        <w:t>B</w:t>
      </w:r>
      <w:r w:rsidRPr="00F7301B">
        <w:rPr>
          <w:rStyle w:val="FontStyle45"/>
          <w:lang w:val="el-GR" w:eastAsia="el-GR"/>
        </w:rPr>
        <w:t>1 (</w:t>
      </w:r>
      <w:r>
        <w:rPr>
          <w:rStyle w:val="FontStyle45"/>
          <w:lang w:eastAsia="el-GR"/>
        </w:rPr>
        <w:t>OATP</w:t>
      </w:r>
      <w:r w:rsidRPr="00F7301B">
        <w:rPr>
          <w:rStyle w:val="FontStyle45"/>
          <w:lang w:val="el-GR" w:eastAsia="el-GR"/>
        </w:rPr>
        <w:t>1</w:t>
      </w:r>
      <w:r>
        <w:rPr>
          <w:rStyle w:val="FontStyle45"/>
          <w:lang w:eastAsia="el-GR"/>
        </w:rPr>
        <w:t>B</w:t>
      </w:r>
      <w:r w:rsidRPr="00F7301B">
        <w:rPr>
          <w:rStyle w:val="FontStyle45"/>
          <w:lang w:val="el-GR" w:eastAsia="el-GR"/>
        </w:rPr>
        <w:t xml:space="preserve">1) </w:t>
      </w:r>
      <w:r>
        <w:rPr>
          <w:rStyle w:val="FontStyle45"/>
          <w:lang w:val="el-GR" w:eastAsia="el-GR"/>
        </w:rPr>
        <w:t xml:space="preserve">και/ή </w:t>
      </w:r>
      <w:r>
        <w:rPr>
          <w:rStyle w:val="FontStyle45"/>
          <w:lang w:eastAsia="el-GR"/>
        </w:rPr>
        <w:t>ABCG</w:t>
      </w:r>
      <w:r w:rsidRPr="00F7301B">
        <w:rPr>
          <w:rStyle w:val="FontStyle45"/>
          <w:lang w:val="el-GR" w:eastAsia="el-GR"/>
        </w:rPr>
        <w:t>2 (</w:t>
      </w:r>
      <w:r>
        <w:rPr>
          <w:rStyle w:val="FontStyle45"/>
          <w:lang w:eastAsia="el-GR"/>
        </w:rPr>
        <w:t>BCRP</w:t>
      </w:r>
      <w:r w:rsidRPr="00F7301B">
        <w:rPr>
          <w:rStyle w:val="FontStyle45"/>
          <w:lang w:val="el-GR" w:eastAsia="el-GR"/>
        </w:rPr>
        <w:t xml:space="preserve">) </w:t>
      </w:r>
      <w:r>
        <w:rPr>
          <w:rStyle w:val="FontStyle45"/>
          <w:lang w:val="el-GR" w:eastAsia="el-GR"/>
        </w:rPr>
        <w:t xml:space="preserve">γενετικούς πολυμορφισμούς υπάρχει κίνδυνος αυξημένης έκθεσης στη ροσουβαστατίνη. </w:t>
      </w:r>
      <w:r>
        <w:rPr>
          <w:rStyle w:val="FontStyle46"/>
          <w:lang w:eastAsia="el-GR"/>
        </w:rPr>
        <w:t>Atc</w:t>
      </w:r>
      <w:r w:rsidRPr="00F7301B">
        <w:rPr>
          <w:rStyle w:val="FontStyle45"/>
          <w:lang w:val="el-GR" w:eastAsia="el-GR"/>
        </w:rPr>
        <w:t xml:space="preserve">^^ </w:t>
      </w:r>
      <w:r>
        <w:rPr>
          <w:rStyle w:val="FontStyle45"/>
          <w:lang w:val="el-GR" w:eastAsia="el-GR"/>
        </w:rPr>
        <w:t xml:space="preserve">πολυμορφισμοί των </w:t>
      </w:r>
      <w:r>
        <w:rPr>
          <w:rStyle w:val="FontStyle45"/>
          <w:lang w:eastAsia="el-GR"/>
        </w:rPr>
        <w:t>SLCO</w:t>
      </w:r>
      <w:r w:rsidRPr="00F7301B">
        <w:rPr>
          <w:rStyle w:val="FontStyle45"/>
          <w:lang w:val="el-GR" w:eastAsia="el-GR"/>
        </w:rPr>
        <w:t>1</w:t>
      </w:r>
      <w:r>
        <w:rPr>
          <w:rStyle w:val="FontStyle45"/>
          <w:lang w:eastAsia="el-GR"/>
        </w:rPr>
        <w:t>B</w:t>
      </w:r>
      <w:r w:rsidRPr="00F7301B">
        <w:rPr>
          <w:rStyle w:val="FontStyle45"/>
          <w:lang w:val="el-GR" w:eastAsia="el-GR"/>
        </w:rPr>
        <w:t xml:space="preserve">1 </w:t>
      </w:r>
      <w:r>
        <w:rPr>
          <w:rStyle w:val="FontStyle45"/>
          <w:lang w:eastAsia="el-GR"/>
        </w:rPr>
        <w:t>c</w:t>
      </w:r>
      <w:r w:rsidRPr="00F7301B">
        <w:rPr>
          <w:rStyle w:val="FontStyle45"/>
          <w:lang w:val="el-GR" w:eastAsia="el-GR"/>
        </w:rPr>
        <w:t>.521</w:t>
      </w:r>
      <w:r>
        <w:rPr>
          <w:rStyle w:val="FontStyle45"/>
          <w:lang w:eastAsia="el-GR"/>
        </w:rPr>
        <w:t>CC</w:t>
      </w:r>
      <w:r w:rsidRPr="00F7301B">
        <w:rPr>
          <w:rStyle w:val="FontStyle45"/>
          <w:lang w:val="el-GR" w:eastAsia="el-GR"/>
        </w:rPr>
        <w:t xml:space="preserve"> </w:t>
      </w:r>
      <w:r>
        <w:rPr>
          <w:rStyle w:val="FontStyle45"/>
          <w:lang w:val="el-GR" w:eastAsia="el-GR"/>
        </w:rPr>
        <w:t xml:space="preserve">και </w:t>
      </w:r>
      <w:r>
        <w:rPr>
          <w:rStyle w:val="FontStyle45"/>
          <w:lang w:eastAsia="el-GR"/>
        </w:rPr>
        <w:t>ABCG</w:t>
      </w:r>
      <w:r w:rsidRPr="00F7301B">
        <w:rPr>
          <w:rStyle w:val="FontStyle45"/>
          <w:lang w:val="el-GR" w:eastAsia="el-GR"/>
        </w:rPr>
        <w:t xml:space="preserve">2 </w:t>
      </w:r>
      <w:r>
        <w:rPr>
          <w:rStyle w:val="FontStyle45"/>
          <w:lang w:eastAsia="el-GR"/>
        </w:rPr>
        <w:t>c</w:t>
      </w:r>
      <w:r w:rsidRPr="00F7301B">
        <w:rPr>
          <w:rStyle w:val="FontStyle45"/>
          <w:lang w:val="el-GR" w:eastAsia="el-GR"/>
        </w:rPr>
        <w:t>.421</w:t>
      </w:r>
      <w:r>
        <w:rPr>
          <w:rStyle w:val="FontStyle45"/>
          <w:lang w:eastAsia="el-GR"/>
        </w:rPr>
        <w:t>AA</w:t>
      </w:r>
      <w:r w:rsidRPr="00F7301B">
        <w:rPr>
          <w:rStyle w:val="FontStyle45"/>
          <w:lang w:val="el-GR" w:eastAsia="el-GR"/>
        </w:rPr>
        <w:t xml:space="preserve"> </w:t>
      </w:r>
      <w:r>
        <w:rPr>
          <w:rStyle w:val="FontStyle45"/>
          <w:lang w:val="el-GR" w:eastAsia="el-GR"/>
        </w:rPr>
        <w:t xml:space="preserve">σχετίζονται με υψηλότερη έκθεση στη ροσουβαστατίνη </w:t>
      </w:r>
      <w:r w:rsidRPr="00F7301B">
        <w:rPr>
          <w:rStyle w:val="FontStyle45"/>
          <w:lang w:val="el-GR" w:eastAsia="el-GR"/>
        </w:rPr>
        <w:t>(</w:t>
      </w:r>
      <w:r>
        <w:rPr>
          <w:rStyle w:val="FontStyle45"/>
          <w:lang w:eastAsia="el-GR"/>
        </w:rPr>
        <w:t>AUC</w:t>
      </w:r>
      <w:r w:rsidRPr="00F7301B">
        <w:rPr>
          <w:rStyle w:val="FontStyle45"/>
          <w:lang w:val="el-GR" w:eastAsia="el-GR"/>
        </w:rPr>
        <w:t xml:space="preserve">) </w:t>
      </w:r>
      <w:r>
        <w:rPr>
          <w:rStyle w:val="FontStyle45"/>
          <w:lang w:val="el-GR" w:eastAsia="el-GR"/>
        </w:rPr>
        <w:t xml:space="preserve">σε σύγκριση με τους </w:t>
      </w:r>
      <w:r>
        <w:rPr>
          <w:rStyle w:val="FontStyle45"/>
          <w:lang w:eastAsia="el-GR"/>
        </w:rPr>
        <w:t>SLCO</w:t>
      </w:r>
      <w:r w:rsidRPr="00F7301B">
        <w:rPr>
          <w:rStyle w:val="FontStyle45"/>
          <w:lang w:val="el-GR" w:eastAsia="el-GR"/>
        </w:rPr>
        <w:t>1</w:t>
      </w:r>
      <w:r>
        <w:rPr>
          <w:rStyle w:val="FontStyle45"/>
          <w:lang w:eastAsia="el-GR"/>
        </w:rPr>
        <w:t>B</w:t>
      </w:r>
      <w:r w:rsidRPr="00F7301B">
        <w:rPr>
          <w:rStyle w:val="FontStyle45"/>
          <w:lang w:val="el-GR" w:eastAsia="el-GR"/>
        </w:rPr>
        <w:t xml:space="preserve">1 </w:t>
      </w:r>
      <w:r>
        <w:rPr>
          <w:rStyle w:val="FontStyle45"/>
          <w:lang w:eastAsia="el-GR"/>
        </w:rPr>
        <w:t>c</w:t>
      </w:r>
      <w:r w:rsidRPr="00F7301B">
        <w:rPr>
          <w:rStyle w:val="FontStyle45"/>
          <w:lang w:val="el-GR" w:eastAsia="el-GR"/>
        </w:rPr>
        <w:t>.521</w:t>
      </w:r>
      <w:r>
        <w:rPr>
          <w:rStyle w:val="FontStyle45"/>
          <w:lang w:eastAsia="el-GR"/>
        </w:rPr>
        <w:t>TT</w:t>
      </w:r>
      <w:r w:rsidRPr="00F7301B">
        <w:rPr>
          <w:rStyle w:val="FontStyle45"/>
          <w:lang w:val="el-GR" w:eastAsia="el-GR"/>
        </w:rPr>
        <w:t xml:space="preserve"> </w:t>
      </w:r>
      <w:r>
        <w:rPr>
          <w:rStyle w:val="FontStyle45"/>
          <w:lang w:val="el-GR" w:eastAsia="el-GR"/>
        </w:rPr>
        <w:t xml:space="preserve">ή </w:t>
      </w:r>
      <w:r>
        <w:rPr>
          <w:rStyle w:val="FontStyle45"/>
          <w:lang w:eastAsia="el-GR"/>
        </w:rPr>
        <w:t>ABCG</w:t>
      </w:r>
      <w:r w:rsidRPr="00F7301B">
        <w:rPr>
          <w:rStyle w:val="FontStyle45"/>
          <w:lang w:val="el-GR" w:eastAsia="el-GR"/>
        </w:rPr>
        <w:t xml:space="preserve">2 </w:t>
      </w:r>
      <w:r>
        <w:rPr>
          <w:rStyle w:val="FontStyle45"/>
          <w:lang w:eastAsia="el-GR"/>
        </w:rPr>
        <w:t>c</w:t>
      </w:r>
      <w:r w:rsidRPr="00F7301B">
        <w:rPr>
          <w:rStyle w:val="FontStyle45"/>
          <w:lang w:val="el-GR" w:eastAsia="el-GR"/>
        </w:rPr>
        <w:t>.421</w:t>
      </w:r>
      <w:r>
        <w:rPr>
          <w:rStyle w:val="FontStyle45"/>
          <w:lang w:eastAsia="el-GR"/>
        </w:rPr>
        <w:t>CC</w:t>
      </w:r>
      <w:r w:rsidRPr="00F7301B">
        <w:rPr>
          <w:rStyle w:val="FontStyle45"/>
          <w:lang w:val="el-GR" w:eastAsia="el-GR"/>
        </w:rPr>
        <w:t xml:space="preserve"> </w:t>
      </w:r>
      <w:r>
        <w:rPr>
          <w:rStyle w:val="FontStyle45"/>
          <w:lang w:val="el-GR" w:eastAsia="el-GR"/>
        </w:rPr>
        <w:t xml:space="preserve">γονότυπους. </w:t>
      </w:r>
      <w:r>
        <w:rPr>
          <w:rStyle w:val="FontStyle45"/>
          <w:lang w:eastAsia="el-GR"/>
        </w:rPr>
        <w:t>Am</w:t>
      </w:r>
      <w:r>
        <w:rPr>
          <w:rStyle w:val="FontStyle45"/>
          <w:lang w:val="el-GR" w:eastAsia="el-GR"/>
        </w:rPr>
        <w:t xml:space="preserve">-ός ο ειδικός γονότυπος δεν αποδεικνύεται στην κλινική πρακτική, αλλά για τους ασθενείς οι οποίοι είναι γνωστό ότι έχουν αυτά τα είδη των πολυμορφισμών, συνιστάται χαμηλότερη ημερήσια δόση του </w:t>
      </w:r>
      <w:r w:rsidR="00F7301B">
        <w:rPr>
          <w:rStyle w:val="FontStyle45"/>
          <w:lang w:eastAsia="el-GR"/>
        </w:rPr>
        <w:t>ROSUVAL</w:t>
      </w:r>
      <w:r w:rsidR="00F7301B" w:rsidRPr="00F7301B">
        <w:rPr>
          <w:rStyle w:val="FontStyle45"/>
          <w:lang w:val="el-GR" w:eastAsia="el-GR"/>
        </w:rPr>
        <w:t>/</w:t>
      </w:r>
      <w:r w:rsidR="00F7301B">
        <w:rPr>
          <w:rStyle w:val="FontStyle45"/>
          <w:lang w:eastAsia="el-GR"/>
        </w:rPr>
        <w:t>HEREMCO</w:t>
      </w:r>
      <w:r w:rsidR="00F7301B" w:rsidRPr="00F7301B">
        <w:rPr>
          <w:rStyle w:val="FontStyle45"/>
          <w:lang w:val="el-GR" w:eastAsia="el-GR"/>
        </w:rPr>
        <w:t xml:space="preserve"> </w:t>
      </w:r>
      <w:r w:rsidRPr="00F7301B">
        <w:rPr>
          <w:rStyle w:val="FontStyle45"/>
          <w:lang w:val="el-GR" w:eastAsia="el-GR"/>
        </w:rPr>
        <w:t>.</w:t>
      </w:r>
    </w:p>
    <w:p w:rsidR="00A502AA" w:rsidRPr="00F7301B" w:rsidRDefault="00A502AA">
      <w:pPr>
        <w:pStyle w:val="Style7"/>
        <w:widowControl/>
        <w:spacing w:line="240" w:lineRule="exact"/>
        <w:rPr>
          <w:sz w:val="20"/>
          <w:szCs w:val="20"/>
          <w:lang w:val="el-GR"/>
        </w:rPr>
      </w:pPr>
    </w:p>
    <w:p w:rsidR="00A502AA" w:rsidRDefault="00A502AA">
      <w:pPr>
        <w:pStyle w:val="Style7"/>
        <w:widowControl/>
        <w:spacing w:before="139" w:line="264" w:lineRule="exact"/>
        <w:rPr>
          <w:rStyle w:val="FontStyle45"/>
          <w:lang w:val="el-GR" w:eastAsia="el-GR"/>
        </w:rPr>
      </w:pPr>
      <w:r>
        <w:rPr>
          <w:rStyle w:val="FontStyle44"/>
          <w:lang w:val="el-GR" w:eastAsia="el-GR"/>
        </w:rPr>
        <w:t xml:space="preserve">Παιδιατρικός πληθυσμός: </w:t>
      </w:r>
      <w:r>
        <w:rPr>
          <w:rStyle w:val="FontStyle45"/>
          <w:lang w:val="el-GR" w:eastAsia="el-GR"/>
        </w:rPr>
        <w:t>Δύο φαρμακοκινητικές μελέτες με ροσουβαστατίνη (χορηγούμενη ως δισκία) σε παιδιατρικούς ασθενείς με ετερόζυγη οικογενή υπερχοληστερολαιμία, ηλικίας 10-17 ή 6-17 ετών (214 ασθενείς συνολικά) έδειξαν ότι η έκθεση στους παιδιατρικούς ασθενείς φαίνεται να είναι συγκρίσιμη ή μικρότερη σχετικά με την έκθεση στους ενήλικους ασθενείς. Η έκθεση στη ροβουβαστατίνη ήταν προβλέψιμη σχετικά με την δόση και τον χρόνο σε περίοδο 2 ετών.</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8"/>
        <w:jc w:val="left"/>
        <w:rPr>
          <w:rStyle w:val="FontStyle44"/>
          <w:lang w:val="el-GR" w:eastAsia="el-GR"/>
        </w:rPr>
      </w:pPr>
      <w:r>
        <w:rPr>
          <w:rStyle w:val="FontStyle44"/>
          <w:lang w:val="el-GR" w:eastAsia="el-GR"/>
        </w:rPr>
        <w:t>5.3 Προκλινικά δεδομένα για την ασφάλεια</w:t>
      </w: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Τα προκλινικά δεδομένα δεν αποκαλύπτουν ιδιαίτερο κίνδυνο για τον άνθρωπο με βάση τις συμβατικές μελέτες φαρμακολογικής ασφάλειας, γενοτοξικότητας και ενδεχόμενης </w:t>
      </w:r>
      <w:r>
        <w:rPr>
          <w:rStyle w:val="FontStyle45"/>
          <w:lang w:val="el-GR" w:eastAsia="el-GR"/>
        </w:rPr>
        <w:lastRenderedPageBreak/>
        <w:t xml:space="preserve">καρκινογόνου δράσης. Ειδικά τεστ για την επίδραση στο </w:t>
      </w:r>
      <w:r>
        <w:rPr>
          <w:rStyle w:val="FontStyle45"/>
          <w:lang w:eastAsia="el-GR"/>
        </w:rPr>
        <w:t>hERG</w:t>
      </w:r>
      <w:r w:rsidRPr="00F7301B">
        <w:rPr>
          <w:rStyle w:val="FontStyle45"/>
          <w:lang w:val="el-GR" w:eastAsia="el-GR"/>
        </w:rPr>
        <w:t xml:space="preserve"> </w:t>
      </w:r>
      <w:r>
        <w:rPr>
          <w:rStyle w:val="FontStyle45"/>
          <w:lang w:val="el-GR" w:eastAsia="el-GR"/>
        </w:rPr>
        <w:t>δεν έχουν αξιολογηθεί. Aνεπιθύμητες ενέργειες που δεν παρατηρήθηκαν σε κλινικές μελέτες αλλά εμφανίστηκαν σε ζώα σε επίπεδα έκθεσης παρόμοια με τα κλινικά επίπεδα έκθεσης ήταν ως ακολούθως: Σε μελέτες τοξικότητας επαναλαμβανόμενων δόσεων ιστοπαθολογικές ηπατικές αλλαγές που οφείλονται στη φαρμακολογική δράση της ροσουβαστατίνης παρατηρήθηκαν σε ποντίκια, αρουραίους και σε μικρότερο ποσό με επιδράσεις στη χοληδόχο κύστη σε σκύλους αλλά όχι σε πιθήκους. Επιπλέον, τοξικότητα στους όρχεις παρατηρήθηκε σε πιθήκους και σκύλους σε υψηλότερες δόσεις. Η αναπαραγωγική τοξικότητα ήταν εμφανής σε αρουραίους, με μειωμένο αριθμό νεογνών στη γέννα, βάρος νεογνών της γέννας και επιβίωση των νεογνών, σε τοξικές δόσεις στη μητέρα, όπου η συστηματική έκθεση ήταν αρκετές φορές πολλαπλάσια των θεραπευτικών επιπέδων έκθεσης.</w:t>
      </w:r>
    </w:p>
    <w:p w:rsidR="00A502AA" w:rsidRPr="00F7301B" w:rsidRDefault="00A502AA">
      <w:pPr>
        <w:pStyle w:val="Style12"/>
        <w:widowControl/>
        <w:spacing w:line="240" w:lineRule="exact"/>
        <w:jc w:val="left"/>
        <w:rPr>
          <w:sz w:val="20"/>
          <w:szCs w:val="20"/>
          <w:lang w:val="el-GR"/>
        </w:rPr>
      </w:pP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58"/>
        <w:jc w:val="left"/>
        <w:rPr>
          <w:rStyle w:val="FontStyle44"/>
          <w:lang w:val="el-GR" w:eastAsia="el-GR"/>
        </w:rPr>
      </w:pPr>
      <w:r>
        <w:rPr>
          <w:rStyle w:val="FontStyle44"/>
          <w:lang w:val="el-GR" w:eastAsia="el-GR"/>
        </w:rPr>
        <w:t>6.    ΦΑΡΜΑΚΕΥΤΙΚΕΣ ΠΛΗΡΟΦΟΡΙΕΣ</w:t>
      </w:r>
    </w:p>
    <w:p w:rsidR="00A502AA" w:rsidRPr="00F7301B" w:rsidRDefault="00A502AA">
      <w:pPr>
        <w:pStyle w:val="Style12"/>
        <w:widowControl/>
        <w:spacing w:line="240" w:lineRule="exact"/>
        <w:jc w:val="left"/>
        <w:rPr>
          <w:sz w:val="20"/>
          <w:szCs w:val="20"/>
          <w:lang w:val="el-GR"/>
        </w:rPr>
      </w:pPr>
    </w:p>
    <w:p w:rsidR="00A502AA" w:rsidRDefault="00A502AA">
      <w:pPr>
        <w:pStyle w:val="Style12"/>
        <w:widowControl/>
        <w:spacing w:before="182" w:line="384" w:lineRule="exact"/>
        <w:jc w:val="left"/>
        <w:rPr>
          <w:rStyle w:val="FontStyle44"/>
          <w:lang w:val="el-GR" w:eastAsia="el-GR"/>
        </w:rPr>
      </w:pPr>
      <w:r>
        <w:rPr>
          <w:rStyle w:val="FontStyle44"/>
          <w:lang w:val="el-GR" w:eastAsia="el-GR"/>
        </w:rPr>
        <w:t>6.1 Κατάλογος εκδόχων</w:t>
      </w:r>
    </w:p>
    <w:p w:rsidR="00A502AA" w:rsidRPr="00F7301B" w:rsidRDefault="00A502AA">
      <w:pPr>
        <w:pStyle w:val="Style12"/>
        <w:widowControl/>
        <w:spacing w:line="384" w:lineRule="exact"/>
        <w:jc w:val="left"/>
        <w:rPr>
          <w:rStyle w:val="FontStyle44"/>
          <w:lang w:val="el-GR" w:eastAsia="el-GR"/>
        </w:rPr>
      </w:pPr>
      <w:r>
        <w:rPr>
          <w:rStyle w:val="FontStyle44"/>
          <w:lang w:val="el-GR" w:eastAsia="el-GR"/>
        </w:rPr>
        <w:t xml:space="preserve">Δισκία 5 </w:t>
      </w:r>
      <w:r>
        <w:rPr>
          <w:rStyle w:val="FontStyle44"/>
          <w:lang w:eastAsia="el-GR"/>
        </w:rPr>
        <w:t>mg</w:t>
      </w:r>
      <w:r w:rsidRPr="00F7301B">
        <w:rPr>
          <w:rStyle w:val="FontStyle44"/>
          <w:lang w:val="el-GR" w:eastAsia="el-GR"/>
        </w:rPr>
        <w:t>, 10</w:t>
      </w:r>
      <w:r>
        <w:rPr>
          <w:rStyle w:val="FontStyle44"/>
          <w:lang w:eastAsia="el-GR"/>
        </w:rPr>
        <w:t>mg</w:t>
      </w:r>
      <w:r w:rsidRPr="00F7301B">
        <w:rPr>
          <w:rStyle w:val="FontStyle44"/>
          <w:lang w:val="el-GR" w:eastAsia="el-GR"/>
        </w:rPr>
        <w:t>, 20</w:t>
      </w:r>
      <w:r>
        <w:rPr>
          <w:rStyle w:val="FontStyle44"/>
          <w:lang w:eastAsia="el-GR"/>
        </w:rPr>
        <w:t>mg</w:t>
      </w:r>
      <w:r w:rsidRPr="00F7301B">
        <w:rPr>
          <w:rStyle w:val="FontStyle44"/>
          <w:lang w:val="el-GR" w:eastAsia="el-GR"/>
        </w:rPr>
        <w:t xml:space="preserve"> </w:t>
      </w:r>
      <w:r>
        <w:rPr>
          <w:rStyle w:val="FontStyle44"/>
          <w:lang w:val="el-GR" w:eastAsia="el-GR"/>
        </w:rPr>
        <w:t xml:space="preserve">και </w:t>
      </w:r>
      <w:r w:rsidRPr="00F7301B">
        <w:rPr>
          <w:rStyle w:val="FontStyle44"/>
          <w:lang w:val="el-GR" w:eastAsia="el-GR"/>
        </w:rPr>
        <w:t>40</w:t>
      </w:r>
      <w:r>
        <w:rPr>
          <w:rStyle w:val="FontStyle44"/>
          <w:lang w:eastAsia="el-GR"/>
        </w:rPr>
        <w:t>mg</w:t>
      </w:r>
    </w:p>
    <w:p w:rsidR="00A502AA" w:rsidRDefault="00A502AA">
      <w:pPr>
        <w:pStyle w:val="Style12"/>
        <w:widowControl/>
        <w:spacing w:before="5" w:line="384" w:lineRule="exact"/>
        <w:jc w:val="left"/>
        <w:rPr>
          <w:rStyle w:val="FontStyle44"/>
          <w:lang w:val="el-GR" w:eastAsia="el-GR"/>
        </w:rPr>
      </w:pPr>
      <w:r>
        <w:rPr>
          <w:rStyle w:val="FontStyle44"/>
          <w:lang w:val="el-GR" w:eastAsia="el-GR"/>
        </w:rPr>
        <w:t>Πυρήνας δισκίου</w:t>
      </w:r>
    </w:p>
    <w:p w:rsidR="00A502AA" w:rsidRDefault="00A502AA">
      <w:pPr>
        <w:pStyle w:val="Style5"/>
        <w:widowControl/>
        <w:spacing w:before="48" w:line="384" w:lineRule="exact"/>
        <w:ind w:right="5760"/>
        <w:rPr>
          <w:rStyle w:val="FontStyle45"/>
          <w:lang w:val="el-GR" w:eastAsia="el-GR"/>
        </w:rPr>
      </w:pPr>
      <w:r>
        <w:rPr>
          <w:rStyle w:val="FontStyle45"/>
          <w:lang w:val="el-GR" w:eastAsia="el-GR"/>
        </w:rPr>
        <w:t xml:space="preserve">Λακτόζη μονοϋδρική Κυτταρίνη μικροκρυσταλλική Ασβέστιο φωσφορικό Κροσποβιδόνη Μαγνήσιο στεατικό </w:t>
      </w:r>
      <w:r>
        <w:rPr>
          <w:rStyle w:val="FontStyle44"/>
          <w:lang w:val="el-GR" w:eastAsia="el-GR"/>
        </w:rPr>
        <w:t xml:space="preserve">Επικάλυψη δισκίου </w:t>
      </w:r>
      <w:r>
        <w:rPr>
          <w:rStyle w:val="FontStyle45"/>
          <w:lang w:val="el-GR" w:eastAsia="el-GR"/>
        </w:rPr>
        <w:t>Λακτόζη μονοϋδρική Υπρομελλόζη Τριακετίνη</w:t>
      </w:r>
    </w:p>
    <w:p w:rsidR="00A502AA" w:rsidRDefault="00A502AA">
      <w:pPr>
        <w:pStyle w:val="Style5"/>
        <w:widowControl/>
        <w:spacing w:before="5" w:line="384" w:lineRule="exact"/>
        <w:rPr>
          <w:rStyle w:val="FontStyle45"/>
          <w:lang w:val="el-GR" w:eastAsia="el-GR"/>
        </w:rPr>
      </w:pPr>
      <w:r>
        <w:rPr>
          <w:rStyle w:val="FontStyle45"/>
          <w:lang w:val="el-GR" w:eastAsia="el-GR"/>
        </w:rPr>
        <w:t>Τιτανίου διοξείδιο (Ε171)</w:t>
      </w:r>
    </w:p>
    <w:p w:rsidR="00A502AA" w:rsidRPr="00F7301B" w:rsidRDefault="00A502AA">
      <w:pPr>
        <w:pStyle w:val="Style5"/>
        <w:widowControl/>
        <w:spacing w:before="5" w:line="384" w:lineRule="exact"/>
        <w:rPr>
          <w:rStyle w:val="FontStyle45"/>
          <w:lang w:val="el-GR" w:eastAsia="el-GR"/>
        </w:rPr>
      </w:pPr>
      <w:r>
        <w:rPr>
          <w:rStyle w:val="FontStyle45"/>
          <w:lang w:val="el-GR" w:eastAsia="el-GR"/>
        </w:rPr>
        <w:t xml:space="preserve">Σιδήρου οξείδιο, κίτρινο (Ε172) (δισκία </w:t>
      </w:r>
      <w:r w:rsidRPr="00F7301B">
        <w:rPr>
          <w:rStyle w:val="FontStyle45"/>
          <w:lang w:val="el-GR" w:eastAsia="el-GR"/>
        </w:rPr>
        <w:t>5</w:t>
      </w:r>
      <w:r>
        <w:rPr>
          <w:rStyle w:val="FontStyle45"/>
          <w:lang w:eastAsia="el-GR"/>
        </w:rPr>
        <w:t>mg</w:t>
      </w:r>
      <w:r w:rsidRPr="00F7301B">
        <w:rPr>
          <w:rStyle w:val="FontStyle45"/>
          <w:lang w:val="el-GR" w:eastAsia="el-GR"/>
        </w:rPr>
        <w:t>)</w:t>
      </w:r>
    </w:p>
    <w:p w:rsidR="00A502AA" w:rsidRPr="00F7301B" w:rsidRDefault="00A502AA">
      <w:pPr>
        <w:pStyle w:val="Style5"/>
        <w:widowControl/>
        <w:spacing w:before="5" w:line="384" w:lineRule="exact"/>
        <w:rPr>
          <w:rStyle w:val="FontStyle45"/>
          <w:lang w:val="el-GR" w:eastAsia="el-GR"/>
        </w:rPr>
      </w:pPr>
      <w:r>
        <w:rPr>
          <w:rStyle w:val="FontStyle45"/>
          <w:lang w:val="el-GR" w:eastAsia="el-GR"/>
        </w:rPr>
        <w:t xml:space="preserve">Σιδήρου οξείδιο, κόκκινο (Ε172) (δισκία </w:t>
      </w:r>
      <w:r w:rsidRPr="00F7301B">
        <w:rPr>
          <w:rStyle w:val="FontStyle45"/>
          <w:lang w:val="el-GR" w:eastAsia="el-GR"/>
        </w:rPr>
        <w:t>10</w:t>
      </w:r>
      <w:r>
        <w:rPr>
          <w:rStyle w:val="FontStyle45"/>
          <w:lang w:eastAsia="el-GR"/>
        </w:rPr>
        <w:t>mg</w:t>
      </w:r>
      <w:r w:rsidRPr="00F7301B">
        <w:rPr>
          <w:rStyle w:val="FontStyle45"/>
          <w:lang w:val="el-GR" w:eastAsia="el-GR"/>
        </w:rPr>
        <w:t>, 20</w:t>
      </w:r>
      <w:r>
        <w:rPr>
          <w:rStyle w:val="FontStyle45"/>
          <w:lang w:eastAsia="el-GR"/>
        </w:rPr>
        <w:t>mg</w:t>
      </w:r>
      <w:r w:rsidRPr="00F7301B">
        <w:rPr>
          <w:rStyle w:val="FontStyle45"/>
          <w:lang w:val="el-GR" w:eastAsia="el-GR"/>
        </w:rPr>
        <w:t xml:space="preserve"> </w:t>
      </w:r>
      <w:r>
        <w:rPr>
          <w:rStyle w:val="FontStyle45"/>
          <w:lang w:val="el-GR" w:eastAsia="el-GR"/>
        </w:rPr>
        <w:t xml:space="preserve">και </w:t>
      </w:r>
      <w:r w:rsidRPr="00F7301B">
        <w:rPr>
          <w:rStyle w:val="FontStyle45"/>
          <w:lang w:val="el-GR" w:eastAsia="el-GR"/>
        </w:rPr>
        <w:t>40</w:t>
      </w:r>
      <w:r>
        <w:rPr>
          <w:rStyle w:val="FontStyle45"/>
          <w:lang w:eastAsia="el-GR"/>
        </w:rPr>
        <w:t>mg</w:t>
      </w:r>
      <w:r w:rsidRPr="00F7301B">
        <w:rPr>
          <w:rStyle w:val="FontStyle45"/>
          <w:lang w:val="el-GR" w:eastAsia="el-GR"/>
        </w:rPr>
        <w:t>)</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2"/>
        </w:tabs>
        <w:spacing w:before="29"/>
        <w:rPr>
          <w:rStyle w:val="FontStyle44"/>
          <w:lang w:val="el-GR" w:eastAsia="el-GR"/>
        </w:rPr>
      </w:pPr>
      <w:r>
        <w:rPr>
          <w:rStyle w:val="FontStyle44"/>
          <w:lang w:val="el-GR" w:eastAsia="el-GR"/>
        </w:rPr>
        <w:t>6.2</w:t>
      </w:r>
      <w:r>
        <w:rPr>
          <w:rStyle w:val="FontStyle44"/>
          <w:rFonts w:ascii="Times New Roman" w:hAnsi="Times New Roman" w:cs="Times New Roman"/>
          <w:b w:val="0"/>
          <w:bCs w:val="0"/>
          <w:lang w:val="el-GR" w:eastAsia="el-GR"/>
        </w:rPr>
        <w:tab/>
      </w:r>
      <w:r>
        <w:rPr>
          <w:rStyle w:val="FontStyle44"/>
          <w:lang w:val="el-GR" w:eastAsia="el-GR"/>
        </w:rPr>
        <w:t>Ασυμβατότητες</w:t>
      </w:r>
    </w:p>
    <w:p w:rsidR="00A502AA" w:rsidRDefault="00A502AA">
      <w:pPr>
        <w:pStyle w:val="Style5"/>
        <w:widowControl/>
        <w:spacing w:before="154" w:line="240" w:lineRule="auto"/>
        <w:rPr>
          <w:rStyle w:val="FontStyle45"/>
          <w:lang w:val="el-GR" w:eastAsia="el-GR"/>
        </w:rPr>
      </w:pPr>
      <w:r>
        <w:rPr>
          <w:rStyle w:val="FontStyle45"/>
          <w:lang w:val="el-GR" w:eastAsia="el-GR"/>
        </w:rPr>
        <w:t>Δεν εφαρμόζεται</w:t>
      </w:r>
    </w:p>
    <w:p w:rsidR="00A502AA" w:rsidRPr="00F7301B" w:rsidRDefault="00A502AA">
      <w:pPr>
        <w:pStyle w:val="Style8"/>
        <w:widowControl/>
        <w:spacing w:line="240" w:lineRule="exact"/>
        <w:rPr>
          <w:sz w:val="20"/>
          <w:szCs w:val="20"/>
          <w:lang w:val="el-GR"/>
        </w:rPr>
      </w:pP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2"/>
        </w:tabs>
        <w:spacing w:before="62"/>
        <w:rPr>
          <w:rStyle w:val="FontStyle44"/>
          <w:lang w:val="el-GR" w:eastAsia="el-GR"/>
        </w:rPr>
      </w:pPr>
      <w:r>
        <w:rPr>
          <w:rStyle w:val="FontStyle44"/>
          <w:lang w:val="el-GR" w:eastAsia="el-GR"/>
        </w:rPr>
        <w:t>6.3</w:t>
      </w:r>
      <w:r>
        <w:rPr>
          <w:rStyle w:val="FontStyle44"/>
          <w:rFonts w:ascii="Times New Roman" w:hAnsi="Times New Roman" w:cs="Times New Roman"/>
          <w:b w:val="0"/>
          <w:bCs w:val="0"/>
          <w:lang w:val="el-GR" w:eastAsia="el-GR"/>
        </w:rPr>
        <w:tab/>
      </w:r>
      <w:r>
        <w:rPr>
          <w:rStyle w:val="FontStyle44"/>
          <w:lang w:val="el-GR" w:eastAsia="el-GR"/>
        </w:rPr>
        <w:t>Διάρκεια ζωής</w:t>
      </w:r>
    </w:p>
    <w:p w:rsidR="00A502AA" w:rsidRDefault="00EB376E">
      <w:pPr>
        <w:pStyle w:val="Style5"/>
        <w:widowControl/>
        <w:spacing w:before="154" w:line="240" w:lineRule="auto"/>
        <w:rPr>
          <w:rStyle w:val="FontStyle45"/>
          <w:lang w:val="el-GR" w:eastAsia="el-GR"/>
        </w:rPr>
      </w:pPr>
      <w:r w:rsidRPr="00EB376E">
        <w:rPr>
          <w:rStyle w:val="FontStyle45"/>
          <w:lang w:val="el-GR" w:eastAsia="el-GR"/>
        </w:rPr>
        <w:t>2</w:t>
      </w:r>
      <w:r w:rsidR="00A502AA">
        <w:rPr>
          <w:rStyle w:val="FontStyle45"/>
          <w:lang w:val="el-GR" w:eastAsia="el-GR"/>
        </w:rPr>
        <w:t xml:space="preserve"> χρόνια</w:t>
      </w:r>
    </w:p>
    <w:p w:rsidR="00A502AA" w:rsidRPr="00EB376E" w:rsidRDefault="00EB376E">
      <w:pPr>
        <w:pStyle w:val="Style8"/>
        <w:widowControl/>
        <w:spacing w:line="240" w:lineRule="exact"/>
        <w:rPr>
          <w:sz w:val="20"/>
          <w:szCs w:val="20"/>
          <w:lang w:val="el-GR"/>
        </w:rPr>
      </w:pPr>
      <w:r>
        <w:rPr>
          <w:sz w:val="20"/>
          <w:szCs w:val="20"/>
          <w:lang w:val="el-GR"/>
        </w:rPr>
        <w:t>Μετά το άνοιγμα</w:t>
      </w:r>
      <w:r w:rsidRPr="00EB376E">
        <w:rPr>
          <w:sz w:val="20"/>
          <w:szCs w:val="20"/>
          <w:lang w:val="el-GR"/>
        </w:rPr>
        <w:t xml:space="preserve"> </w:t>
      </w:r>
      <w:r>
        <w:rPr>
          <w:sz w:val="20"/>
          <w:szCs w:val="20"/>
          <w:lang w:val="el-GR"/>
        </w:rPr>
        <w:t xml:space="preserve">της φιάλης </w:t>
      </w:r>
      <w:r>
        <w:rPr>
          <w:sz w:val="20"/>
          <w:szCs w:val="20"/>
        </w:rPr>
        <w:t>HDPE</w:t>
      </w:r>
      <w:r>
        <w:rPr>
          <w:sz w:val="20"/>
          <w:szCs w:val="20"/>
          <w:lang w:val="el-GR"/>
        </w:rPr>
        <w:t xml:space="preserve"> για τις περιεκτικότητες των 5, 10 και 20</w:t>
      </w:r>
      <w:r>
        <w:rPr>
          <w:sz w:val="20"/>
          <w:szCs w:val="20"/>
        </w:rPr>
        <w:t>mg</w:t>
      </w:r>
      <w:r w:rsidRPr="00EB376E">
        <w:rPr>
          <w:sz w:val="20"/>
          <w:szCs w:val="20"/>
          <w:lang w:val="el-GR"/>
        </w:rPr>
        <w:t>:</w:t>
      </w:r>
      <w:r>
        <w:rPr>
          <w:sz w:val="20"/>
          <w:szCs w:val="20"/>
          <w:lang w:val="el-GR"/>
        </w:rPr>
        <w:t xml:space="preserve"> 3 μήνες. Μετά το άνοιγμα</w:t>
      </w:r>
      <w:r w:rsidRPr="00EB376E">
        <w:rPr>
          <w:sz w:val="20"/>
          <w:szCs w:val="20"/>
          <w:lang w:val="el-GR"/>
        </w:rPr>
        <w:t xml:space="preserve"> </w:t>
      </w:r>
      <w:r>
        <w:rPr>
          <w:sz w:val="20"/>
          <w:szCs w:val="20"/>
          <w:lang w:val="el-GR"/>
        </w:rPr>
        <w:t xml:space="preserve">της φιάλης </w:t>
      </w:r>
      <w:r>
        <w:rPr>
          <w:sz w:val="20"/>
          <w:szCs w:val="20"/>
        </w:rPr>
        <w:t>HDPE</w:t>
      </w:r>
      <w:r>
        <w:rPr>
          <w:sz w:val="20"/>
          <w:szCs w:val="20"/>
          <w:lang w:val="el-GR"/>
        </w:rPr>
        <w:t xml:space="preserve"> για την περιεκτικότητα των 40</w:t>
      </w:r>
      <w:r>
        <w:rPr>
          <w:sz w:val="20"/>
          <w:szCs w:val="20"/>
        </w:rPr>
        <w:t>mg</w:t>
      </w:r>
      <w:r w:rsidRPr="00EB376E">
        <w:rPr>
          <w:sz w:val="20"/>
          <w:szCs w:val="20"/>
          <w:lang w:val="el-GR"/>
        </w:rPr>
        <w:t xml:space="preserve">: 1 </w:t>
      </w:r>
      <w:r>
        <w:rPr>
          <w:sz w:val="20"/>
          <w:szCs w:val="20"/>
          <w:lang w:val="el-GR"/>
        </w:rPr>
        <w:t xml:space="preserve">μήνας.  </w:t>
      </w:r>
    </w:p>
    <w:p w:rsidR="00A502AA" w:rsidRPr="00F7301B" w:rsidRDefault="00A502AA">
      <w:pPr>
        <w:pStyle w:val="Style8"/>
        <w:widowControl/>
        <w:spacing w:line="240" w:lineRule="exact"/>
        <w:rPr>
          <w:sz w:val="20"/>
          <w:szCs w:val="20"/>
          <w:lang w:val="el-GR"/>
        </w:rPr>
      </w:pPr>
    </w:p>
    <w:p w:rsidR="00A502AA" w:rsidRDefault="00A502AA">
      <w:pPr>
        <w:pStyle w:val="Style8"/>
        <w:widowControl/>
        <w:tabs>
          <w:tab w:val="left" w:pos="552"/>
        </w:tabs>
        <w:spacing w:before="62"/>
        <w:rPr>
          <w:rStyle w:val="FontStyle44"/>
          <w:lang w:val="el-GR" w:eastAsia="el-GR"/>
        </w:rPr>
      </w:pPr>
      <w:r>
        <w:rPr>
          <w:rStyle w:val="FontStyle44"/>
          <w:lang w:val="el-GR" w:eastAsia="el-GR"/>
        </w:rPr>
        <w:t>6.4</w:t>
      </w:r>
      <w:r>
        <w:rPr>
          <w:rStyle w:val="FontStyle44"/>
          <w:rFonts w:ascii="Times New Roman" w:hAnsi="Times New Roman" w:cs="Times New Roman"/>
          <w:b w:val="0"/>
          <w:bCs w:val="0"/>
          <w:lang w:val="el-GR" w:eastAsia="el-GR"/>
        </w:rPr>
        <w:tab/>
      </w:r>
      <w:r>
        <w:rPr>
          <w:rStyle w:val="FontStyle44"/>
          <w:lang w:val="el-GR" w:eastAsia="el-GR"/>
        </w:rPr>
        <w:t>Ιδιαίτερες προφυλάξεις κατά την φύλαξη του προϊόντος</w:t>
      </w:r>
    </w:p>
    <w:p w:rsidR="00A502AA" w:rsidRPr="00F7301B" w:rsidRDefault="00EB376E">
      <w:pPr>
        <w:pStyle w:val="Style8"/>
        <w:widowControl/>
        <w:spacing w:line="240" w:lineRule="exact"/>
        <w:rPr>
          <w:sz w:val="20"/>
          <w:szCs w:val="20"/>
          <w:lang w:val="el-GR"/>
        </w:rPr>
      </w:pPr>
      <w:r>
        <w:rPr>
          <w:sz w:val="20"/>
          <w:szCs w:val="20"/>
          <w:lang w:val="el-GR"/>
        </w:rPr>
        <w:t>Δεν απαιτούνται ιδιαίτερες συνθήκες φύλαξης.</w:t>
      </w:r>
    </w:p>
    <w:p w:rsidR="00EB376E" w:rsidRPr="00EB376E" w:rsidRDefault="00EB376E" w:rsidP="00EB376E">
      <w:pPr>
        <w:pStyle w:val="Style8"/>
        <w:widowControl/>
        <w:spacing w:line="240" w:lineRule="exact"/>
        <w:rPr>
          <w:sz w:val="20"/>
          <w:szCs w:val="20"/>
          <w:lang w:val="el-GR"/>
        </w:rPr>
      </w:pPr>
      <w:r>
        <w:rPr>
          <w:sz w:val="20"/>
          <w:szCs w:val="20"/>
          <w:lang w:val="el-GR"/>
        </w:rPr>
        <w:t>Μετά το άνοιγμα</w:t>
      </w:r>
      <w:r w:rsidRPr="00EB376E">
        <w:rPr>
          <w:sz w:val="20"/>
          <w:szCs w:val="20"/>
          <w:lang w:val="el-GR"/>
        </w:rPr>
        <w:t xml:space="preserve"> </w:t>
      </w:r>
      <w:r>
        <w:rPr>
          <w:sz w:val="20"/>
          <w:szCs w:val="20"/>
          <w:lang w:val="el-GR"/>
        </w:rPr>
        <w:t xml:space="preserve">της φιάλης </w:t>
      </w:r>
      <w:r>
        <w:rPr>
          <w:sz w:val="20"/>
          <w:szCs w:val="20"/>
        </w:rPr>
        <w:t>HDPE</w:t>
      </w:r>
      <w:r>
        <w:rPr>
          <w:sz w:val="20"/>
          <w:szCs w:val="20"/>
          <w:lang w:val="el-GR"/>
        </w:rPr>
        <w:t xml:space="preserve"> για τις περιεκτικότητες των 5, 10 και 20</w:t>
      </w:r>
      <w:r>
        <w:rPr>
          <w:sz w:val="20"/>
          <w:szCs w:val="20"/>
        </w:rPr>
        <w:t>mg</w:t>
      </w:r>
      <w:r w:rsidRPr="00EB376E">
        <w:rPr>
          <w:sz w:val="20"/>
          <w:szCs w:val="20"/>
          <w:lang w:val="el-GR"/>
        </w:rPr>
        <w:t>:</w:t>
      </w:r>
      <w:r>
        <w:rPr>
          <w:sz w:val="20"/>
          <w:szCs w:val="20"/>
          <w:lang w:val="el-GR"/>
        </w:rPr>
        <w:t xml:space="preserve"> 3 μήνες. Μετά το άνοιγμα</w:t>
      </w:r>
      <w:r w:rsidRPr="00EB376E">
        <w:rPr>
          <w:sz w:val="20"/>
          <w:szCs w:val="20"/>
          <w:lang w:val="el-GR"/>
        </w:rPr>
        <w:t xml:space="preserve"> </w:t>
      </w:r>
      <w:r>
        <w:rPr>
          <w:sz w:val="20"/>
          <w:szCs w:val="20"/>
          <w:lang w:val="el-GR"/>
        </w:rPr>
        <w:t xml:space="preserve">της φιάλης </w:t>
      </w:r>
      <w:r>
        <w:rPr>
          <w:sz w:val="20"/>
          <w:szCs w:val="20"/>
        </w:rPr>
        <w:t>HDPE</w:t>
      </w:r>
      <w:r>
        <w:rPr>
          <w:sz w:val="20"/>
          <w:szCs w:val="20"/>
          <w:lang w:val="el-GR"/>
        </w:rPr>
        <w:t xml:space="preserve"> για την περιεκτικότητα των 40</w:t>
      </w:r>
      <w:r>
        <w:rPr>
          <w:sz w:val="20"/>
          <w:szCs w:val="20"/>
        </w:rPr>
        <w:t>mg</w:t>
      </w:r>
      <w:r w:rsidRPr="00EB376E">
        <w:rPr>
          <w:sz w:val="20"/>
          <w:szCs w:val="20"/>
          <w:lang w:val="el-GR"/>
        </w:rPr>
        <w:t xml:space="preserve">: 1 </w:t>
      </w:r>
      <w:r>
        <w:rPr>
          <w:sz w:val="20"/>
          <w:szCs w:val="20"/>
          <w:lang w:val="el-GR"/>
        </w:rPr>
        <w:t xml:space="preserve">μήνας.  </w:t>
      </w:r>
    </w:p>
    <w:p w:rsidR="00A502AA" w:rsidRPr="00F7301B" w:rsidRDefault="00E317F9">
      <w:pPr>
        <w:pStyle w:val="Style8"/>
        <w:widowControl/>
        <w:spacing w:line="240" w:lineRule="exact"/>
        <w:rPr>
          <w:sz w:val="20"/>
          <w:szCs w:val="20"/>
          <w:lang w:val="el-GR"/>
        </w:rPr>
      </w:pPr>
      <w:r>
        <w:rPr>
          <w:sz w:val="20"/>
          <w:szCs w:val="20"/>
          <w:lang w:val="el-GR"/>
        </w:rPr>
        <w:br w:type="page"/>
      </w:r>
    </w:p>
    <w:p w:rsidR="00A502AA" w:rsidRDefault="00A502AA">
      <w:pPr>
        <w:pStyle w:val="Style8"/>
        <w:widowControl/>
        <w:tabs>
          <w:tab w:val="left" w:pos="552"/>
        </w:tabs>
        <w:spacing w:before="53"/>
        <w:rPr>
          <w:rStyle w:val="FontStyle44"/>
          <w:lang w:val="el-GR" w:eastAsia="el-GR"/>
        </w:rPr>
      </w:pPr>
      <w:r>
        <w:rPr>
          <w:rStyle w:val="FontStyle44"/>
          <w:lang w:val="el-GR" w:eastAsia="el-GR"/>
        </w:rPr>
        <w:t>6.5</w:t>
      </w:r>
      <w:r>
        <w:rPr>
          <w:rStyle w:val="FontStyle44"/>
          <w:rFonts w:ascii="Times New Roman" w:hAnsi="Times New Roman" w:cs="Times New Roman"/>
          <w:b w:val="0"/>
          <w:bCs w:val="0"/>
          <w:lang w:val="el-GR" w:eastAsia="el-GR"/>
        </w:rPr>
        <w:tab/>
      </w:r>
      <w:r>
        <w:rPr>
          <w:rStyle w:val="FontStyle44"/>
          <w:lang w:val="el-GR" w:eastAsia="el-GR"/>
        </w:rPr>
        <w:t>Φύση και συστατικά του περιέκτη</w:t>
      </w:r>
    </w:p>
    <w:p w:rsidR="00A502AA" w:rsidRPr="00F7301B" w:rsidRDefault="00A502AA">
      <w:pPr>
        <w:pStyle w:val="Style5"/>
        <w:widowControl/>
        <w:spacing w:before="154" w:line="240" w:lineRule="auto"/>
        <w:rPr>
          <w:rStyle w:val="FontStyle45"/>
          <w:lang w:val="el-GR"/>
        </w:rPr>
      </w:pPr>
      <w:r w:rsidRPr="00F7301B">
        <w:rPr>
          <w:rStyle w:val="FontStyle45"/>
          <w:lang w:val="el-GR"/>
        </w:rPr>
        <w:t>5</w:t>
      </w:r>
      <w:r>
        <w:rPr>
          <w:rStyle w:val="FontStyle45"/>
        </w:rPr>
        <w:t>mg</w:t>
      </w:r>
      <w:r w:rsidRPr="00F7301B">
        <w:rPr>
          <w:rStyle w:val="FontStyle45"/>
          <w:lang w:val="el-GR"/>
        </w:rPr>
        <w:t>, 10</w:t>
      </w:r>
      <w:r>
        <w:rPr>
          <w:rStyle w:val="FontStyle45"/>
        </w:rPr>
        <w:t>mg</w:t>
      </w:r>
      <w:r w:rsidRPr="00F7301B">
        <w:rPr>
          <w:rStyle w:val="FontStyle45"/>
          <w:lang w:val="el-GR"/>
        </w:rPr>
        <w:t>, 20</w:t>
      </w:r>
      <w:r>
        <w:rPr>
          <w:rStyle w:val="FontStyle45"/>
        </w:rPr>
        <w:t>mg</w:t>
      </w:r>
      <w:r w:rsidRPr="00F7301B">
        <w:rPr>
          <w:rStyle w:val="FontStyle45"/>
          <w:lang w:val="el-GR"/>
        </w:rPr>
        <w:t xml:space="preserve"> </w:t>
      </w:r>
      <w:r>
        <w:rPr>
          <w:rStyle w:val="FontStyle45"/>
          <w:lang w:val="el-GR"/>
        </w:rPr>
        <w:t xml:space="preserve">και </w:t>
      </w:r>
      <w:r w:rsidRPr="00F7301B">
        <w:rPr>
          <w:rStyle w:val="FontStyle45"/>
          <w:lang w:val="el-GR"/>
        </w:rPr>
        <w:t>40</w:t>
      </w:r>
      <w:r>
        <w:rPr>
          <w:rStyle w:val="FontStyle45"/>
        </w:rPr>
        <w:t>mg</w:t>
      </w:r>
    </w:p>
    <w:p w:rsidR="00FA2EAD" w:rsidRPr="006C66E1" w:rsidRDefault="00FA2EAD">
      <w:pPr>
        <w:pStyle w:val="Style7"/>
        <w:widowControl/>
        <w:spacing w:before="130" w:line="264" w:lineRule="exact"/>
        <w:rPr>
          <w:rStyle w:val="FontStyle45"/>
          <w:lang w:val="el-GR" w:eastAsia="el-GR"/>
        </w:rPr>
      </w:pPr>
    </w:p>
    <w:p w:rsidR="00A502AA" w:rsidRDefault="00A502AA">
      <w:pPr>
        <w:pStyle w:val="Style7"/>
        <w:widowControl/>
        <w:spacing w:before="130" w:line="264" w:lineRule="exact"/>
        <w:rPr>
          <w:rStyle w:val="FontStyle45"/>
          <w:lang w:val="el-GR" w:eastAsia="el-GR"/>
        </w:rPr>
      </w:pPr>
      <w:r>
        <w:rPr>
          <w:rStyle w:val="FontStyle45"/>
          <w:lang w:val="el-GR" w:eastAsia="el-GR"/>
        </w:rPr>
        <w:t xml:space="preserve">Κυψέλες αλουμινίου των </w:t>
      </w:r>
      <w:r w:rsidR="00EB376E">
        <w:rPr>
          <w:rStyle w:val="FontStyle45"/>
          <w:lang w:val="el-GR" w:eastAsia="el-GR"/>
        </w:rPr>
        <w:t>30</w:t>
      </w:r>
      <w:r w:rsidR="00E317F9" w:rsidRPr="00E317F9">
        <w:rPr>
          <w:rStyle w:val="FontStyle45"/>
          <w:lang w:val="el-GR" w:eastAsia="el-GR"/>
        </w:rPr>
        <w:t xml:space="preserve"> </w:t>
      </w:r>
      <w:r>
        <w:rPr>
          <w:rStyle w:val="FontStyle45"/>
          <w:lang w:val="el-GR" w:eastAsia="el-GR"/>
        </w:rPr>
        <w:t>δισκίων</w:t>
      </w:r>
    </w:p>
    <w:p w:rsidR="00EB376E" w:rsidRDefault="00A502AA">
      <w:pPr>
        <w:pStyle w:val="Style4"/>
        <w:widowControl/>
        <w:spacing w:line="773" w:lineRule="exact"/>
        <w:ind w:right="960"/>
        <w:rPr>
          <w:rStyle w:val="FontStyle45"/>
          <w:lang w:val="el-GR" w:eastAsia="el-GR"/>
        </w:rPr>
      </w:pPr>
      <w:r>
        <w:rPr>
          <w:rStyle w:val="FontStyle45"/>
          <w:lang w:val="el-GR" w:eastAsia="el-GR"/>
        </w:rPr>
        <w:t xml:space="preserve">Φιάλες από υψηλής πυκνότητας πολυαιθυλένιο των </w:t>
      </w:r>
      <w:r w:rsidR="00E317F9" w:rsidRPr="00E317F9">
        <w:rPr>
          <w:rStyle w:val="FontStyle45"/>
          <w:lang w:val="el-GR" w:eastAsia="el-GR"/>
        </w:rPr>
        <w:t>3</w:t>
      </w:r>
      <w:r>
        <w:rPr>
          <w:rStyle w:val="FontStyle45"/>
          <w:lang w:val="el-GR" w:eastAsia="el-GR"/>
        </w:rPr>
        <w:t xml:space="preserve">0 δισκίων. </w:t>
      </w:r>
    </w:p>
    <w:p w:rsidR="00A502AA" w:rsidRDefault="00A502AA">
      <w:pPr>
        <w:pStyle w:val="Style4"/>
        <w:widowControl/>
        <w:spacing w:line="773" w:lineRule="exact"/>
        <w:ind w:right="960"/>
        <w:rPr>
          <w:rStyle w:val="FontStyle45"/>
          <w:lang w:val="el-GR" w:eastAsia="el-GR"/>
        </w:rPr>
      </w:pPr>
      <w:r>
        <w:rPr>
          <w:rStyle w:val="FontStyle45"/>
          <w:lang w:val="el-GR" w:eastAsia="el-GR"/>
        </w:rPr>
        <w:t>Μπορεί να μη κυκλοφορούν όλες οι συσκευασίες.</w:t>
      </w:r>
    </w:p>
    <w:p w:rsidR="00A502AA" w:rsidRDefault="00A502AA">
      <w:pPr>
        <w:pStyle w:val="Style8"/>
        <w:widowControl/>
        <w:tabs>
          <w:tab w:val="left" w:pos="648"/>
        </w:tabs>
        <w:spacing w:line="773" w:lineRule="exact"/>
        <w:rPr>
          <w:rStyle w:val="FontStyle44"/>
          <w:lang w:val="el-GR" w:eastAsia="el-GR"/>
        </w:rPr>
      </w:pPr>
      <w:r>
        <w:rPr>
          <w:rStyle w:val="FontStyle44"/>
          <w:lang w:val="el-GR" w:eastAsia="el-GR"/>
        </w:rPr>
        <w:t>6.6</w:t>
      </w:r>
      <w:r>
        <w:rPr>
          <w:rStyle w:val="FontStyle44"/>
          <w:rFonts w:ascii="Times New Roman" w:hAnsi="Times New Roman" w:cs="Times New Roman"/>
          <w:b w:val="0"/>
          <w:bCs w:val="0"/>
          <w:lang w:val="el-GR" w:eastAsia="el-GR"/>
        </w:rPr>
        <w:tab/>
      </w:r>
      <w:r>
        <w:rPr>
          <w:rStyle w:val="FontStyle44"/>
          <w:lang w:val="el-GR" w:eastAsia="el-GR"/>
        </w:rPr>
        <w:t>Ειδικές προφυλάξεις για την απόρριψη</w:t>
      </w:r>
    </w:p>
    <w:p w:rsidR="00A502AA" w:rsidRPr="006C66E1" w:rsidRDefault="00A502AA">
      <w:pPr>
        <w:pStyle w:val="Style7"/>
        <w:widowControl/>
        <w:spacing w:before="19" w:line="264" w:lineRule="exact"/>
        <w:rPr>
          <w:rStyle w:val="FontStyle45"/>
          <w:lang w:val="el-GR" w:eastAsia="el-GR"/>
        </w:rPr>
      </w:pPr>
      <w:r>
        <w:rPr>
          <w:rStyle w:val="FontStyle45"/>
          <w:lang w:val="el-GR" w:eastAsia="el-GR"/>
        </w:rPr>
        <w:t>Κάθε μη χρησιμοποιηθέν φαρμακευτικό προϊόν ή υλικό αποβλήτων πρέπει να απορρίπτεται σύμφωνα με τις τοπικές απαιτήσεις.</w:t>
      </w:r>
    </w:p>
    <w:p w:rsidR="00FA2EAD" w:rsidRPr="006C66E1" w:rsidRDefault="00FA2EAD">
      <w:pPr>
        <w:pStyle w:val="Style7"/>
        <w:widowControl/>
        <w:spacing w:before="19" w:line="264" w:lineRule="exact"/>
        <w:rPr>
          <w:rStyle w:val="FontStyle45"/>
          <w:lang w:val="el-GR" w:eastAsia="el-GR"/>
        </w:rPr>
      </w:pPr>
    </w:p>
    <w:p w:rsidR="00FA2EAD" w:rsidRPr="006C66E1" w:rsidRDefault="00A502AA" w:rsidP="00FA2EAD">
      <w:pPr>
        <w:pStyle w:val="Style8"/>
        <w:widowControl/>
        <w:tabs>
          <w:tab w:val="left" w:pos="630"/>
        </w:tabs>
        <w:spacing w:before="48"/>
        <w:ind w:right="-33"/>
        <w:rPr>
          <w:rStyle w:val="FontStyle44"/>
          <w:lang w:val="el-GR" w:eastAsia="el-GR"/>
        </w:rPr>
      </w:pPr>
      <w:r>
        <w:rPr>
          <w:rStyle w:val="FontStyle44"/>
          <w:lang w:val="el-GR" w:eastAsia="el-GR"/>
        </w:rPr>
        <w:t>7.</w:t>
      </w:r>
      <w:r>
        <w:rPr>
          <w:rStyle w:val="FontStyle44"/>
          <w:rFonts w:ascii="Times New Roman" w:hAnsi="Times New Roman" w:cs="Times New Roman"/>
          <w:b w:val="0"/>
          <w:bCs w:val="0"/>
          <w:lang w:val="el-GR" w:eastAsia="el-GR"/>
        </w:rPr>
        <w:tab/>
      </w:r>
      <w:r>
        <w:rPr>
          <w:rStyle w:val="FontStyle44"/>
          <w:lang w:val="el-GR" w:eastAsia="el-GR"/>
        </w:rPr>
        <w:t>ΚΑΤΟΧΟΣ ΤΗΣ ΑΔΕΙΑΣ ΚΥΚΛΟΦΟΡΙΑΣ</w:t>
      </w:r>
      <w:r>
        <w:rPr>
          <w:rStyle w:val="FontStyle44"/>
          <w:lang w:val="el-GR" w:eastAsia="el-GR"/>
        </w:rPr>
        <w:br/>
      </w:r>
    </w:p>
    <w:p w:rsidR="00FA2EAD" w:rsidRPr="00FA2EAD" w:rsidRDefault="00FA2EAD" w:rsidP="00FA2EAD">
      <w:pPr>
        <w:pStyle w:val="Style8"/>
        <w:widowControl/>
        <w:tabs>
          <w:tab w:val="left" w:pos="630"/>
        </w:tabs>
        <w:spacing w:before="48"/>
        <w:ind w:left="630" w:right="-33"/>
        <w:rPr>
          <w:rStyle w:val="FontStyle44"/>
          <w:lang w:val="el-GR" w:eastAsia="el-GR"/>
        </w:rPr>
      </w:pPr>
      <w:r w:rsidRPr="00FA2EAD">
        <w:rPr>
          <w:rStyle w:val="FontStyle44"/>
          <w:lang w:val="el-GR" w:eastAsia="el-GR"/>
        </w:rPr>
        <w:t>ΗΕ</w:t>
      </w:r>
      <w:r w:rsidRPr="00FA2EAD">
        <w:rPr>
          <w:rStyle w:val="FontStyle44"/>
          <w:lang w:eastAsia="el-GR"/>
        </w:rPr>
        <w:t>REMCO</w:t>
      </w:r>
      <w:r w:rsidRPr="00FA2EAD">
        <w:rPr>
          <w:rStyle w:val="FontStyle44"/>
          <w:lang w:val="el-GR" w:eastAsia="el-GR"/>
        </w:rPr>
        <w:t xml:space="preserve"> </w:t>
      </w:r>
      <w:r w:rsidRPr="00FA2EAD">
        <w:rPr>
          <w:rStyle w:val="FontStyle44"/>
          <w:lang w:eastAsia="el-GR"/>
        </w:rPr>
        <w:t>M</w:t>
      </w:r>
      <w:r w:rsidRPr="00FA2EAD">
        <w:rPr>
          <w:rStyle w:val="FontStyle44"/>
          <w:lang w:val="el-GR" w:eastAsia="el-GR"/>
        </w:rPr>
        <w:t xml:space="preserve">.ΕΠΕ            </w:t>
      </w:r>
    </w:p>
    <w:p w:rsidR="00FA2EAD" w:rsidRPr="00FA2EAD" w:rsidRDefault="00FA2EAD" w:rsidP="00FA2EAD">
      <w:pPr>
        <w:pStyle w:val="Style8"/>
        <w:widowControl/>
        <w:tabs>
          <w:tab w:val="left" w:pos="630"/>
        </w:tabs>
        <w:spacing w:before="48"/>
        <w:ind w:left="630" w:right="-33"/>
        <w:rPr>
          <w:rStyle w:val="FontStyle44"/>
          <w:b w:val="0"/>
          <w:lang w:val="el-GR" w:eastAsia="el-GR"/>
        </w:rPr>
      </w:pPr>
      <w:r w:rsidRPr="00FA2EAD">
        <w:rPr>
          <w:rStyle w:val="FontStyle44"/>
          <w:b w:val="0"/>
          <w:lang w:val="el-GR" w:eastAsia="el-GR"/>
        </w:rPr>
        <w:tab/>
        <w:t>Διεύθυνση:</w:t>
      </w:r>
      <w:r w:rsidRPr="00FA2EAD">
        <w:rPr>
          <w:rStyle w:val="FontStyle44"/>
          <w:b w:val="0"/>
          <w:lang w:val="el-GR" w:eastAsia="el-GR"/>
        </w:rPr>
        <w:tab/>
        <w:t>ΑΝΑΠΑΥΣΕΩΣ 6-ΜΕΤΑΜΟΡΦΩΣΗ-ΤΚ 14451</w:t>
      </w:r>
      <w:r w:rsidRPr="00FA2EAD">
        <w:rPr>
          <w:rStyle w:val="FontStyle44"/>
          <w:b w:val="0"/>
          <w:lang w:val="el-GR" w:eastAsia="el-GR"/>
        </w:rPr>
        <w:tab/>
      </w:r>
    </w:p>
    <w:p w:rsidR="00FA2EAD" w:rsidRPr="00FA2EAD" w:rsidRDefault="00FA2EAD" w:rsidP="00FA2EAD">
      <w:pPr>
        <w:pStyle w:val="Style8"/>
        <w:widowControl/>
        <w:tabs>
          <w:tab w:val="left" w:pos="630"/>
        </w:tabs>
        <w:spacing w:before="48"/>
        <w:ind w:left="630" w:right="-33"/>
        <w:rPr>
          <w:rStyle w:val="FontStyle44"/>
          <w:b w:val="0"/>
          <w:lang w:val="el-GR" w:eastAsia="el-GR"/>
        </w:rPr>
      </w:pPr>
      <w:r w:rsidRPr="00FA2EAD">
        <w:rPr>
          <w:rStyle w:val="FontStyle44"/>
          <w:b w:val="0"/>
          <w:lang w:val="el-GR" w:eastAsia="el-GR"/>
        </w:rPr>
        <w:tab/>
        <w:t>Χώρα:</w:t>
      </w:r>
      <w:r w:rsidRPr="00FA2EAD">
        <w:rPr>
          <w:rStyle w:val="FontStyle44"/>
          <w:b w:val="0"/>
          <w:lang w:val="el-GR" w:eastAsia="el-GR"/>
        </w:rPr>
        <w:tab/>
      </w:r>
      <w:r w:rsidRPr="00FA2EAD">
        <w:rPr>
          <w:rStyle w:val="FontStyle44"/>
          <w:b w:val="0"/>
          <w:lang w:val="el-GR" w:eastAsia="el-GR"/>
        </w:rPr>
        <w:tab/>
        <w:t>ΕΛΛΑΔΑ</w:t>
      </w:r>
    </w:p>
    <w:p w:rsidR="00FA2EAD" w:rsidRPr="00FA2EAD" w:rsidRDefault="00FA2EAD" w:rsidP="00FA2EAD">
      <w:pPr>
        <w:pStyle w:val="Style8"/>
        <w:widowControl/>
        <w:tabs>
          <w:tab w:val="left" w:pos="630"/>
        </w:tabs>
        <w:spacing w:before="48"/>
        <w:ind w:left="630" w:right="-33"/>
        <w:rPr>
          <w:rStyle w:val="FontStyle44"/>
          <w:b w:val="0"/>
          <w:lang w:val="el-GR" w:eastAsia="el-GR"/>
        </w:rPr>
      </w:pPr>
      <w:r w:rsidRPr="00FA2EAD">
        <w:rPr>
          <w:rStyle w:val="FontStyle44"/>
          <w:b w:val="0"/>
          <w:lang w:val="el-GR" w:eastAsia="el-GR"/>
        </w:rPr>
        <w:tab/>
        <w:t>Τηλέφωνο:</w:t>
      </w:r>
      <w:r w:rsidRPr="00FA2EAD">
        <w:rPr>
          <w:rStyle w:val="FontStyle44"/>
          <w:b w:val="0"/>
          <w:lang w:val="el-GR" w:eastAsia="el-GR"/>
        </w:rPr>
        <w:tab/>
        <w:t xml:space="preserve">0030 210 5230217-8   </w:t>
      </w:r>
      <w:r w:rsidRPr="00FA2EAD">
        <w:rPr>
          <w:rStyle w:val="FontStyle44"/>
          <w:b w:val="0"/>
          <w:lang w:val="el-GR" w:eastAsia="el-GR"/>
        </w:rPr>
        <w:tab/>
      </w:r>
    </w:p>
    <w:p w:rsidR="00FA2EAD" w:rsidRPr="00FA2EAD" w:rsidRDefault="00FA2EAD" w:rsidP="00FA2EAD">
      <w:pPr>
        <w:pStyle w:val="Style8"/>
        <w:widowControl/>
        <w:tabs>
          <w:tab w:val="left" w:pos="630"/>
        </w:tabs>
        <w:spacing w:before="48"/>
        <w:ind w:left="630" w:right="-33"/>
        <w:rPr>
          <w:rStyle w:val="FontStyle44"/>
          <w:b w:val="0"/>
          <w:lang w:val="el-GR" w:eastAsia="el-GR"/>
        </w:rPr>
      </w:pPr>
      <w:r w:rsidRPr="00FA2EAD">
        <w:rPr>
          <w:rStyle w:val="FontStyle44"/>
          <w:b w:val="0"/>
          <w:lang w:val="el-GR" w:eastAsia="el-GR"/>
        </w:rPr>
        <w:tab/>
      </w:r>
      <w:r w:rsidRPr="00FA2EAD">
        <w:rPr>
          <w:rStyle w:val="FontStyle44"/>
          <w:b w:val="0"/>
          <w:lang w:eastAsia="el-GR"/>
        </w:rPr>
        <w:t>Fax</w:t>
      </w:r>
      <w:r w:rsidRPr="00FA2EAD">
        <w:rPr>
          <w:rStyle w:val="FontStyle44"/>
          <w:b w:val="0"/>
          <w:lang w:val="el-GR" w:eastAsia="el-GR"/>
        </w:rPr>
        <w:t>:</w:t>
      </w:r>
      <w:r w:rsidRPr="00FA2EAD">
        <w:rPr>
          <w:rStyle w:val="FontStyle44"/>
          <w:b w:val="0"/>
          <w:lang w:val="el-GR" w:eastAsia="el-GR"/>
        </w:rPr>
        <w:tab/>
      </w:r>
      <w:r w:rsidRPr="00FA2EAD">
        <w:rPr>
          <w:rStyle w:val="FontStyle44"/>
          <w:b w:val="0"/>
          <w:lang w:val="el-GR" w:eastAsia="el-GR"/>
        </w:rPr>
        <w:tab/>
        <w:t xml:space="preserve">0030-210-5230219     </w:t>
      </w:r>
      <w:r w:rsidRPr="00FA2EAD">
        <w:rPr>
          <w:rStyle w:val="FontStyle44"/>
          <w:b w:val="0"/>
          <w:lang w:val="el-GR" w:eastAsia="el-GR"/>
        </w:rPr>
        <w:tab/>
      </w:r>
      <w:r w:rsidRPr="00FA2EAD">
        <w:rPr>
          <w:rStyle w:val="FontStyle44"/>
          <w:b w:val="0"/>
          <w:lang w:val="el-GR" w:eastAsia="el-GR"/>
        </w:rPr>
        <w:tab/>
      </w:r>
    </w:p>
    <w:p w:rsidR="00FA2EAD" w:rsidRPr="00FA2EAD" w:rsidRDefault="00FA2EAD" w:rsidP="00FA2EAD">
      <w:pPr>
        <w:pStyle w:val="Style8"/>
        <w:widowControl/>
        <w:tabs>
          <w:tab w:val="left" w:pos="630"/>
        </w:tabs>
        <w:spacing w:before="48"/>
        <w:ind w:left="630" w:right="-33"/>
        <w:rPr>
          <w:rStyle w:val="FontStyle44"/>
          <w:b w:val="0"/>
          <w:lang w:val="el-GR" w:eastAsia="el-GR"/>
        </w:rPr>
      </w:pPr>
      <w:r w:rsidRPr="00FA2EAD">
        <w:rPr>
          <w:rStyle w:val="FontStyle44"/>
          <w:b w:val="0"/>
          <w:lang w:val="el-GR" w:eastAsia="el-GR"/>
        </w:rPr>
        <w:tab/>
      </w:r>
      <w:r w:rsidRPr="00FA2EAD">
        <w:rPr>
          <w:rStyle w:val="FontStyle44"/>
          <w:b w:val="0"/>
          <w:lang w:eastAsia="el-GR"/>
        </w:rPr>
        <w:t>E</w:t>
      </w:r>
      <w:r w:rsidRPr="00FA2EAD">
        <w:rPr>
          <w:rStyle w:val="FontStyle44"/>
          <w:b w:val="0"/>
          <w:lang w:val="el-GR" w:eastAsia="el-GR"/>
        </w:rPr>
        <w:t>-</w:t>
      </w:r>
      <w:r w:rsidRPr="00FA2EAD">
        <w:rPr>
          <w:rStyle w:val="FontStyle44"/>
          <w:b w:val="0"/>
          <w:lang w:eastAsia="el-GR"/>
        </w:rPr>
        <w:t>Mail</w:t>
      </w:r>
      <w:r w:rsidRPr="00FA2EAD">
        <w:rPr>
          <w:rStyle w:val="FontStyle44"/>
          <w:b w:val="0"/>
          <w:lang w:val="el-GR" w:eastAsia="el-GR"/>
        </w:rPr>
        <w:t>:</w:t>
      </w:r>
      <w:r w:rsidR="00721147">
        <w:rPr>
          <w:rStyle w:val="FontStyle44"/>
          <w:b w:val="0"/>
          <w:lang w:val="el-GR" w:eastAsia="el-GR"/>
        </w:rPr>
        <w:tab/>
      </w:r>
      <w:r w:rsidRPr="00FA2EAD">
        <w:rPr>
          <w:rStyle w:val="FontStyle44"/>
          <w:b w:val="0"/>
          <w:lang w:val="el-GR" w:eastAsia="el-GR"/>
        </w:rPr>
        <w:tab/>
      </w:r>
      <w:r w:rsidRPr="00FA2EAD">
        <w:rPr>
          <w:rStyle w:val="FontStyle44"/>
          <w:b w:val="0"/>
          <w:lang w:eastAsia="el-GR"/>
        </w:rPr>
        <w:t>info</w:t>
      </w:r>
      <w:r w:rsidRPr="00FA2EAD">
        <w:rPr>
          <w:rStyle w:val="FontStyle44"/>
          <w:b w:val="0"/>
          <w:lang w:val="el-GR" w:eastAsia="el-GR"/>
        </w:rPr>
        <w:t>@</w:t>
      </w:r>
      <w:r w:rsidRPr="00FA2EAD">
        <w:rPr>
          <w:rStyle w:val="FontStyle44"/>
          <w:b w:val="0"/>
          <w:lang w:eastAsia="el-GR"/>
        </w:rPr>
        <w:t>heremco</w:t>
      </w:r>
      <w:r w:rsidRPr="00FA2EAD">
        <w:rPr>
          <w:rStyle w:val="FontStyle44"/>
          <w:b w:val="0"/>
          <w:lang w:val="el-GR" w:eastAsia="el-GR"/>
        </w:rPr>
        <w:t>.</w:t>
      </w:r>
      <w:r w:rsidRPr="00FA2EAD">
        <w:rPr>
          <w:rStyle w:val="FontStyle44"/>
          <w:b w:val="0"/>
          <w:lang w:eastAsia="el-GR"/>
        </w:rPr>
        <w:t>gr</w:t>
      </w:r>
      <w:r w:rsidRPr="00FA2EAD">
        <w:rPr>
          <w:rStyle w:val="FontStyle44"/>
          <w:b w:val="0"/>
          <w:lang w:val="el-GR" w:eastAsia="el-GR"/>
        </w:rPr>
        <w:t xml:space="preserve">        </w:t>
      </w:r>
    </w:p>
    <w:p w:rsidR="00A502AA" w:rsidRPr="00F7301B" w:rsidRDefault="00A502AA" w:rsidP="00FA2EAD">
      <w:pPr>
        <w:pStyle w:val="Style8"/>
        <w:widowControl/>
        <w:tabs>
          <w:tab w:val="left" w:pos="562"/>
        </w:tabs>
        <w:spacing w:before="48" w:line="389" w:lineRule="exact"/>
        <w:ind w:right="3533"/>
        <w:rPr>
          <w:sz w:val="20"/>
          <w:szCs w:val="20"/>
          <w:lang w:val="el-GR"/>
        </w:rPr>
      </w:pPr>
    </w:p>
    <w:p w:rsidR="00A502AA" w:rsidRDefault="00A502AA">
      <w:pPr>
        <w:pStyle w:val="Style8"/>
        <w:widowControl/>
        <w:tabs>
          <w:tab w:val="left" w:pos="562"/>
        </w:tabs>
        <w:spacing w:before="144" w:line="389" w:lineRule="exact"/>
        <w:rPr>
          <w:rStyle w:val="FontStyle44"/>
          <w:lang w:val="el-GR" w:eastAsia="el-GR"/>
        </w:rPr>
      </w:pPr>
      <w:r>
        <w:rPr>
          <w:rStyle w:val="FontStyle44"/>
          <w:lang w:val="el-GR" w:eastAsia="el-GR"/>
        </w:rPr>
        <w:t>8.</w:t>
      </w:r>
      <w:r>
        <w:rPr>
          <w:rStyle w:val="FontStyle44"/>
          <w:rFonts w:ascii="Times New Roman" w:hAnsi="Times New Roman" w:cs="Times New Roman"/>
          <w:b w:val="0"/>
          <w:bCs w:val="0"/>
          <w:lang w:val="el-GR" w:eastAsia="el-GR"/>
        </w:rPr>
        <w:tab/>
      </w:r>
      <w:r>
        <w:rPr>
          <w:rStyle w:val="FontStyle44"/>
          <w:lang w:val="el-GR" w:eastAsia="el-GR"/>
        </w:rPr>
        <w:t>ΑΡΙΘΜΟΣ(ΟΙ) ΑΔΕΙΑΣ ΚΥΚΛΟΦΟΡΙΑΣ</w:t>
      </w:r>
    </w:p>
    <w:p w:rsidR="00A502AA" w:rsidRPr="006C66E1" w:rsidRDefault="00A502AA">
      <w:pPr>
        <w:pStyle w:val="Style8"/>
        <w:widowControl/>
        <w:spacing w:line="240" w:lineRule="exact"/>
        <w:jc w:val="both"/>
        <w:rPr>
          <w:sz w:val="20"/>
          <w:szCs w:val="20"/>
          <w:lang w:val="el-GR"/>
        </w:rPr>
      </w:pPr>
    </w:p>
    <w:p w:rsidR="00FA2EAD" w:rsidRPr="006C66E1" w:rsidRDefault="00FA2EAD">
      <w:pPr>
        <w:pStyle w:val="Style8"/>
        <w:widowControl/>
        <w:spacing w:line="240" w:lineRule="exact"/>
        <w:jc w:val="both"/>
        <w:rPr>
          <w:sz w:val="20"/>
          <w:szCs w:val="20"/>
          <w:lang w:val="el-GR"/>
        </w:rPr>
      </w:pPr>
    </w:p>
    <w:p w:rsidR="00FA2EAD" w:rsidRPr="006C66E1" w:rsidRDefault="00FA2EAD">
      <w:pPr>
        <w:pStyle w:val="Style8"/>
        <w:widowControl/>
        <w:spacing w:line="240" w:lineRule="exact"/>
        <w:jc w:val="both"/>
        <w:rPr>
          <w:sz w:val="20"/>
          <w:szCs w:val="20"/>
          <w:lang w:val="el-GR"/>
        </w:rPr>
      </w:pPr>
    </w:p>
    <w:p w:rsidR="00A502AA" w:rsidRPr="006C66E1" w:rsidRDefault="00A502AA">
      <w:pPr>
        <w:pStyle w:val="Style8"/>
        <w:widowControl/>
        <w:spacing w:line="240" w:lineRule="exact"/>
        <w:jc w:val="both"/>
        <w:rPr>
          <w:sz w:val="20"/>
          <w:szCs w:val="20"/>
          <w:lang w:val="el-GR"/>
        </w:rPr>
      </w:pPr>
    </w:p>
    <w:p w:rsidR="00A502AA" w:rsidRPr="006C66E1" w:rsidRDefault="00A502AA">
      <w:pPr>
        <w:pStyle w:val="Style8"/>
        <w:widowControl/>
        <w:tabs>
          <w:tab w:val="left" w:pos="562"/>
        </w:tabs>
        <w:spacing w:before="67"/>
        <w:jc w:val="both"/>
        <w:rPr>
          <w:rStyle w:val="FontStyle44"/>
          <w:lang w:val="el-GR" w:eastAsia="el-GR"/>
        </w:rPr>
      </w:pPr>
      <w:r w:rsidRPr="006C66E1">
        <w:rPr>
          <w:rStyle w:val="FontStyle44"/>
          <w:lang w:val="el-GR" w:eastAsia="el-GR"/>
        </w:rPr>
        <w:t>9.</w:t>
      </w:r>
      <w:r w:rsidRPr="006C66E1">
        <w:rPr>
          <w:rStyle w:val="FontStyle44"/>
          <w:rFonts w:ascii="Times New Roman" w:hAnsi="Times New Roman" w:cs="Times New Roman"/>
          <w:b w:val="0"/>
          <w:bCs w:val="0"/>
          <w:lang w:val="el-GR" w:eastAsia="el-GR"/>
        </w:rPr>
        <w:tab/>
      </w:r>
      <w:r>
        <w:rPr>
          <w:rStyle w:val="FontStyle44"/>
          <w:lang w:val="el-GR" w:eastAsia="el-GR"/>
        </w:rPr>
        <w:t>ΗΜΕΡΟΜΗΝΙΑ</w:t>
      </w:r>
      <w:r w:rsidRPr="006C66E1">
        <w:rPr>
          <w:rStyle w:val="FontStyle44"/>
          <w:lang w:val="el-GR" w:eastAsia="el-GR"/>
        </w:rPr>
        <w:t xml:space="preserve"> </w:t>
      </w:r>
      <w:r>
        <w:rPr>
          <w:rStyle w:val="FontStyle44"/>
          <w:lang w:val="el-GR" w:eastAsia="el-GR"/>
        </w:rPr>
        <w:t>ΠΡΩΤΗΣ</w:t>
      </w:r>
      <w:r w:rsidRPr="006C66E1">
        <w:rPr>
          <w:rStyle w:val="FontStyle44"/>
          <w:lang w:val="el-GR" w:eastAsia="el-GR"/>
        </w:rPr>
        <w:t xml:space="preserve"> </w:t>
      </w:r>
      <w:r>
        <w:rPr>
          <w:rStyle w:val="FontStyle44"/>
          <w:lang w:val="el-GR" w:eastAsia="el-GR"/>
        </w:rPr>
        <w:t>ΕΓΚΡΙΣΗΣ</w:t>
      </w:r>
      <w:r w:rsidRPr="006C66E1">
        <w:rPr>
          <w:rStyle w:val="FontStyle44"/>
          <w:lang w:val="el-GR" w:eastAsia="el-GR"/>
        </w:rPr>
        <w:t xml:space="preserve"> / </w:t>
      </w:r>
      <w:r>
        <w:rPr>
          <w:rStyle w:val="FontStyle44"/>
          <w:lang w:val="el-GR" w:eastAsia="el-GR"/>
        </w:rPr>
        <w:t>ΑΝΑΝΕΩΣΗΣ</w:t>
      </w:r>
      <w:r w:rsidRPr="006C66E1">
        <w:rPr>
          <w:rStyle w:val="FontStyle44"/>
          <w:lang w:val="el-GR" w:eastAsia="el-GR"/>
        </w:rPr>
        <w:t xml:space="preserve"> </w:t>
      </w:r>
      <w:r>
        <w:rPr>
          <w:rStyle w:val="FontStyle44"/>
          <w:lang w:val="el-GR" w:eastAsia="el-GR"/>
        </w:rPr>
        <w:t>ΤΗΣ</w:t>
      </w:r>
      <w:r w:rsidRPr="006C66E1">
        <w:rPr>
          <w:rStyle w:val="FontStyle44"/>
          <w:lang w:val="el-GR" w:eastAsia="el-GR"/>
        </w:rPr>
        <w:t xml:space="preserve"> </w:t>
      </w:r>
      <w:r>
        <w:rPr>
          <w:rStyle w:val="FontStyle44"/>
          <w:lang w:val="el-GR" w:eastAsia="el-GR"/>
        </w:rPr>
        <w:t>ΑΔΕΙΑΣ</w:t>
      </w:r>
    </w:p>
    <w:p w:rsidR="00A502AA" w:rsidRPr="006C66E1" w:rsidRDefault="00A502AA">
      <w:pPr>
        <w:pStyle w:val="Style8"/>
        <w:widowControl/>
        <w:spacing w:line="240" w:lineRule="exact"/>
        <w:rPr>
          <w:sz w:val="20"/>
          <w:szCs w:val="20"/>
          <w:lang w:val="el-GR"/>
        </w:rPr>
      </w:pPr>
    </w:p>
    <w:p w:rsidR="00FA2EAD" w:rsidRPr="006C66E1" w:rsidRDefault="00FA2EAD">
      <w:pPr>
        <w:pStyle w:val="Style8"/>
        <w:widowControl/>
        <w:spacing w:line="240" w:lineRule="exact"/>
        <w:rPr>
          <w:sz w:val="20"/>
          <w:szCs w:val="20"/>
          <w:lang w:val="el-GR"/>
        </w:rPr>
      </w:pPr>
    </w:p>
    <w:p w:rsidR="00FA2EAD" w:rsidRPr="006C66E1" w:rsidRDefault="00FA2EAD">
      <w:pPr>
        <w:pStyle w:val="Style8"/>
        <w:widowControl/>
        <w:spacing w:line="240" w:lineRule="exact"/>
        <w:rPr>
          <w:sz w:val="20"/>
          <w:szCs w:val="20"/>
          <w:lang w:val="el-GR"/>
        </w:rPr>
      </w:pPr>
    </w:p>
    <w:p w:rsidR="00A502AA" w:rsidRPr="006C66E1" w:rsidRDefault="00A502AA">
      <w:pPr>
        <w:pStyle w:val="Style8"/>
        <w:widowControl/>
        <w:spacing w:line="240" w:lineRule="exact"/>
        <w:rPr>
          <w:sz w:val="20"/>
          <w:szCs w:val="20"/>
          <w:lang w:val="el-GR"/>
        </w:rPr>
      </w:pPr>
    </w:p>
    <w:p w:rsidR="00A502AA" w:rsidRDefault="00A502AA">
      <w:pPr>
        <w:pStyle w:val="Style8"/>
        <w:widowControl/>
        <w:tabs>
          <w:tab w:val="left" w:pos="562"/>
        </w:tabs>
        <w:spacing w:before="29"/>
        <w:rPr>
          <w:rStyle w:val="FontStyle44"/>
          <w:lang w:val="el-GR" w:eastAsia="el-GR"/>
        </w:rPr>
      </w:pPr>
      <w:r>
        <w:rPr>
          <w:rStyle w:val="FontStyle44"/>
          <w:lang w:val="el-GR" w:eastAsia="el-GR"/>
        </w:rPr>
        <w:t>10.</w:t>
      </w:r>
      <w:r>
        <w:rPr>
          <w:rStyle w:val="FontStyle44"/>
          <w:rFonts w:ascii="Times New Roman" w:hAnsi="Times New Roman" w:cs="Times New Roman"/>
          <w:b w:val="0"/>
          <w:bCs w:val="0"/>
          <w:lang w:val="el-GR" w:eastAsia="el-GR"/>
        </w:rPr>
        <w:tab/>
      </w:r>
      <w:r>
        <w:rPr>
          <w:rStyle w:val="FontStyle44"/>
          <w:lang w:val="el-GR" w:eastAsia="el-GR"/>
        </w:rPr>
        <w:t>ΗΜΕΡΟΜΗΝΙΑ ΑΝΑΘΕΩΡΗΣΗΣ ΤΟΥ ΚΕΙΜΕΝΟΥ</w:t>
      </w:r>
    </w:p>
    <w:sectPr w:rsidR="00A502AA">
      <w:footerReference w:type="default" r:id="rId9"/>
      <w:type w:val="continuous"/>
      <w:pgSz w:w="11905" w:h="16837"/>
      <w:pgMar w:top="625" w:right="1419" w:bottom="1440" w:left="14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D9" w:rsidRDefault="00310AD9">
      <w:r>
        <w:separator/>
      </w:r>
    </w:p>
  </w:endnote>
  <w:endnote w:type="continuationSeparator" w:id="0">
    <w:p w:rsidR="00310AD9" w:rsidRDefault="0031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F9" w:rsidRDefault="00E317F9">
    <w:pPr>
      <w:pStyle w:val="Style4"/>
      <w:widowControl/>
      <w:jc w:val="right"/>
      <w:rPr>
        <w:rStyle w:val="FontStyle45"/>
      </w:rPr>
    </w:pPr>
    <w:r>
      <w:rPr>
        <w:rStyle w:val="FontStyle45"/>
      </w:rPr>
      <w:fldChar w:fldCharType="begin"/>
    </w:r>
    <w:r>
      <w:rPr>
        <w:rStyle w:val="FontStyle45"/>
      </w:rPr>
      <w:instrText>PAGE</w:instrText>
    </w:r>
    <w:r>
      <w:rPr>
        <w:rStyle w:val="FontStyle45"/>
      </w:rPr>
      <w:fldChar w:fldCharType="separate"/>
    </w:r>
    <w:r w:rsidR="007F2F04">
      <w:rPr>
        <w:rStyle w:val="FontStyle45"/>
        <w:noProof/>
      </w:rPr>
      <w:t>23</w:t>
    </w:r>
    <w:r>
      <w:rPr>
        <w:rStyle w:val="FontStyle4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D9" w:rsidRDefault="00310AD9">
      <w:r>
        <w:separator/>
      </w:r>
    </w:p>
  </w:footnote>
  <w:footnote w:type="continuationSeparator" w:id="0">
    <w:p w:rsidR="00310AD9" w:rsidRDefault="0031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76F12C"/>
    <w:lvl w:ilvl="0">
      <w:numFmt w:val="bullet"/>
      <w:lvlText w:val="*"/>
      <w:lvlJc w:val="left"/>
    </w:lvl>
  </w:abstractNum>
  <w:num w:numId="1">
    <w:abstractNumId w:val="0"/>
    <w:lvlOverride w:ilvl="0">
      <w:lvl w:ilvl="0">
        <w:numFmt w:val="bullet"/>
        <w:lvlText w:val="•"/>
        <w:legacy w:legacy="1" w:legacySpace="0" w:legacyIndent="360"/>
        <w:lvlJc w:val="left"/>
        <w:rPr>
          <w:rFonts w:ascii="Verdana" w:hAnsi="Verdana" w:hint="default"/>
        </w:rPr>
      </w:lvl>
    </w:lvlOverride>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51"/>
        <w:lvlJc w:val="left"/>
        <w:rPr>
          <w:rFonts w:ascii="Verdana" w:hAnsi="Verdana" w:hint="default"/>
        </w:rPr>
      </w:lvl>
    </w:lvlOverride>
  </w:num>
  <w:num w:numId="4">
    <w:abstractNumId w:val="0"/>
    <w:lvlOverride w:ilvl="0">
      <w:lvl w:ilvl="0">
        <w:numFmt w:val="bullet"/>
        <w:lvlText w:val="•"/>
        <w:legacy w:legacy="1" w:legacySpace="0" w:legacyIndent="350"/>
        <w:lvlJc w:val="left"/>
        <w:rPr>
          <w:rFonts w:ascii="Verdana" w:hAnsi="Verdan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08"/>
    <w:rsid w:val="000043A4"/>
    <w:rsid w:val="000A6AC5"/>
    <w:rsid w:val="001A1046"/>
    <w:rsid w:val="001D0B59"/>
    <w:rsid w:val="001E0756"/>
    <w:rsid w:val="00214C74"/>
    <w:rsid w:val="002174B4"/>
    <w:rsid w:val="002275D1"/>
    <w:rsid w:val="00265915"/>
    <w:rsid w:val="002D65A9"/>
    <w:rsid w:val="002E7ACB"/>
    <w:rsid w:val="00310AD9"/>
    <w:rsid w:val="003656D8"/>
    <w:rsid w:val="00437367"/>
    <w:rsid w:val="004B0E85"/>
    <w:rsid w:val="0054427C"/>
    <w:rsid w:val="00577AED"/>
    <w:rsid w:val="005F544E"/>
    <w:rsid w:val="00603955"/>
    <w:rsid w:val="0063297F"/>
    <w:rsid w:val="006A2B5C"/>
    <w:rsid w:val="006C66E1"/>
    <w:rsid w:val="00721147"/>
    <w:rsid w:val="007F2F04"/>
    <w:rsid w:val="008055CB"/>
    <w:rsid w:val="008C1B58"/>
    <w:rsid w:val="009035A4"/>
    <w:rsid w:val="009734B3"/>
    <w:rsid w:val="009C2308"/>
    <w:rsid w:val="00A502AA"/>
    <w:rsid w:val="00A55436"/>
    <w:rsid w:val="00BE441D"/>
    <w:rsid w:val="00C54378"/>
    <w:rsid w:val="00D92B57"/>
    <w:rsid w:val="00DF7FB1"/>
    <w:rsid w:val="00E317F9"/>
    <w:rsid w:val="00EB376E"/>
    <w:rsid w:val="00F222F8"/>
    <w:rsid w:val="00F7301B"/>
    <w:rsid w:val="00F77AEB"/>
    <w:rsid w:val="00FA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hAnsi="Verdana"/>
      <w:sz w:val="24"/>
      <w:szCs w:val="24"/>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40" w:lineRule="exac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87" w:lineRule="exact"/>
    </w:pPr>
  </w:style>
  <w:style w:type="paragraph" w:customStyle="1" w:styleId="Style6">
    <w:name w:val="Style6"/>
    <w:basedOn w:val="a"/>
    <w:uiPriority w:val="99"/>
    <w:pPr>
      <w:spacing w:line="654" w:lineRule="exact"/>
      <w:jc w:val="both"/>
    </w:pPr>
  </w:style>
  <w:style w:type="paragraph" w:customStyle="1" w:styleId="Style7">
    <w:name w:val="Style7"/>
    <w:basedOn w:val="a"/>
    <w:uiPriority w:val="99"/>
    <w:pPr>
      <w:spacing w:line="274" w:lineRule="exact"/>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389" w:lineRule="exact"/>
    </w:pPr>
  </w:style>
  <w:style w:type="paragraph" w:customStyle="1" w:styleId="Style11">
    <w:name w:val="Style11"/>
    <w:basedOn w:val="a"/>
    <w:uiPriority w:val="99"/>
    <w:pPr>
      <w:spacing w:line="264" w:lineRule="exact"/>
      <w:ind w:hanging="1440"/>
    </w:pPr>
  </w:style>
  <w:style w:type="paragraph" w:customStyle="1" w:styleId="Style12">
    <w:name w:val="Style12"/>
    <w:basedOn w:val="a"/>
    <w:uiPriority w:val="99"/>
    <w:pPr>
      <w:jc w:val="both"/>
    </w:pPr>
  </w:style>
  <w:style w:type="paragraph" w:customStyle="1" w:styleId="Style13">
    <w:name w:val="Style13"/>
    <w:basedOn w:val="a"/>
    <w:uiPriority w:val="99"/>
    <w:pPr>
      <w:spacing w:line="773" w:lineRule="exact"/>
      <w:jc w:val="both"/>
    </w:pPr>
  </w:style>
  <w:style w:type="paragraph" w:customStyle="1" w:styleId="Style14">
    <w:name w:val="Style14"/>
    <w:basedOn w:val="a"/>
    <w:uiPriority w:val="99"/>
    <w:pPr>
      <w:spacing w:line="269" w:lineRule="exact"/>
    </w:pPr>
  </w:style>
  <w:style w:type="paragraph" w:customStyle="1" w:styleId="Style15">
    <w:name w:val="Style15"/>
    <w:basedOn w:val="a"/>
    <w:uiPriority w:val="99"/>
    <w:pPr>
      <w:spacing w:line="250" w:lineRule="exact"/>
    </w:pPr>
  </w:style>
  <w:style w:type="paragraph" w:customStyle="1" w:styleId="Style16">
    <w:name w:val="Style16"/>
    <w:basedOn w:val="a"/>
    <w:uiPriority w:val="99"/>
    <w:pPr>
      <w:spacing w:line="194" w:lineRule="exact"/>
      <w:ind w:hanging="178"/>
    </w:pPr>
  </w:style>
  <w:style w:type="paragraph" w:customStyle="1" w:styleId="Style17">
    <w:name w:val="Style17"/>
    <w:basedOn w:val="a"/>
    <w:uiPriority w:val="99"/>
    <w:pPr>
      <w:spacing w:line="267" w:lineRule="exact"/>
      <w:ind w:hanging="360"/>
      <w:jc w:val="both"/>
    </w:pPr>
  </w:style>
  <w:style w:type="paragraph" w:customStyle="1" w:styleId="Style18">
    <w:name w:val="Style18"/>
    <w:basedOn w:val="a"/>
    <w:uiPriority w:val="99"/>
    <w:pPr>
      <w:spacing w:line="243" w:lineRule="exact"/>
    </w:pPr>
  </w:style>
  <w:style w:type="paragraph" w:customStyle="1" w:styleId="Style19">
    <w:name w:val="Style19"/>
    <w:basedOn w:val="a"/>
    <w:uiPriority w:val="99"/>
    <w:pPr>
      <w:spacing w:line="242" w:lineRule="exact"/>
    </w:pPr>
  </w:style>
  <w:style w:type="paragraph" w:customStyle="1" w:styleId="Style20">
    <w:name w:val="Style20"/>
    <w:basedOn w:val="a"/>
    <w:uiPriority w:val="99"/>
  </w:style>
  <w:style w:type="paragraph" w:customStyle="1" w:styleId="Style21">
    <w:name w:val="Style21"/>
    <w:basedOn w:val="a"/>
    <w:uiPriority w:val="99"/>
    <w:pPr>
      <w:spacing w:line="242" w:lineRule="exact"/>
    </w:pPr>
  </w:style>
  <w:style w:type="paragraph" w:customStyle="1" w:styleId="Style22">
    <w:name w:val="Style22"/>
    <w:basedOn w:val="a"/>
    <w:uiPriority w:val="99"/>
    <w:pPr>
      <w:spacing w:line="264" w:lineRule="exact"/>
      <w:ind w:hanging="566"/>
    </w:pPr>
  </w:style>
  <w:style w:type="paragraph" w:customStyle="1" w:styleId="Style23">
    <w:name w:val="Style23"/>
    <w:basedOn w:val="a"/>
    <w:uiPriority w:val="99"/>
  </w:style>
  <w:style w:type="paragraph" w:customStyle="1" w:styleId="Style24">
    <w:name w:val="Style24"/>
    <w:basedOn w:val="a"/>
    <w:uiPriority w:val="99"/>
    <w:pPr>
      <w:spacing w:line="264" w:lineRule="exact"/>
      <w:ind w:hanging="350"/>
      <w:jc w:val="both"/>
    </w:pPr>
  </w:style>
  <w:style w:type="paragraph" w:customStyle="1" w:styleId="Style25">
    <w:name w:val="Style25"/>
    <w:basedOn w:val="a"/>
    <w:uiPriority w:val="99"/>
    <w:pPr>
      <w:spacing w:line="394" w:lineRule="exact"/>
      <w:ind w:firstLine="710"/>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197" w:lineRule="exact"/>
      <w:jc w:val="both"/>
    </w:pPr>
  </w:style>
  <w:style w:type="paragraph" w:customStyle="1" w:styleId="Style31">
    <w:name w:val="Style31"/>
    <w:basedOn w:val="a"/>
    <w:uiPriority w:val="99"/>
    <w:pPr>
      <w:spacing w:line="365" w:lineRule="exact"/>
    </w:pPr>
  </w:style>
  <w:style w:type="paragraph" w:customStyle="1" w:styleId="Style32">
    <w:name w:val="Style32"/>
    <w:basedOn w:val="a"/>
    <w:uiPriority w:val="99"/>
    <w:pPr>
      <w:spacing w:line="264" w:lineRule="exact"/>
      <w:jc w:val="both"/>
    </w:pPr>
  </w:style>
  <w:style w:type="paragraph" w:customStyle="1" w:styleId="Style33">
    <w:name w:val="Style33"/>
    <w:basedOn w:val="a"/>
    <w:uiPriority w:val="99"/>
    <w:pPr>
      <w:spacing w:line="235" w:lineRule="exact"/>
      <w:ind w:firstLine="173"/>
    </w:pPr>
  </w:style>
  <w:style w:type="paragraph" w:customStyle="1" w:styleId="Style34">
    <w:name w:val="Style34"/>
    <w:basedOn w:val="a"/>
    <w:uiPriority w:val="99"/>
    <w:pPr>
      <w:spacing w:line="269" w:lineRule="exact"/>
    </w:pPr>
  </w:style>
  <w:style w:type="character" w:customStyle="1" w:styleId="FontStyle36">
    <w:name w:val="Font Style36"/>
    <w:basedOn w:val="a0"/>
    <w:uiPriority w:val="99"/>
    <w:rPr>
      <w:rFonts w:ascii="Verdana" w:hAnsi="Verdana" w:cs="Verdana"/>
      <w:b/>
      <w:bCs/>
      <w:sz w:val="30"/>
      <w:szCs w:val="30"/>
    </w:rPr>
  </w:style>
  <w:style w:type="character" w:customStyle="1" w:styleId="FontStyle37">
    <w:name w:val="Font Style37"/>
    <w:basedOn w:val="a0"/>
    <w:uiPriority w:val="99"/>
    <w:rPr>
      <w:rFonts w:ascii="Verdana" w:hAnsi="Verdana" w:cs="Verdana"/>
      <w:sz w:val="12"/>
      <w:szCs w:val="12"/>
    </w:rPr>
  </w:style>
  <w:style w:type="character" w:customStyle="1" w:styleId="FontStyle38">
    <w:name w:val="Font Style38"/>
    <w:basedOn w:val="a0"/>
    <w:uiPriority w:val="99"/>
    <w:rPr>
      <w:rFonts w:ascii="Verdana" w:hAnsi="Verdana" w:cs="Verdana"/>
      <w:sz w:val="18"/>
      <w:szCs w:val="18"/>
    </w:rPr>
  </w:style>
  <w:style w:type="character" w:customStyle="1" w:styleId="FontStyle39">
    <w:name w:val="Font Style39"/>
    <w:basedOn w:val="a0"/>
    <w:uiPriority w:val="99"/>
    <w:rPr>
      <w:rFonts w:ascii="Verdana" w:hAnsi="Verdana" w:cs="Verdana"/>
      <w:b/>
      <w:bCs/>
      <w:sz w:val="18"/>
      <w:szCs w:val="18"/>
    </w:rPr>
  </w:style>
  <w:style w:type="character" w:customStyle="1" w:styleId="FontStyle40">
    <w:name w:val="Font Style40"/>
    <w:basedOn w:val="a0"/>
    <w:uiPriority w:val="99"/>
    <w:rPr>
      <w:rFonts w:ascii="Verdana" w:hAnsi="Verdana" w:cs="Verdana"/>
      <w:i/>
      <w:iCs/>
      <w:sz w:val="18"/>
      <w:szCs w:val="18"/>
    </w:rPr>
  </w:style>
  <w:style w:type="character" w:customStyle="1" w:styleId="FontStyle41">
    <w:name w:val="Font Style41"/>
    <w:basedOn w:val="a0"/>
    <w:uiPriority w:val="99"/>
    <w:rPr>
      <w:rFonts w:ascii="Verdana" w:hAnsi="Verdana" w:cs="Verdana"/>
      <w:sz w:val="18"/>
      <w:szCs w:val="18"/>
    </w:rPr>
  </w:style>
  <w:style w:type="character" w:customStyle="1" w:styleId="FontStyle42">
    <w:name w:val="Font Style42"/>
    <w:basedOn w:val="a0"/>
    <w:uiPriority w:val="99"/>
    <w:rPr>
      <w:rFonts w:ascii="Verdana" w:hAnsi="Verdana" w:cs="Verdana"/>
      <w:sz w:val="16"/>
      <w:szCs w:val="16"/>
    </w:rPr>
  </w:style>
  <w:style w:type="character" w:customStyle="1" w:styleId="FontStyle43">
    <w:name w:val="Font Style43"/>
    <w:basedOn w:val="a0"/>
    <w:uiPriority w:val="99"/>
    <w:rPr>
      <w:rFonts w:ascii="Verdana" w:hAnsi="Verdana" w:cs="Verdana"/>
      <w:i/>
      <w:iCs/>
      <w:sz w:val="20"/>
      <w:szCs w:val="20"/>
    </w:rPr>
  </w:style>
  <w:style w:type="character" w:customStyle="1" w:styleId="FontStyle44">
    <w:name w:val="Font Style44"/>
    <w:basedOn w:val="a0"/>
    <w:uiPriority w:val="99"/>
    <w:rPr>
      <w:rFonts w:ascii="Verdana" w:hAnsi="Verdana" w:cs="Verdana"/>
      <w:b/>
      <w:bCs/>
      <w:sz w:val="20"/>
      <w:szCs w:val="20"/>
    </w:rPr>
  </w:style>
  <w:style w:type="character" w:customStyle="1" w:styleId="FontStyle45">
    <w:name w:val="Font Style45"/>
    <w:basedOn w:val="a0"/>
    <w:uiPriority w:val="99"/>
    <w:rPr>
      <w:rFonts w:ascii="Verdana" w:hAnsi="Verdana" w:cs="Verdana"/>
      <w:sz w:val="20"/>
      <w:szCs w:val="20"/>
    </w:rPr>
  </w:style>
  <w:style w:type="character" w:customStyle="1" w:styleId="FontStyle46">
    <w:name w:val="Font Style46"/>
    <w:basedOn w:val="a0"/>
    <w:uiPriority w:val="99"/>
    <w:rPr>
      <w:rFonts w:ascii="Times New Roman" w:hAnsi="Times New Roman" w:cs="Times New Roman"/>
      <w:smallCaps/>
      <w:sz w:val="22"/>
      <w:szCs w:val="22"/>
    </w:rPr>
  </w:style>
  <w:style w:type="paragraph" w:styleId="a3">
    <w:name w:val="Balloon Text"/>
    <w:basedOn w:val="a"/>
    <w:link w:val="Char"/>
    <w:uiPriority w:val="99"/>
    <w:rsid w:val="00F222F8"/>
    <w:rPr>
      <w:rFonts w:ascii="Tahoma" w:hAnsi="Tahoma" w:cs="Tahoma"/>
      <w:sz w:val="16"/>
      <w:szCs w:val="16"/>
    </w:rPr>
  </w:style>
  <w:style w:type="character" w:customStyle="1" w:styleId="Char">
    <w:name w:val="Κείμενο πλαισίου Char"/>
    <w:basedOn w:val="a0"/>
    <w:link w:val="a3"/>
    <w:uiPriority w:val="99"/>
    <w:locked/>
    <w:rsid w:val="00F222F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hAnsi="Verdana"/>
      <w:sz w:val="24"/>
      <w:szCs w:val="24"/>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40" w:lineRule="exac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87" w:lineRule="exact"/>
    </w:pPr>
  </w:style>
  <w:style w:type="paragraph" w:customStyle="1" w:styleId="Style6">
    <w:name w:val="Style6"/>
    <w:basedOn w:val="a"/>
    <w:uiPriority w:val="99"/>
    <w:pPr>
      <w:spacing w:line="654" w:lineRule="exact"/>
      <w:jc w:val="both"/>
    </w:pPr>
  </w:style>
  <w:style w:type="paragraph" w:customStyle="1" w:styleId="Style7">
    <w:name w:val="Style7"/>
    <w:basedOn w:val="a"/>
    <w:uiPriority w:val="99"/>
    <w:pPr>
      <w:spacing w:line="274" w:lineRule="exact"/>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389" w:lineRule="exact"/>
    </w:pPr>
  </w:style>
  <w:style w:type="paragraph" w:customStyle="1" w:styleId="Style11">
    <w:name w:val="Style11"/>
    <w:basedOn w:val="a"/>
    <w:uiPriority w:val="99"/>
    <w:pPr>
      <w:spacing w:line="264" w:lineRule="exact"/>
      <w:ind w:hanging="1440"/>
    </w:pPr>
  </w:style>
  <w:style w:type="paragraph" w:customStyle="1" w:styleId="Style12">
    <w:name w:val="Style12"/>
    <w:basedOn w:val="a"/>
    <w:uiPriority w:val="99"/>
    <w:pPr>
      <w:jc w:val="both"/>
    </w:pPr>
  </w:style>
  <w:style w:type="paragraph" w:customStyle="1" w:styleId="Style13">
    <w:name w:val="Style13"/>
    <w:basedOn w:val="a"/>
    <w:uiPriority w:val="99"/>
    <w:pPr>
      <w:spacing w:line="773" w:lineRule="exact"/>
      <w:jc w:val="both"/>
    </w:pPr>
  </w:style>
  <w:style w:type="paragraph" w:customStyle="1" w:styleId="Style14">
    <w:name w:val="Style14"/>
    <w:basedOn w:val="a"/>
    <w:uiPriority w:val="99"/>
    <w:pPr>
      <w:spacing w:line="269" w:lineRule="exact"/>
    </w:pPr>
  </w:style>
  <w:style w:type="paragraph" w:customStyle="1" w:styleId="Style15">
    <w:name w:val="Style15"/>
    <w:basedOn w:val="a"/>
    <w:uiPriority w:val="99"/>
    <w:pPr>
      <w:spacing w:line="250" w:lineRule="exact"/>
    </w:pPr>
  </w:style>
  <w:style w:type="paragraph" w:customStyle="1" w:styleId="Style16">
    <w:name w:val="Style16"/>
    <w:basedOn w:val="a"/>
    <w:uiPriority w:val="99"/>
    <w:pPr>
      <w:spacing w:line="194" w:lineRule="exact"/>
      <w:ind w:hanging="178"/>
    </w:pPr>
  </w:style>
  <w:style w:type="paragraph" w:customStyle="1" w:styleId="Style17">
    <w:name w:val="Style17"/>
    <w:basedOn w:val="a"/>
    <w:uiPriority w:val="99"/>
    <w:pPr>
      <w:spacing w:line="267" w:lineRule="exact"/>
      <w:ind w:hanging="360"/>
      <w:jc w:val="both"/>
    </w:pPr>
  </w:style>
  <w:style w:type="paragraph" w:customStyle="1" w:styleId="Style18">
    <w:name w:val="Style18"/>
    <w:basedOn w:val="a"/>
    <w:uiPriority w:val="99"/>
    <w:pPr>
      <w:spacing w:line="243" w:lineRule="exact"/>
    </w:pPr>
  </w:style>
  <w:style w:type="paragraph" w:customStyle="1" w:styleId="Style19">
    <w:name w:val="Style19"/>
    <w:basedOn w:val="a"/>
    <w:uiPriority w:val="99"/>
    <w:pPr>
      <w:spacing w:line="242" w:lineRule="exact"/>
    </w:pPr>
  </w:style>
  <w:style w:type="paragraph" w:customStyle="1" w:styleId="Style20">
    <w:name w:val="Style20"/>
    <w:basedOn w:val="a"/>
    <w:uiPriority w:val="99"/>
  </w:style>
  <w:style w:type="paragraph" w:customStyle="1" w:styleId="Style21">
    <w:name w:val="Style21"/>
    <w:basedOn w:val="a"/>
    <w:uiPriority w:val="99"/>
    <w:pPr>
      <w:spacing w:line="242" w:lineRule="exact"/>
    </w:pPr>
  </w:style>
  <w:style w:type="paragraph" w:customStyle="1" w:styleId="Style22">
    <w:name w:val="Style22"/>
    <w:basedOn w:val="a"/>
    <w:uiPriority w:val="99"/>
    <w:pPr>
      <w:spacing w:line="264" w:lineRule="exact"/>
      <w:ind w:hanging="566"/>
    </w:pPr>
  </w:style>
  <w:style w:type="paragraph" w:customStyle="1" w:styleId="Style23">
    <w:name w:val="Style23"/>
    <w:basedOn w:val="a"/>
    <w:uiPriority w:val="99"/>
  </w:style>
  <w:style w:type="paragraph" w:customStyle="1" w:styleId="Style24">
    <w:name w:val="Style24"/>
    <w:basedOn w:val="a"/>
    <w:uiPriority w:val="99"/>
    <w:pPr>
      <w:spacing w:line="264" w:lineRule="exact"/>
      <w:ind w:hanging="350"/>
      <w:jc w:val="both"/>
    </w:pPr>
  </w:style>
  <w:style w:type="paragraph" w:customStyle="1" w:styleId="Style25">
    <w:name w:val="Style25"/>
    <w:basedOn w:val="a"/>
    <w:uiPriority w:val="99"/>
    <w:pPr>
      <w:spacing w:line="394" w:lineRule="exact"/>
      <w:ind w:firstLine="710"/>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197" w:lineRule="exact"/>
      <w:jc w:val="both"/>
    </w:pPr>
  </w:style>
  <w:style w:type="paragraph" w:customStyle="1" w:styleId="Style31">
    <w:name w:val="Style31"/>
    <w:basedOn w:val="a"/>
    <w:uiPriority w:val="99"/>
    <w:pPr>
      <w:spacing w:line="365" w:lineRule="exact"/>
    </w:pPr>
  </w:style>
  <w:style w:type="paragraph" w:customStyle="1" w:styleId="Style32">
    <w:name w:val="Style32"/>
    <w:basedOn w:val="a"/>
    <w:uiPriority w:val="99"/>
    <w:pPr>
      <w:spacing w:line="264" w:lineRule="exact"/>
      <w:jc w:val="both"/>
    </w:pPr>
  </w:style>
  <w:style w:type="paragraph" w:customStyle="1" w:styleId="Style33">
    <w:name w:val="Style33"/>
    <w:basedOn w:val="a"/>
    <w:uiPriority w:val="99"/>
    <w:pPr>
      <w:spacing w:line="235" w:lineRule="exact"/>
      <w:ind w:firstLine="173"/>
    </w:pPr>
  </w:style>
  <w:style w:type="paragraph" w:customStyle="1" w:styleId="Style34">
    <w:name w:val="Style34"/>
    <w:basedOn w:val="a"/>
    <w:uiPriority w:val="99"/>
    <w:pPr>
      <w:spacing w:line="269" w:lineRule="exact"/>
    </w:pPr>
  </w:style>
  <w:style w:type="character" w:customStyle="1" w:styleId="FontStyle36">
    <w:name w:val="Font Style36"/>
    <w:basedOn w:val="a0"/>
    <w:uiPriority w:val="99"/>
    <w:rPr>
      <w:rFonts w:ascii="Verdana" w:hAnsi="Verdana" w:cs="Verdana"/>
      <w:b/>
      <w:bCs/>
      <w:sz w:val="30"/>
      <w:szCs w:val="30"/>
    </w:rPr>
  </w:style>
  <w:style w:type="character" w:customStyle="1" w:styleId="FontStyle37">
    <w:name w:val="Font Style37"/>
    <w:basedOn w:val="a0"/>
    <w:uiPriority w:val="99"/>
    <w:rPr>
      <w:rFonts w:ascii="Verdana" w:hAnsi="Verdana" w:cs="Verdana"/>
      <w:sz w:val="12"/>
      <w:szCs w:val="12"/>
    </w:rPr>
  </w:style>
  <w:style w:type="character" w:customStyle="1" w:styleId="FontStyle38">
    <w:name w:val="Font Style38"/>
    <w:basedOn w:val="a0"/>
    <w:uiPriority w:val="99"/>
    <w:rPr>
      <w:rFonts w:ascii="Verdana" w:hAnsi="Verdana" w:cs="Verdana"/>
      <w:sz w:val="18"/>
      <w:szCs w:val="18"/>
    </w:rPr>
  </w:style>
  <w:style w:type="character" w:customStyle="1" w:styleId="FontStyle39">
    <w:name w:val="Font Style39"/>
    <w:basedOn w:val="a0"/>
    <w:uiPriority w:val="99"/>
    <w:rPr>
      <w:rFonts w:ascii="Verdana" w:hAnsi="Verdana" w:cs="Verdana"/>
      <w:b/>
      <w:bCs/>
      <w:sz w:val="18"/>
      <w:szCs w:val="18"/>
    </w:rPr>
  </w:style>
  <w:style w:type="character" w:customStyle="1" w:styleId="FontStyle40">
    <w:name w:val="Font Style40"/>
    <w:basedOn w:val="a0"/>
    <w:uiPriority w:val="99"/>
    <w:rPr>
      <w:rFonts w:ascii="Verdana" w:hAnsi="Verdana" w:cs="Verdana"/>
      <w:i/>
      <w:iCs/>
      <w:sz w:val="18"/>
      <w:szCs w:val="18"/>
    </w:rPr>
  </w:style>
  <w:style w:type="character" w:customStyle="1" w:styleId="FontStyle41">
    <w:name w:val="Font Style41"/>
    <w:basedOn w:val="a0"/>
    <w:uiPriority w:val="99"/>
    <w:rPr>
      <w:rFonts w:ascii="Verdana" w:hAnsi="Verdana" w:cs="Verdana"/>
      <w:sz w:val="18"/>
      <w:szCs w:val="18"/>
    </w:rPr>
  </w:style>
  <w:style w:type="character" w:customStyle="1" w:styleId="FontStyle42">
    <w:name w:val="Font Style42"/>
    <w:basedOn w:val="a0"/>
    <w:uiPriority w:val="99"/>
    <w:rPr>
      <w:rFonts w:ascii="Verdana" w:hAnsi="Verdana" w:cs="Verdana"/>
      <w:sz w:val="16"/>
      <w:szCs w:val="16"/>
    </w:rPr>
  </w:style>
  <w:style w:type="character" w:customStyle="1" w:styleId="FontStyle43">
    <w:name w:val="Font Style43"/>
    <w:basedOn w:val="a0"/>
    <w:uiPriority w:val="99"/>
    <w:rPr>
      <w:rFonts w:ascii="Verdana" w:hAnsi="Verdana" w:cs="Verdana"/>
      <w:i/>
      <w:iCs/>
      <w:sz w:val="20"/>
      <w:szCs w:val="20"/>
    </w:rPr>
  </w:style>
  <w:style w:type="character" w:customStyle="1" w:styleId="FontStyle44">
    <w:name w:val="Font Style44"/>
    <w:basedOn w:val="a0"/>
    <w:uiPriority w:val="99"/>
    <w:rPr>
      <w:rFonts w:ascii="Verdana" w:hAnsi="Verdana" w:cs="Verdana"/>
      <w:b/>
      <w:bCs/>
      <w:sz w:val="20"/>
      <w:szCs w:val="20"/>
    </w:rPr>
  </w:style>
  <w:style w:type="character" w:customStyle="1" w:styleId="FontStyle45">
    <w:name w:val="Font Style45"/>
    <w:basedOn w:val="a0"/>
    <w:uiPriority w:val="99"/>
    <w:rPr>
      <w:rFonts w:ascii="Verdana" w:hAnsi="Verdana" w:cs="Verdana"/>
      <w:sz w:val="20"/>
      <w:szCs w:val="20"/>
    </w:rPr>
  </w:style>
  <w:style w:type="character" w:customStyle="1" w:styleId="FontStyle46">
    <w:name w:val="Font Style46"/>
    <w:basedOn w:val="a0"/>
    <w:uiPriority w:val="99"/>
    <w:rPr>
      <w:rFonts w:ascii="Times New Roman" w:hAnsi="Times New Roman" w:cs="Times New Roman"/>
      <w:smallCaps/>
      <w:sz w:val="22"/>
      <w:szCs w:val="22"/>
    </w:rPr>
  </w:style>
  <w:style w:type="paragraph" w:styleId="a3">
    <w:name w:val="Balloon Text"/>
    <w:basedOn w:val="a"/>
    <w:link w:val="Char"/>
    <w:uiPriority w:val="99"/>
    <w:rsid w:val="00F222F8"/>
    <w:rPr>
      <w:rFonts w:ascii="Tahoma" w:hAnsi="Tahoma" w:cs="Tahoma"/>
      <w:sz w:val="16"/>
      <w:szCs w:val="16"/>
    </w:rPr>
  </w:style>
  <w:style w:type="character" w:customStyle="1" w:styleId="Char">
    <w:name w:val="Κείμενο πλαισίου Char"/>
    <w:basedOn w:val="a0"/>
    <w:link w:val="a3"/>
    <w:uiPriority w:val="99"/>
    <w:locked/>
    <w:rsid w:val="00F222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8318</Words>
  <Characters>44922</Characters>
  <Application>Microsoft Office Word</Application>
  <DocSecurity>0</DocSecurity>
  <Lines>374</Lines>
  <Paragraphs>106</Paragraphs>
  <ScaleCrop>false</ScaleCrop>
  <HeadingPairs>
    <vt:vector size="2" baseType="variant">
      <vt:variant>
        <vt:lpstr>Τίτλος</vt:lpstr>
      </vt:variant>
      <vt:variant>
        <vt:i4>1</vt:i4>
      </vt:variant>
    </vt:vector>
  </HeadingPairs>
  <TitlesOfParts>
    <vt:vector size="1" baseType="lpstr">
      <vt:lpstr>Crestor SPC</vt:lpstr>
    </vt:vector>
  </TitlesOfParts>
  <Company/>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Crestor SPC</dc:title>
  <dc:creator>Michail Kitsias</dc:creator>
  <cp:lastModifiedBy>ΘΑΛΑΣΣΙΝΟΥ ΜΑΡΙΑ</cp:lastModifiedBy>
  <cp:revision>2</cp:revision>
  <cp:lastPrinted>2017-08-17T10:03:00Z</cp:lastPrinted>
  <dcterms:created xsi:type="dcterms:W3CDTF">2017-09-13T11:02:00Z</dcterms:created>
  <dcterms:modified xsi:type="dcterms:W3CDTF">2017-09-13T11:02:00Z</dcterms:modified>
</cp:coreProperties>
</file>