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BF309" w14:textId="77777777" w:rsidR="00BF1124" w:rsidRDefault="00BF1124" w:rsidP="00BF1124">
      <w:pPr>
        <w:rPr>
          <w:noProof/>
          <w:lang w:val="en-US"/>
        </w:rPr>
      </w:pPr>
    </w:p>
    <w:p w14:paraId="03E784AD" w14:textId="77777777" w:rsidR="00BF1124" w:rsidRDefault="00BF1124" w:rsidP="00BF1124">
      <w:pPr>
        <w:rPr>
          <w:noProof/>
          <w:lang w:val="en-US"/>
        </w:rPr>
      </w:pPr>
    </w:p>
    <w:p w14:paraId="63D9A39B" w14:textId="77777777" w:rsidR="00BF1124" w:rsidRDefault="00BF1124" w:rsidP="00BF1124">
      <w:pPr>
        <w:rPr>
          <w:noProof/>
          <w:lang w:val="en-US"/>
        </w:rPr>
      </w:pPr>
    </w:p>
    <w:p w14:paraId="2F666B71" w14:textId="77777777" w:rsidR="00BF1124" w:rsidRDefault="00BF1124" w:rsidP="00BF1124">
      <w:pPr>
        <w:rPr>
          <w:noProof/>
          <w:lang w:val="en-US"/>
        </w:rPr>
      </w:pPr>
    </w:p>
    <w:p w14:paraId="0734AABE" w14:textId="77777777" w:rsidR="00BF1124" w:rsidRDefault="00BF1124" w:rsidP="00BF1124">
      <w:pPr>
        <w:rPr>
          <w:noProof/>
          <w:lang w:val="en-US"/>
        </w:rPr>
      </w:pPr>
    </w:p>
    <w:p w14:paraId="0A86E297" w14:textId="77777777" w:rsidR="00BF1124" w:rsidRDefault="00BF1124" w:rsidP="00BF1124">
      <w:pPr>
        <w:widowControl w:val="0"/>
        <w:rPr>
          <w:bCs/>
          <w:iCs/>
          <w:noProof/>
        </w:rPr>
      </w:pPr>
    </w:p>
    <w:p w14:paraId="73AF6ABB" w14:textId="77777777" w:rsidR="00BF1124" w:rsidRDefault="00BF1124" w:rsidP="00BF1124">
      <w:pPr>
        <w:widowControl w:val="0"/>
        <w:rPr>
          <w:bCs/>
          <w:iCs/>
          <w:noProof/>
        </w:rPr>
      </w:pPr>
    </w:p>
    <w:p w14:paraId="2B9E8AC3" w14:textId="77777777" w:rsidR="00BF1124" w:rsidRDefault="00BF1124" w:rsidP="00BF1124">
      <w:pPr>
        <w:widowControl w:val="0"/>
        <w:rPr>
          <w:bCs/>
          <w:iCs/>
          <w:noProof/>
        </w:rPr>
      </w:pPr>
    </w:p>
    <w:p w14:paraId="7C3E1402" w14:textId="77777777" w:rsidR="00BF1124" w:rsidRDefault="00BF1124" w:rsidP="00BF1124">
      <w:pPr>
        <w:widowControl w:val="0"/>
        <w:rPr>
          <w:bCs/>
          <w:iCs/>
          <w:noProof/>
        </w:rPr>
      </w:pPr>
    </w:p>
    <w:p w14:paraId="74928144" w14:textId="77777777" w:rsidR="00BF1124" w:rsidRDefault="00BF1124" w:rsidP="00BF1124">
      <w:pPr>
        <w:widowControl w:val="0"/>
        <w:rPr>
          <w:bCs/>
          <w:iCs/>
          <w:noProof/>
        </w:rPr>
      </w:pPr>
    </w:p>
    <w:p w14:paraId="33760750" w14:textId="77777777" w:rsidR="00BF1124" w:rsidRDefault="00BF1124" w:rsidP="00BF1124">
      <w:pPr>
        <w:widowControl w:val="0"/>
        <w:rPr>
          <w:bCs/>
          <w:iCs/>
          <w:noProof/>
        </w:rPr>
      </w:pPr>
    </w:p>
    <w:p w14:paraId="52035A68" w14:textId="77777777" w:rsidR="00BF1124" w:rsidRDefault="00BF1124" w:rsidP="00BF1124">
      <w:pPr>
        <w:widowControl w:val="0"/>
        <w:rPr>
          <w:bCs/>
          <w:iCs/>
          <w:noProof/>
        </w:rPr>
      </w:pPr>
    </w:p>
    <w:p w14:paraId="65B03985" w14:textId="77777777" w:rsidR="00BF1124" w:rsidRDefault="00BF1124" w:rsidP="00BF1124">
      <w:pPr>
        <w:widowControl w:val="0"/>
        <w:rPr>
          <w:bCs/>
          <w:iCs/>
          <w:noProof/>
        </w:rPr>
      </w:pPr>
    </w:p>
    <w:p w14:paraId="349B992E" w14:textId="77777777" w:rsidR="00BF1124" w:rsidRDefault="00BF1124" w:rsidP="00BF1124">
      <w:pPr>
        <w:widowControl w:val="0"/>
        <w:rPr>
          <w:bCs/>
          <w:iCs/>
          <w:noProof/>
        </w:rPr>
      </w:pPr>
    </w:p>
    <w:p w14:paraId="505048D6" w14:textId="77777777" w:rsidR="00123409" w:rsidRPr="00123409" w:rsidRDefault="00B47D56" w:rsidP="00BF1124">
      <w:pPr>
        <w:widowControl w:val="0"/>
        <w:jc w:val="center"/>
        <w:rPr>
          <w:bCs/>
          <w:iCs/>
          <w:noProof/>
          <w:lang w:val="el-GR"/>
        </w:rPr>
      </w:pPr>
      <w:r>
        <w:rPr>
          <w:b/>
          <w:lang w:val="el-GR"/>
        </w:rPr>
        <w:t>ΠΕΡΙΛΗΨΗ ΤΩΝ ΧΑΡΑΚΤ</w:t>
      </w:r>
      <w:r w:rsidR="00123409">
        <w:rPr>
          <w:b/>
          <w:lang w:val="el-GR"/>
        </w:rPr>
        <w:t>ΗΡΙΣΤΙΚΩΝ ΤΟΥ ΠΡΟΙΟΝΤΟΣ</w:t>
      </w:r>
    </w:p>
    <w:p w14:paraId="33070C64" w14:textId="77777777" w:rsidR="009E0FD0" w:rsidRPr="00B47D56" w:rsidRDefault="00BF1124" w:rsidP="003F165E">
      <w:pPr>
        <w:pStyle w:val="a9"/>
        <w:rPr>
          <w:lang w:val="el-GR"/>
        </w:rPr>
      </w:pPr>
      <w:r w:rsidRPr="00B47D56">
        <w:rPr>
          <w:bCs/>
          <w:iCs/>
          <w:noProof/>
          <w:lang w:val="el-GR"/>
        </w:rPr>
        <w:br w:type="page"/>
      </w:r>
    </w:p>
    <w:p w14:paraId="30731938" w14:textId="77777777" w:rsidR="00123409" w:rsidRPr="00123409" w:rsidRDefault="00123409" w:rsidP="00123409">
      <w:pPr>
        <w:jc w:val="center"/>
        <w:rPr>
          <w:b/>
          <w:lang w:val="el-GR"/>
        </w:rPr>
      </w:pPr>
      <w:r w:rsidRPr="00123409">
        <w:rPr>
          <w:b/>
          <w:lang w:val="el-GR"/>
        </w:rPr>
        <w:lastRenderedPageBreak/>
        <w:t>ΠΕΡΙΛΗΨΗ ΤΩΝ ΧΑΡΑΚΤΗΡΙΣΤΙΚΩΝ ΤΟΥ ΠΡΟΙΟΝΤΟΣ</w:t>
      </w:r>
    </w:p>
    <w:p w14:paraId="4A9B385C" w14:textId="77777777" w:rsidR="00570EB1" w:rsidRPr="00123409" w:rsidRDefault="00570EB1" w:rsidP="00570EB1">
      <w:pPr>
        <w:rPr>
          <w:lang w:val="el-GR"/>
        </w:rPr>
      </w:pPr>
    </w:p>
    <w:p w14:paraId="3FCDF20C" w14:textId="232FBBC5" w:rsidR="009E0FD0" w:rsidRPr="00BA0B64" w:rsidRDefault="00123409" w:rsidP="003F165E">
      <w:pPr>
        <w:pStyle w:val="1"/>
      </w:pPr>
      <w:r>
        <w:rPr>
          <w:lang w:val="el-GR"/>
        </w:rPr>
        <w:t>ονομα</w:t>
      </w:r>
      <w:r w:rsidR="00E56986">
        <w:rPr>
          <w:lang w:val="el-GR"/>
        </w:rPr>
        <w:t>ΣΙΑ</w:t>
      </w:r>
      <w:r w:rsidRPr="00123409">
        <w:rPr>
          <w:lang w:val="en-US"/>
        </w:rPr>
        <w:t xml:space="preserve"> </w:t>
      </w:r>
      <w:r>
        <w:rPr>
          <w:lang w:val="el-GR"/>
        </w:rPr>
        <w:t>του</w:t>
      </w:r>
      <w:r w:rsidRPr="00123409">
        <w:rPr>
          <w:lang w:val="en-US"/>
        </w:rPr>
        <w:t xml:space="preserve"> </w:t>
      </w:r>
      <w:r w:rsidR="00970FC6">
        <w:rPr>
          <w:lang w:val="el-GR"/>
        </w:rPr>
        <w:t>φαρμακευτικου</w:t>
      </w:r>
      <w:r w:rsidR="00970FC6" w:rsidRPr="00123409">
        <w:rPr>
          <w:lang w:val="en-US"/>
        </w:rPr>
        <w:t xml:space="preserve"> </w:t>
      </w:r>
      <w:r>
        <w:rPr>
          <w:lang w:val="el-GR"/>
        </w:rPr>
        <w:t>προιοντοσ</w:t>
      </w:r>
    </w:p>
    <w:p w14:paraId="60BA9CA5" w14:textId="74C3C010" w:rsidR="00456C5C" w:rsidRPr="00E56986" w:rsidRDefault="00456C5C" w:rsidP="00D202D9">
      <w:pPr>
        <w:rPr>
          <w:noProof/>
          <w:lang w:val="el-GR"/>
        </w:rPr>
      </w:pPr>
      <w:proofErr w:type="spellStart"/>
      <w:r>
        <w:rPr>
          <w:lang w:val="en-US"/>
        </w:rPr>
        <w:t>Melphalan</w:t>
      </w:r>
      <w:proofErr w:type="spellEnd"/>
      <w:r w:rsidRPr="00E56986">
        <w:rPr>
          <w:lang w:val="el-GR"/>
        </w:rPr>
        <w:t xml:space="preserve"> </w:t>
      </w:r>
      <w:proofErr w:type="spellStart"/>
      <w:r>
        <w:rPr>
          <w:lang w:val="en-US"/>
        </w:rPr>
        <w:t>Tillomed</w:t>
      </w:r>
      <w:proofErr w:type="spellEnd"/>
      <w:r w:rsidRPr="00E56986">
        <w:rPr>
          <w:lang w:val="el-GR"/>
        </w:rPr>
        <w:t xml:space="preserve"> 50 </w:t>
      </w:r>
      <w:r>
        <w:rPr>
          <w:lang w:val="en-US"/>
        </w:rPr>
        <w:t>mg</w:t>
      </w:r>
      <w:r w:rsidRPr="00E56986">
        <w:rPr>
          <w:lang w:val="el-GR"/>
        </w:rPr>
        <w:t xml:space="preserve"> </w:t>
      </w:r>
      <w:r>
        <w:rPr>
          <w:lang w:val="el-GR"/>
        </w:rPr>
        <w:t>κόνις</w:t>
      </w:r>
      <w:r w:rsidRPr="00456C5C">
        <w:rPr>
          <w:lang w:val="el-GR"/>
        </w:rPr>
        <w:t xml:space="preserve"> </w:t>
      </w:r>
      <w:r>
        <w:rPr>
          <w:lang w:val="el-GR"/>
        </w:rPr>
        <w:t>και</w:t>
      </w:r>
      <w:r w:rsidRPr="00456C5C">
        <w:rPr>
          <w:lang w:val="el-GR"/>
        </w:rPr>
        <w:t xml:space="preserve"> </w:t>
      </w:r>
      <w:r>
        <w:rPr>
          <w:lang w:val="el-GR"/>
        </w:rPr>
        <w:t>διαλύτης για</w:t>
      </w:r>
      <w:r w:rsidR="004B0BFE" w:rsidRPr="004B0BFE">
        <w:rPr>
          <w:lang w:val="el-GR"/>
        </w:rPr>
        <w:t xml:space="preserve"> </w:t>
      </w:r>
      <w:r w:rsidR="004B0BFE">
        <w:rPr>
          <w:lang w:val="el-GR"/>
        </w:rPr>
        <w:t>παρασκευή ε</w:t>
      </w:r>
      <w:r>
        <w:rPr>
          <w:lang w:val="el-GR"/>
        </w:rPr>
        <w:t>νέσιμο</w:t>
      </w:r>
      <w:r w:rsidR="004B0BFE">
        <w:rPr>
          <w:lang w:val="el-GR"/>
        </w:rPr>
        <w:t>υ διαλύ</w:t>
      </w:r>
      <w:r>
        <w:rPr>
          <w:lang w:val="el-GR"/>
        </w:rPr>
        <w:t>μα</w:t>
      </w:r>
      <w:r w:rsidR="004B0BFE">
        <w:rPr>
          <w:lang w:val="el-GR"/>
        </w:rPr>
        <w:t>τος</w:t>
      </w:r>
      <w:r>
        <w:rPr>
          <w:lang w:val="el-GR"/>
        </w:rPr>
        <w:t>/</w:t>
      </w:r>
      <w:r w:rsidR="004B0BFE">
        <w:rPr>
          <w:lang w:val="el-GR"/>
        </w:rPr>
        <w:t xml:space="preserve">διαλύματος προς </w:t>
      </w:r>
      <w:r>
        <w:rPr>
          <w:lang w:val="el-GR"/>
        </w:rPr>
        <w:t>έγχυση</w:t>
      </w:r>
    </w:p>
    <w:p w14:paraId="72500286" w14:textId="77777777" w:rsidR="00456C5C" w:rsidRPr="00456C5C" w:rsidRDefault="00970FC6" w:rsidP="00E56986">
      <w:pPr>
        <w:pStyle w:val="1"/>
        <w:rPr>
          <w:noProof/>
          <w:lang w:val="el-GR"/>
        </w:rPr>
      </w:pPr>
      <w:r>
        <w:rPr>
          <w:noProof/>
          <w:lang w:val="el-GR"/>
        </w:rPr>
        <w:t xml:space="preserve">ποιοτικη </w:t>
      </w:r>
      <w:r w:rsidRPr="00456C5C">
        <w:rPr>
          <w:noProof/>
          <w:lang w:val="el-GR"/>
        </w:rPr>
        <w:t xml:space="preserve">και ποσοτικη συνθεση </w:t>
      </w:r>
    </w:p>
    <w:p w14:paraId="55F6DDFE" w14:textId="0A707F0A" w:rsidR="00456C5C" w:rsidRPr="00E56986" w:rsidRDefault="00456C5C" w:rsidP="00E56986">
      <w:pPr>
        <w:pStyle w:val="a0"/>
        <w:ind w:left="0"/>
        <w:rPr>
          <w:rFonts w:eastAsia="MS Mincho"/>
          <w:caps/>
          <w:noProof/>
          <w:kern w:val="28"/>
          <w:lang w:val="el-GR"/>
        </w:rPr>
      </w:pPr>
      <w:r w:rsidRPr="00E56986">
        <w:rPr>
          <w:rFonts w:hint="eastAsia"/>
          <w:noProof/>
          <w:kern w:val="28"/>
          <w:lang w:val="el-GR"/>
        </w:rPr>
        <w:t>Κ</w:t>
      </w:r>
      <w:r w:rsidRPr="00E56986">
        <w:rPr>
          <w:rFonts w:eastAsia="MS Mincho"/>
          <w:noProof/>
          <w:kern w:val="28"/>
          <w:lang w:val="el-GR"/>
        </w:rPr>
        <w:t>ά</w:t>
      </w:r>
      <w:r w:rsidRPr="00E56986">
        <w:rPr>
          <w:rFonts w:hint="eastAsia"/>
          <w:noProof/>
          <w:kern w:val="28"/>
          <w:lang w:val="el-GR"/>
        </w:rPr>
        <w:t>θε</w:t>
      </w:r>
      <w:r w:rsidRPr="00E56986">
        <w:rPr>
          <w:caps/>
          <w:noProof/>
          <w:kern w:val="28"/>
          <w:lang w:val="el-GR"/>
        </w:rPr>
        <w:t xml:space="preserve"> </w:t>
      </w:r>
      <w:r w:rsidRPr="00E56986">
        <w:rPr>
          <w:rFonts w:hint="eastAsia"/>
          <w:noProof/>
          <w:kern w:val="28"/>
          <w:lang w:val="el-GR"/>
        </w:rPr>
        <w:t>φιαλ</w:t>
      </w:r>
      <w:r w:rsidRPr="00E56986">
        <w:rPr>
          <w:rFonts w:eastAsia="MS Mincho"/>
          <w:noProof/>
          <w:kern w:val="28"/>
          <w:lang w:val="el-GR"/>
        </w:rPr>
        <w:t>ίδιο</w:t>
      </w:r>
      <w:r>
        <w:rPr>
          <w:rFonts w:eastAsia="MS Mincho"/>
          <w:noProof/>
          <w:kern w:val="28"/>
          <w:lang w:val="el-GR"/>
        </w:rPr>
        <w:t xml:space="preserve"> κόνεως περιέχει υδροχλωρική μελφαλάνη ισοδύναμη με 50 </w:t>
      </w:r>
      <w:r>
        <w:rPr>
          <w:rFonts w:eastAsia="MS Mincho"/>
          <w:noProof/>
          <w:kern w:val="28"/>
          <w:lang w:val="en-US"/>
        </w:rPr>
        <w:t>mg</w:t>
      </w:r>
      <w:r w:rsidRPr="00E56986">
        <w:rPr>
          <w:rFonts w:eastAsia="MS Mincho"/>
          <w:noProof/>
          <w:kern w:val="28"/>
          <w:lang w:val="el-GR"/>
        </w:rPr>
        <w:t xml:space="preserve"> </w:t>
      </w:r>
      <w:r>
        <w:rPr>
          <w:rFonts w:eastAsia="MS Mincho"/>
          <w:noProof/>
          <w:kern w:val="28"/>
          <w:lang w:val="el-GR"/>
        </w:rPr>
        <w:t>μελφαλάνης</w:t>
      </w:r>
    </w:p>
    <w:p w14:paraId="29F583EC" w14:textId="78EF6236" w:rsidR="00456C5C" w:rsidRPr="00E56986" w:rsidRDefault="00456C5C" w:rsidP="00E56986">
      <w:pPr>
        <w:pStyle w:val="a0"/>
        <w:ind w:left="0"/>
        <w:rPr>
          <w:caps/>
          <w:noProof/>
          <w:kern w:val="28"/>
          <w:lang w:val="el-GR"/>
        </w:rPr>
      </w:pPr>
      <w:r w:rsidRPr="00E56986">
        <w:rPr>
          <w:noProof/>
          <w:kern w:val="28"/>
          <w:lang w:val="el-GR"/>
        </w:rPr>
        <w:t xml:space="preserve">Κάθε φιαλίδιο διαλύτη περιέχει 10 </w:t>
      </w:r>
      <w:r w:rsidRPr="00E56986">
        <w:rPr>
          <w:noProof/>
          <w:kern w:val="28"/>
          <w:lang w:val="en-US"/>
        </w:rPr>
        <w:t>ml</w:t>
      </w:r>
      <w:r w:rsidRPr="00E56986">
        <w:rPr>
          <w:noProof/>
          <w:kern w:val="28"/>
          <w:lang w:val="el-GR"/>
        </w:rPr>
        <w:t xml:space="preserve"> διαλύτη</w:t>
      </w:r>
    </w:p>
    <w:p w14:paraId="039BEF4A" w14:textId="77777777" w:rsidR="00E56986" w:rsidRDefault="00456C5C" w:rsidP="00E56986">
      <w:pPr>
        <w:pStyle w:val="a0"/>
        <w:ind w:left="0"/>
        <w:rPr>
          <w:noProof/>
          <w:kern w:val="28"/>
          <w:lang w:val="el-GR"/>
        </w:rPr>
      </w:pPr>
      <w:r w:rsidRPr="00E56986">
        <w:rPr>
          <w:noProof/>
          <w:kern w:val="28"/>
          <w:lang w:val="el-GR"/>
        </w:rPr>
        <w:t xml:space="preserve">Κάθε </w:t>
      </w:r>
      <w:r w:rsidRPr="00E56986">
        <w:rPr>
          <w:noProof/>
          <w:kern w:val="28"/>
          <w:lang w:val="en-US"/>
        </w:rPr>
        <w:t>ml</w:t>
      </w:r>
      <w:r w:rsidRPr="00E56986">
        <w:rPr>
          <w:noProof/>
          <w:kern w:val="28"/>
          <w:lang w:val="el-GR"/>
        </w:rPr>
        <w:t xml:space="preserve"> ανασυσταμένου διαλύματος περιέχει 5 </w:t>
      </w:r>
      <w:r w:rsidRPr="00E56986">
        <w:rPr>
          <w:noProof/>
          <w:kern w:val="28"/>
          <w:lang w:val="en-US"/>
        </w:rPr>
        <w:t>mg</w:t>
      </w:r>
      <w:r w:rsidRPr="00E56986">
        <w:rPr>
          <w:noProof/>
          <w:kern w:val="28"/>
          <w:lang w:val="el-GR"/>
        </w:rPr>
        <w:t xml:space="preserve"> μελφαλάνης</w:t>
      </w:r>
    </w:p>
    <w:p w14:paraId="34FAA08A" w14:textId="0CB129C4" w:rsidR="00123409" w:rsidRPr="00E56986" w:rsidRDefault="005859DF" w:rsidP="00E56986">
      <w:pPr>
        <w:pStyle w:val="a0"/>
        <w:ind w:left="0"/>
        <w:rPr>
          <w:caps/>
          <w:noProof/>
          <w:kern w:val="28"/>
          <w:lang w:val="el-GR"/>
        </w:rPr>
      </w:pPr>
      <w:r>
        <w:rPr>
          <w:rFonts w:hint="eastAsia"/>
          <w:noProof/>
          <w:lang w:val="el-GR"/>
        </w:rPr>
        <w:t>Έκδοχα</w:t>
      </w:r>
      <w:r w:rsidR="00123409" w:rsidRPr="001968D1">
        <w:rPr>
          <w:noProof/>
          <w:lang w:val="el-GR"/>
        </w:rPr>
        <w:t xml:space="preserve"> </w:t>
      </w:r>
      <w:r>
        <w:rPr>
          <w:rFonts w:hint="eastAsia"/>
          <w:noProof/>
          <w:lang w:val="el-GR"/>
        </w:rPr>
        <w:t>με</w:t>
      </w:r>
      <w:r w:rsidR="00123409" w:rsidRPr="001968D1">
        <w:rPr>
          <w:noProof/>
          <w:lang w:val="el-GR"/>
        </w:rPr>
        <w:t xml:space="preserve"> </w:t>
      </w:r>
      <w:r>
        <w:rPr>
          <w:rFonts w:hint="eastAsia"/>
          <w:noProof/>
          <w:lang w:val="el-GR"/>
        </w:rPr>
        <w:t>γνωστη</w:t>
      </w:r>
      <w:r w:rsidR="00456C5C" w:rsidRPr="001968D1">
        <w:rPr>
          <w:noProof/>
          <w:lang w:val="el-GR"/>
        </w:rPr>
        <w:t xml:space="preserve"> </w:t>
      </w:r>
      <w:r>
        <w:rPr>
          <w:rFonts w:hint="eastAsia"/>
          <w:noProof/>
          <w:lang w:val="el-GR"/>
        </w:rPr>
        <w:t>δραση</w:t>
      </w:r>
      <w:r w:rsidR="00123409" w:rsidRPr="001968D1">
        <w:rPr>
          <w:noProof/>
          <w:lang w:val="el-GR"/>
        </w:rPr>
        <w:t>:</w:t>
      </w:r>
    </w:p>
    <w:p w14:paraId="0DEDAECB" w14:textId="24913A76" w:rsidR="00123409" w:rsidRPr="00123409" w:rsidRDefault="00123409" w:rsidP="00D202D9">
      <w:pPr>
        <w:rPr>
          <w:noProof/>
          <w:lang w:val="el-GR"/>
        </w:rPr>
      </w:pPr>
      <w:r>
        <w:rPr>
          <w:noProof/>
          <w:lang w:val="el-GR"/>
        </w:rPr>
        <w:t xml:space="preserve">Κάθε φιαλίδιο διαλύτη περιέχει 0,4243 </w:t>
      </w:r>
      <w:r w:rsidR="005859DF">
        <w:rPr>
          <w:noProof/>
          <w:lang w:val="en-US"/>
        </w:rPr>
        <w:t>g</w:t>
      </w:r>
      <w:r w:rsidR="005859DF">
        <w:rPr>
          <w:noProof/>
          <w:lang w:val="el-GR"/>
        </w:rPr>
        <w:t xml:space="preserve"> </w:t>
      </w:r>
      <w:r>
        <w:rPr>
          <w:noProof/>
          <w:lang w:val="el-GR"/>
        </w:rPr>
        <w:t xml:space="preserve">αιθανόλης και 6,2148 </w:t>
      </w:r>
      <w:r w:rsidR="005859DF">
        <w:rPr>
          <w:noProof/>
          <w:lang w:val="en-US"/>
        </w:rPr>
        <w:t>g</w:t>
      </w:r>
      <w:r w:rsidR="005859DF">
        <w:rPr>
          <w:noProof/>
          <w:lang w:val="el-GR"/>
        </w:rPr>
        <w:t xml:space="preserve"> </w:t>
      </w:r>
      <w:r>
        <w:rPr>
          <w:noProof/>
          <w:lang w:val="el-GR"/>
        </w:rPr>
        <w:t>προπυλενογλυκόλης</w:t>
      </w:r>
    </w:p>
    <w:p w14:paraId="076974AE" w14:textId="26ACBD67" w:rsidR="002B5A21" w:rsidRDefault="00123409" w:rsidP="00D202D9">
      <w:pPr>
        <w:spacing w:before="3" w:after="0"/>
        <w:rPr>
          <w:b/>
          <w:noProof/>
          <w:szCs w:val="22"/>
          <w:lang w:val="el-GR"/>
        </w:rPr>
      </w:pPr>
      <w:r>
        <w:rPr>
          <w:szCs w:val="22"/>
          <w:lang w:val="el-GR"/>
        </w:rPr>
        <w:t xml:space="preserve">Κάθε φιαλίδιο διαλύτη περιέχει λιγότερο από 1 </w:t>
      </w:r>
      <w:r>
        <w:rPr>
          <w:szCs w:val="22"/>
          <w:lang w:val="en-US"/>
        </w:rPr>
        <w:t>mmol</w:t>
      </w:r>
      <w:r>
        <w:rPr>
          <w:szCs w:val="22"/>
          <w:lang w:val="el-GR"/>
        </w:rPr>
        <w:t xml:space="preserve"> νατρίου (23 </w:t>
      </w:r>
      <w:r>
        <w:rPr>
          <w:szCs w:val="22"/>
          <w:lang w:val="en-US"/>
        </w:rPr>
        <w:t>mg</w:t>
      </w:r>
      <w:r>
        <w:rPr>
          <w:szCs w:val="22"/>
          <w:lang w:val="el-GR"/>
        </w:rPr>
        <w:t xml:space="preserve">) ανά φιαλίδιο (10 </w:t>
      </w:r>
      <w:r>
        <w:rPr>
          <w:szCs w:val="22"/>
          <w:lang w:val="en-US"/>
        </w:rPr>
        <w:t>ml</w:t>
      </w:r>
      <w:r w:rsidR="00381F65">
        <w:rPr>
          <w:szCs w:val="22"/>
          <w:lang w:val="el-GR"/>
        </w:rPr>
        <w:t xml:space="preserve">) σαν συστατικό των εκδόχων, </w:t>
      </w:r>
      <w:r w:rsidR="0044180F">
        <w:rPr>
          <w:szCs w:val="22"/>
          <w:lang w:val="el-GR"/>
        </w:rPr>
        <w:t>δηλαδή</w:t>
      </w:r>
      <w:r w:rsidR="003E0F4F">
        <w:rPr>
          <w:szCs w:val="22"/>
          <w:lang w:val="el-GR"/>
        </w:rPr>
        <w:t xml:space="preserve"> είναι </w:t>
      </w:r>
      <w:r w:rsidR="00F05E7A">
        <w:rPr>
          <w:szCs w:val="22"/>
          <w:lang w:val="el-GR"/>
        </w:rPr>
        <w:t>ουσιαστικά</w:t>
      </w:r>
      <w:r w:rsidR="00381F65">
        <w:rPr>
          <w:szCs w:val="22"/>
          <w:lang w:val="el-GR"/>
        </w:rPr>
        <w:t xml:space="preserve"> «</w:t>
      </w:r>
      <w:r w:rsidR="005859DF">
        <w:rPr>
          <w:szCs w:val="22"/>
          <w:lang w:val="el-GR"/>
        </w:rPr>
        <w:t>ελεύθερο νατρίου</w:t>
      </w:r>
      <w:r w:rsidR="00381F65">
        <w:rPr>
          <w:szCs w:val="22"/>
          <w:lang w:val="el-GR"/>
        </w:rPr>
        <w:t>»</w:t>
      </w:r>
      <w:r w:rsidR="00E56986" w:rsidRPr="00E56986">
        <w:rPr>
          <w:b/>
          <w:noProof/>
          <w:szCs w:val="22"/>
          <w:lang w:val="el-GR"/>
        </w:rPr>
        <w:t xml:space="preserve"> </w:t>
      </w:r>
    </w:p>
    <w:p w14:paraId="701D0A1C" w14:textId="77777777" w:rsidR="002B5A21" w:rsidRDefault="002B5A21" w:rsidP="00D202D9">
      <w:pPr>
        <w:spacing w:before="3" w:after="0"/>
        <w:rPr>
          <w:b/>
          <w:noProof/>
          <w:szCs w:val="22"/>
          <w:lang w:val="el-GR"/>
        </w:rPr>
      </w:pPr>
    </w:p>
    <w:p w14:paraId="7257615C" w14:textId="73ADDDA5" w:rsidR="00123409" w:rsidRPr="002B5A21" w:rsidRDefault="00E56986" w:rsidP="00D202D9">
      <w:pPr>
        <w:spacing w:before="3" w:after="0"/>
        <w:rPr>
          <w:szCs w:val="22"/>
          <w:lang w:val="el-GR"/>
        </w:rPr>
      </w:pPr>
      <w:r w:rsidRPr="002B5A21">
        <w:rPr>
          <w:noProof/>
          <w:szCs w:val="22"/>
          <w:lang w:val="el-GR"/>
        </w:rPr>
        <w:t>Για τον πλήρη κατάλογο των εκδόχων, βλ. παράγραφο 6.1.</w:t>
      </w:r>
    </w:p>
    <w:p w14:paraId="1D3EE86E" w14:textId="77777777" w:rsidR="00D202D9" w:rsidRPr="00123409" w:rsidRDefault="00D202D9" w:rsidP="00D202D9">
      <w:pPr>
        <w:rPr>
          <w:noProof/>
          <w:lang w:val="el-GR"/>
        </w:rPr>
      </w:pPr>
    </w:p>
    <w:p w14:paraId="4CBC2E90" w14:textId="634E6F58" w:rsidR="009E0FD0" w:rsidRPr="00E56986" w:rsidRDefault="00E56986" w:rsidP="009E0FD0">
      <w:pPr>
        <w:pStyle w:val="1"/>
        <w:rPr>
          <w:lang w:val="el-GR"/>
        </w:rPr>
      </w:pPr>
      <w:r>
        <w:rPr>
          <w:lang w:val="el-GR"/>
        </w:rPr>
        <w:t>Φαρμακοτεχνικη μορφη</w:t>
      </w:r>
      <w:r w:rsidRPr="00E56986">
        <w:rPr>
          <w:b w:val="0"/>
          <w:noProof/>
          <w:szCs w:val="22"/>
          <w:lang w:val="el-GR"/>
        </w:rPr>
        <w:t xml:space="preserve"> </w:t>
      </w:r>
    </w:p>
    <w:p w14:paraId="7373A055" w14:textId="77777777" w:rsidR="004B0BFE" w:rsidRPr="00E56986" w:rsidRDefault="005859DF" w:rsidP="004B0BFE">
      <w:pPr>
        <w:rPr>
          <w:noProof/>
          <w:lang w:val="el-GR"/>
        </w:rPr>
      </w:pPr>
      <w:r>
        <w:rPr>
          <w:szCs w:val="22"/>
          <w:lang w:val="el-GR"/>
        </w:rPr>
        <w:t xml:space="preserve">Κόνις </w:t>
      </w:r>
      <w:r w:rsidR="00381F65">
        <w:rPr>
          <w:szCs w:val="22"/>
          <w:lang w:val="el-GR"/>
        </w:rPr>
        <w:t xml:space="preserve">και διαλύτης για </w:t>
      </w:r>
      <w:r w:rsidR="004B0BFE">
        <w:rPr>
          <w:lang w:val="el-GR"/>
        </w:rPr>
        <w:t>παρασκευή ενέσιμου διαλύματος/διαλύματος προς έγχυση</w:t>
      </w:r>
    </w:p>
    <w:p w14:paraId="11400D9F" w14:textId="5B4B9FF1" w:rsidR="00381F65" w:rsidRPr="00381F65" w:rsidRDefault="005859DF" w:rsidP="004E6A52">
      <w:pPr>
        <w:rPr>
          <w:lang w:val="el-GR" w:eastAsia="en-IN"/>
        </w:rPr>
      </w:pPr>
      <w:r>
        <w:rPr>
          <w:lang w:val="el-GR" w:eastAsia="en-IN"/>
        </w:rPr>
        <w:t>Κόνις</w:t>
      </w:r>
      <w:r w:rsidR="00381F65">
        <w:rPr>
          <w:lang w:val="el-GR" w:eastAsia="en-IN"/>
        </w:rPr>
        <w:t xml:space="preserve">: </w:t>
      </w:r>
      <w:r>
        <w:rPr>
          <w:lang w:val="el-GR" w:eastAsia="en-IN"/>
        </w:rPr>
        <w:t xml:space="preserve">λευκή έως </w:t>
      </w:r>
      <w:r w:rsidR="0044180F">
        <w:rPr>
          <w:lang w:val="el-GR" w:eastAsia="en-IN"/>
        </w:rPr>
        <w:t>ωχροκίτρινη</w:t>
      </w:r>
      <w:r w:rsidR="00381F65">
        <w:rPr>
          <w:lang w:val="el-GR" w:eastAsia="en-IN"/>
        </w:rPr>
        <w:t xml:space="preserve"> λυοφιλοποιημένη </w:t>
      </w:r>
      <w:r>
        <w:rPr>
          <w:lang w:val="el-GR" w:eastAsia="en-IN"/>
        </w:rPr>
        <w:t>κόνις</w:t>
      </w:r>
    </w:p>
    <w:p w14:paraId="615743D5" w14:textId="35C9ADB2" w:rsidR="00381F65" w:rsidRPr="00381F65" w:rsidRDefault="00381F65" w:rsidP="004E6A52">
      <w:pPr>
        <w:rPr>
          <w:noProof/>
          <w:szCs w:val="22"/>
          <w:lang w:val="el-GR"/>
        </w:rPr>
      </w:pPr>
      <w:r>
        <w:rPr>
          <w:noProof/>
          <w:szCs w:val="22"/>
          <w:lang w:val="el-GR"/>
        </w:rPr>
        <w:t xml:space="preserve">Διαλύτης: </w:t>
      </w:r>
      <w:r w:rsidR="00E56986">
        <w:rPr>
          <w:noProof/>
          <w:szCs w:val="22"/>
          <w:lang w:val="el-GR"/>
        </w:rPr>
        <w:t>διαυγές</w:t>
      </w:r>
      <w:r>
        <w:rPr>
          <w:noProof/>
          <w:szCs w:val="22"/>
          <w:lang w:val="el-GR"/>
        </w:rPr>
        <w:t xml:space="preserve"> άχρωμο διάλυμα</w:t>
      </w:r>
    </w:p>
    <w:p w14:paraId="6BD22F9F" w14:textId="11079BD5" w:rsidR="009E0FD0" w:rsidRDefault="00381F65" w:rsidP="003F165E">
      <w:pPr>
        <w:pStyle w:val="1"/>
      </w:pPr>
      <w:r>
        <w:rPr>
          <w:lang w:val="el-GR"/>
        </w:rPr>
        <w:t xml:space="preserve">ΚΛΙΝΙΚΕΣ </w:t>
      </w:r>
      <w:r w:rsidR="00970FC6">
        <w:rPr>
          <w:lang w:val="el-GR"/>
        </w:rPr>
        <w:t>πληροφοριεσ</w:t>
      </w:r>
    </w:p>
    <w:p w14:paraId="7979E084" w14:textId="2F681E99" w:rsidR="009E0FD0" w:rsidRDefault="00381F65" w:rsidP="003F165E">
      <w:pPr>
        <w:pStyle w:val="2"/>
      </w:pPr>
      <w:proofErr w:type="spellStart"/>
      <w:r>
        <w:t>Θερ</w:t>
      </w:r>
      <w:proofErr w:type="spellEnd"/>
      <w:r>
        <w:t>απευτικ</w:t>
      </w:r>
      <w:proofErr w:type="spellStart"/>
      <w:r w:rsidR="00E56986">
        <w:rPr>
          <w:lang w:val="el-GR"/>
        </w:rPr>
        <w:t>ές</w:t>
      </w:r>
      <w:proofErr w:type="spellEnd"/>
      <w:r>
        <w:rPr>
          <w:lang w:val="el-GR"/>
        </w:rPr>
        <w:t xml:space="preserve"> </w:t>
      </w:r>
      <w:r w:rsidR="00970FC6">
        <w:rPr>
          <w:lang w:val="el-GR"/>
        </w:rPr>
        <w:t>ενδείξεις</w:t>
      </w:r>
    </w:p>
    <w:p w14:paraId="53A72E99" w14:textId="211D19EF" w:rsidR="00381F65" w:rsidRPr="00E56986" w:rsidRDefault="005859DF" w:rsidP="00381F65">
      <w:pPr>
        <w:numPr>
          <w:ilvl w:val="0"/>
          <w:numId w:val="43"/>
        </w:numPr>
        <w:tabs>
          <w:tab w:val="left" w:pos="567"/>
        </w:tabs>
        <w:spacing w:after="0"/>
        <w:rPr>
          <w:noProof/>
          <w:szCs w:val="22"/>
          <w:lang w:val="el-GR"/>
        </w:rPr>
      </w:pPr>
      <w:r>
        <w:rPr>
          <w:noProof/>
          <w:szCs w:val="22"/>
          <w:lang w:val="el-GR"/>
        </w:rPr>
        <w:t>Το</w:t>
      </w:r>
      <w:r w:rsidRPr="00E56986">
        <w:rPr>
          <w:noProof/>
          <w:szCs w:val="22"/>
          <w:lang w:val="el-GR"/>
        </w:rPr>
        <w:t xml:space="preserve"> </w:t>
      </w:r>
      <w:bookmarkStart w:id="0" w:name="_Hlk482376770"/>
      <w:r w:rsidR="00AB50D7">
        <w:rPr>
          <w:noProof/>
          <w:szCs w:val="22"/>
          <w:lang w:val="en-US"/>
        </w:rPr>
        <w:t>Melphalan</w:t>
      </w:r>
      <w:r w:rsidR="00AB50D7" w:rsidRPr="00E56986">
        <w:rPr>
          <w:noProof/>
          <w:szCs w:val="22"/>
          <w:lang w:val="el-GR"/>
        </w:rPr>
        <w:t xml:space="preserve"> </w:t>
      </w:r>
      <w:r w:rsidR="00AB50D7">
        <w:rPr>
          <w:noProof/>
          <w:szCs w:val="22"/>
          <w:lang w:val="en-US"/>
        </w:rPr>
        <w:t>Tillomed</w:t>
      </w:r>
      <w:r w:rsidR="00AB50D7" w:rsidRPr="00E56986">
        <w:rPr>
          <w:noProof/>
          <w:szCs w:val="22"/>
          <w:lang w:val="el-GR"/>
        </w:rPr>
        <w:t xml:space="preserve"> </w:t>
      </w:r>
      <w:bookmarkEnd w:id="0"/>
      <w:r w:rsidRPr="00381F65">
        <w:rPr>
          <w:noProof/>
          <w:szCs w:val="22"/>
          <w:lang w:val="el-GR"/>
        </w:rPr>
        <w:t>σ</w:t>
      </w:r>
      <w:r>
        <w:rPr>
          <w:noProof/>
          <w:szCs w:val="22"/>
          <w:lang w:val="el-GR"/>
        </w:rPr>
        <w:t>τη</w:t>
      </w:r>
      <w:r w:rsidRPr="00E56986">
        <w:rPr>
          <w:noProof/>
          <w:szCs w:val="22"/>
          <w:lang w:val="el-GR"/>
        </w:rPr>
        <w:t xml:space="preserve"> </w:t>
      </w:r>
      <w:r w:rsidR="00381F65" w:rsidRPr="00381F65">
        <w:rPr>
          <w:noProof/>
          <w:szCs w:val="22"/>
          <w:lang w:val="el-GR"/>
        </w:rPr>
        <w:t>συμβατική</w:t>
      </w:r>
      <w:r w:rsidR="00381F65" w:rsidRPr="00E56986">
        <w:rPr>
          <w:noProof/>
          <w:szCs w:val="22"/>
          <w:lang w:val="el-GR"/>
        </w:rPr>
        <w:t xml:space="preserve"> </w:t>
      </w:r>
      <w:r w:rsidR="00381F65" w:rsidRPr="00381F65">
        <w:rPr>
          <w:noProof/>
          <w:szCs w:val="22"/>
          <w:lang w:val="el-GR"/>
        </w:rPr>
        <w:t>ενδοφλέβια</w:t>
      </w:r>
      <w:r w:rsidR="00381F65" w:rsidRPr="00E56986">
        <w:rPr>
          <w:noProof/>
          <w:szCs w:val="22"/>
          <w:lang w:val="el-GR"/>
        </w:rPr>
        <w:t xml:space="preserve"> </w:t>
      </w:r>
      <w:r w:rsidR="00381F65" w:rsidRPr="00381F65">
        <w:rPr>
          <w:noProof/>
          <w:szCs w:val="22"/>
          <w:lang w:val="el-GR"/>
        </w:rPr>
        <w:t>δόση</w:t>
      </w:r>
      <w:r w:rsidR="00381F65" w:rsidRPr="00E56986">
        <w:rPr>
          <w:noProof/>
          <w:szCs w:val="22"/>
          <w:lang w:val="el-GR"/>
        </w:rPr>
        <w:t xml:space="preserve">, </w:t>
      </w:r>
      <w:r w:rsidR="00381F65" w:rsidRPr="00381F65">
        <w:rPr>
          <w:noProof/>
          <w:szCs w:val="22"/>
          <w:lang w:val="el-GR"/>
        </w:rPr>
        <w:t>ενδείκνυται</w:t>
      </w:r>
      <w:r w:rsidR="00381F65" w:rsidRPr="00E56986">
        <w:rPr>
          <w:noProof/>
          <w:szCs w:val="22"/>
          <w:lang w:val="el-GR"/>
        </w:rPr>
        <w:t xml:space="preserve"> </w:t>
      </w:r>
      <w:r w:rsidR="00381F65" w:rsidRPr="00381F65">
        <w:rPr>
          <w:noProof/>
          <w:szCs w:val="22"/>
          <w:lang w:val="el-GR"/>
        </w:rPr>
        <w:t>για</w:t>
      </w:r>
      <w:r w:rsidR="00381F65" w:rsidRPr="00E56986">
        <w:rPr>
          <w:noProof/>
          <w:szCs w:val="22"/>
          <w:lang w:val="el-GR"/>
        </w:rPr>
        <w:t xml:space="preserve"> </w:t>
      </w:r>
      <w:r w:rsidR="00381F65" w:rsidRPr="00381F65">
        <w:rPr>
          <w:noProof/>
          <w:szCs w:val="22"/>
          <w:lang w:val="el-GR"/>
        </w:rPr>
        <w:t>τη</w:t>
      </w:r>
      <w:r w:rsidR="00381F65" w:rsidRPr="00E56986">
        <w:rPr>
          <w:noProof/>
          <w:szCs w:val="22"/>
          <w:lang w:val="el-GR"/>
        </w:rPr>
        <w:t xml:space="preserve"> </w:t>
      </w:r>
      <w:r w:rsidR="00381F65" w:rsidRPr="00381F65">
        <w:rPr>
          <w:noProof/>
          <w:szCs w:val="22"/>
          <w:lang w:val="el-GR"/>
        </w:rPr>
        <w:t>θεραπεία</w:t>
      </w:r>
      <w:r w:rsidR="00381F65" w:rsidRPr="00E56986">
        <w:rPr>
          <w:noProof/>
          <w:szCs w:val="22"/>
          <w:lang w:val="el-GR"/>
        </w:rPr>
        <w:t xml:space="preserve"> </w:t>
      </w:r>
      <w:r w:rsidR="00381F65" w:rsidRPr="00381F65">
        <w:rPr>
          <w:noProof/>
          <w:szCs w:val="22"/>
          <w:lang w:val="el-GR"/>
        </w:rPr>
        <w:t>του</w:t>
      </w:r>
      <w:r w:rsidR="00381F65" w:rsidRPr="00E56986">
        <w:rPr>
          <w:noProof/>
          <w:szCs w:val="22"/>
          <w:lang w:val="el-GR"/>
        </w:rPr>
        <w:t xml:space="preserve"> </w:t>
      </w:r>
      <w:r w:rsidR="00381F65" w:rsidRPr="00381F65">
        <w:rPr>
          <w:noProof/>
          <w:szCs w:val="22"/>
          <w:lang w:val="el-GR"/>
        </w:rPr>
        <w:t>πολλαπλού</w:t>
      </w:r>
      <w:r w:rsidR="00381F65" w:rsidRPr="00E56986">
        <w:rPr>
          <w:noProof/>
          <w:szCs w:val="22"/>
          <w:lang w:val="el-GR"/>
        </w:rPr>
        <w:t xml:space="preserve"> </w:t>
      </w:r>
      <w:r w:rsidR="00381F65" w:rsidRPr="00381F65">
        <w:rPr>
          <w:noProof/>
          <w:szCs w:val="22"/>
          <w:lang w:val="el-GR"/>
        </w:rPr>
        <w:t>μυελώματος</w:t>
      </w:r>
      <w:r w:rsidR="00381F65" w:rsidRPr="00E56986">
        <w:rPr>
          <w:noProof/>
          <w:szCs w:val="22"/>
          <w:lang w:val="el-GR"/>
        </w:rPr>
        <w:t xml:space="preserve"> </w:t>
      </w:r>
      <w:r w:rsidR="00381F65" w:rsidRPr="00381F65">
        <w:rPr>
          <w:noProof/>
          <w:szCs w:val="22"/>
          <w:lang w:val="el-GR"/>
        </w:rPr>
        <w:t>και</w:t>
      </w:r>
      <w:r w:rsidR="00381F65" w:rsidRPr="00E56986">
        <w:rPr>
          <w:noProof/>
          <w:szCs w:val="22"/>
          <w:lang w:val="el-GR"/>
        </w:rPr>
        <w:t xml:space="preserve"> </w:t>
      </w:r>
      <w:r w:rsidR="00381F65" w:rsidRPr="00381F65">
        <w:rPr>
          <w:noProof/>
          <w:szCs w:val="22"/>
          <w:lang w:val="el-GR"/>
        </w:rPr>
        <w:t>του</w:t>
      </w:r>
      <w:r w:rsidR="00381F65" w:rsidRPr="00E56986">
        <w:rPr>
          <w:noProof/>
          <w:szCs w:val="22"/>
          <w:lang w:val="el-GR"/>
        </w:rPr>
        <w:t xml:space="preserve"> </w:t>
      </w:r>
      <w:r w:rsidR="00381F65" w:rsidRPr="00381F65">
        <w:rPr>
          <w:noProof/>
          <w:szCs w:val="22"/>
          <w:lang w:val="el-GR"/>
        </w:rPr>
        <w:t>καρκίνου</w:t>
      </w:r>
      <w:r w:rsidR="00381F65" w:rsidRPr="00E56986">
        <w:rPr>
          <w:noProof/>
          <w:szCs w:val="22"/>
          <w:lang w:val="el-GR"/>
        </w:rPr>
        <w:t xml:space="preserve"> </w:t>
      </w:r>
      <w:r w:rsidR="00381F65" w:rsidRPr="00381F65">
        <w:rPr>
          <w:noProof/>
          <w:szCs w:val="22"/>
          <w:lang w:val="el-GR"/>
        </w:rPr>
        <w:t>των</w:t>
      </w:r>
      <w:r w:rsidR="00381F65" w:rsidRPr="00E56986">
        <w:rPr>
          <w:noProof/>
          <w:szCs w:val="22"/>
          <w:lang w:val="el-GR"/>
        </w:rPr>
        <w:t xml:space="preserve"> </w:t>
      </w:r>
      <w:r w:rsidR="00381F65">
        <w:rPr>
          <w:noProof/>
          <w:szCs w:val="22"/>
          <w:lang w:val="el-GR"/>
        </w:rPr>
        <w:t>ωοθηκών</w:t>
      </w:r>
      <w:r w:rsidR="00381F65" w:rsidRPr="00E56986">
        <w:rPr>
          <w:noProof/>
          <w:szCs w:val="22"/>
          <w:lang w:val="el-GR"/>
        </w:rPr>
        <w:t>.</w:t>
      </w:r>
    </w:p>
    <w:p w14:paraId="4FB38D28" w14:textId="0DFF7857" w:rsidR="00381F65" w:rsidRPr="00E56986" w:rsidRDefault="005859DF" w:rsidP="00192332">
      <w:pPr>
        <w:numPr>
          <w:ilvl w:val="0"/>
          <w:numId w:val="43"/>
        </w:numPr>
        <w:tabs>
          <w:tab w:val="left" w:pos="567"/>
        </w:tabs>
        <w:spacing w:after="0"/>
        <w:rPr>
          <w:noProof/>
          <w:szCs w:val="22"/>
          <w:lang w:val="el-GR"/>
        </w:rPr>
      </w:pPr>
      <w:r>
        <w:rPr>
          <w:noProof/>
          <w:szCs w:val="22"/>
          <w:lang w:val="el-GR"/>
        </w:rPr>
        <w:t xml:space="preserve">Το </w:t>
      </w:r>
      <w:r w:rsidR="00AB50D7">
        <w:rPr>
          <w:noProof/>
          <w:szCs w:val="22"/>
          <w:lang w:val="en-US"/>
        </w:rPr>
        <w:t>Melphalan</w:t>
      </w:r>
      <w:r w:rsidR="00AB50D7" w:rsidRPr="00E56986">
        <w:rPr>
          <w:noProof/>
          <w:szCs w:val="22"/>
          <w:lang w:val="el-GR"/>
        </w:rPr>
        <w:t xml:space="preserve"> </w:t>
      </w:r>
      <w:r w:rsidR="00AB50D7">
        <w:rPr>
          <w:noProof/>
          <w:szCs w:val="22"/>
          <w:lang w:val="en-US"/>
        </w:rPr>
        <w:t>Tillomed</w:t>
      </w:r>
      <w:r w:rsidR="00AB50D7" w:rsidRPr="00E56986">
        <w:rPr>
          <w:noProof/>
          <w:szCs w:val="22"/>
          <w:lang w:val="el-GR"/>
        </w:rPr>
        <w:t xml:space="preserve"> </w:t>
      </w:r>
      <w:r w:rsidR="00381F65">
        <w:rPr>
          <w:noProof/>
          <w:szCs w:val="22"/>
          <w:lang w:val="el-GR"/>
        </w:rPr>
        <w:t>σε</w:t>
      </w:r>
      <w:r w:rsidR="00381F65" w:rsidRPr="00E56986">
        <w:rPr>
          <w:noProof/>
          <w:szCs w:val="22"/>
          <w:lang w:val="el-GR"/>
        </w:rPr>
        <w:t xml:space="preserve"> </w:t>
      </w:r>
      <w:r w:rsidR="00381F65">
        <w:rPr>
          <w:noProof/>
          <w:szCs w:val="22"/>
          <w:lang w:val="el-GR"/>
        </w:rPr>
        <w:t>υψηλή</w:t>
      </w:r>
      <w:r w:rsidR="00381F65" w:rsidRPr="00E56986">
        <w:rPr>
          <w:noProof/>
          <w:szCs w:val="22"/>
          <w:lang w:val="el-GR"/>
        </w:rPr>
        <w:t xml:space="preserve"> </w:t>
      </w:r>
      <w:r w:rsidR="00381F65">
        <w:rPr>
          <w:noProof/>
          <w:szCs w:val="22"/>
          <w:lang w:val="el-GR"/>
        </w:rPr>
        <w:t>ενδοφλέβια</w:t>
      </w:r>
      <w:r w:rsidR="00381F65" w:rsidRPr="00E56986">
        <w:rPr>
          <w:noProof/>
          <w:szCs w:val="22"/>
          <w:lang w:val="el-GR"/>
        </w:rPr>
        <w:t xml:space="preserve"> </w:t>
      </w:r>
      <w:r w:rsidR="00381F65">
        <w:rPr>
          <w:noProof/>
          <w:szCs w:val="22"/>
          <w:lang w:val="el-GR"/>
        </w:rPr>
        <w:t>δόση</w:t>
      </w:r>
      <w:r w:rsidR="00381F65" w:rsidRPr="00E56986">
        <w:rPr>
          <w:noProof/>
          <w:szCs w:val="22"/>
          <w:lang w:val="el-GR"/>
        </w:rPr>
        <w:t xml:space="preserve">, </w:t>
      </w:r>
      <w:r w:rsidR="00381F65" w:rsidRPr="00381F65">
        <w:rPr>
          <w:noProof/>
          <w:szCs w:val="22"/>
          <w:lang w:val="el-GR"/>
        </w:rPr>
        <w:t>ενδείκνυται</w:t>
      </w:r>
      <w:r w:rsidR="0044180F" w:rsidRPr="0044180F">
        <w:rPr>
          <w:noProof/>
          <w:szCs w:val="22"/>
          <w:lang w:val="el-GR"/>
        </w:rPr>
        <w:t xml:space="preserve"> </w:t>
      </w:r>
      <w:r w:rsidR="0044180F" w:rsidRPr="00381F65">
        <w:rPr>
          <w:noProof/>
          <w:szCs w:val="22"/>
          <w:lang w:val="el-GR"/>
        </w:rPr>
        <w:t>για</w:t>
      </w:r>
      <w:r w:rsidR="0044180F" w:rsidRPr="00E56986">
        <w:rPr>
          <w:noProof/>
          <w:szCs w:val="22"/>
          <w:lang w:val="el-GR"/>
        </w:rPr>
        <w:t xml:space="preserve"> </w:t>
      </w:r>
      <w:r w:rsidR="0044180F" w:rsidRPr="00381F65">
        <w:rPr>
          <w:noProof/>
          <w:szCs w:val="22"/>
          <w:lang w:val="el-GR"/>
        </w:rPr>
        <w:t>τη</w:t>
      </w:r>
      <w:r w:rsidR="0044180F" w:rsidRPr="00E56986">
        <w:rPr>
          <w:noProof/>
          <w:szCs w:val="22"/>
          <w:lang w:val="el-GR"/>
        </w:rPr>
        <w:t xml:space="preserve"> </w:t>
      </w:r>
      <w:r w:rsidR="0044180F" w:rsidRPr="00381F65">
        <w:rPr>
          <w:noProof/>
          <w:szCs w:val="22"/>
          <w:lang w:val="el-GR"/>
        </w:rPr>
        <w:t>θεραπεία</w:t>
      </w:r>
      <w:r w:rsidR="0044180F" w:rsidRPr="00E56986">
        <w:rPr>
          <w:noProof/>
          <w:szCs w:val="22"/>
          <w:lang w:val="el-GR"/>
        </w:rPr>
        <w:t xml:space="preserve"> </w:t>
      </w:r>
      <w:r w:rsidR="0044180F" w:rsidRPr="00381F65">
        <w:rPr>
          <w:noProof/>
          <w:szCs w:val="22"/>
          <w:lang w:val="el-GR"/>
        </w:rPr>
        <w:t>του</w:t>
      </w:r>
      <w:r w:rsidR="0044180F" w:rsidRPr="00E56986">
        <w:rPr>
          <w:noProof/>
          <w:szCs w:val="22"/>
          <w:lang w:val="el-GR"/>
        </w:rPr>
        <w:t xml:space="preserve"> </w:t>
      </w:r>
      <w:r w:rsidR="0044180F" w:rsidRPr="00381F65">
        <w:rPr>
          <w:noProof/>
          <w:szCs w:val="22"/>
          <w:lang w:val="el-GR"/>
        </w:rPr>
        <w:t>πολλαπλού</w:t>
      </w:r>
      <w:r w:rsidR="0044180F" w:rsidRPr="00E56986">
        <w:rPr>
          <w:noProof/>
          <w:szCs w:val="22"/>
          <w:lang w:val="el-GR"/>
        </w:rPr>
        <w:t xml:space="preserve"> </w:t>
      </w:r>
      <w:r w:rsidR="0044180F" w:rsidRPr="00381F65">
        <w:rPr>
          <w:noProof/>
          <w:szCs w:val="22"/>
          <w:lang w:val="el-GR"/>
        </w:rPr>
        <w:t>μυελώματος</w:t>
      </w:r>
      <w:r w:rsidR="00381F65" w:rsidRPr="00E56986">
        <w:rPr>
          <w:noProof/>
          <w:szCs w:val="22"/>
          <w:lang w:val="el-GR"/>
        </w:rPr>
        <w:t xml:space="preserve">, </w:t>
      </w:r>
      <w:r w:rsidR="00381F65" w:rsidRPr="00381F65">
        <w:rPr>
          <w:noProof/>
          <w:szCs w:val="22"/>
          <w:lang w:val="el-GR"/>
        </w:rPr>
        <w:t>με</w:t>
      </w:r>
      <w:r w:rsidR="00381F65" w:rsidRPr="00E56986">
        <w:rPr>
          <w:noProof/>
          <w:szCs w:val="22"/>
          <w:lang w:val="el-GR"/>
        </w:rPr>
        <w:t xml:space="preserve"> </w:t>
      </w:r>
      <w:r w:rsidR="00381F65" w:rsidRPr="00381F65">
        <w:rPr>
          <w:noProof/>
          <w:szCs w:val="22"/>
          <w:lang w:val="el-GR"/>
        </w:rPr>
        <w:t>ή</w:t>
      </w:r>
      <w:r w:rsidR="00381F65" w:rsidRPr="00E56986">
        <w:rPr>
          <w:noProof/>
          <w:szCs w:val="22"/>
          <w:lang w:val="el-GR"/>
        </w:rPr>
        <w:t xml:space="preserve"> </w:t>
      </w:r>
      <w:r w:rsidR="00381F65" w:rsidRPr="00381F65">
        <w:rPr>
          <w:noProof/>
          <w:szCs w:val="22"/>
          <w:lang w:val="el-GR"/>
        </w:rPr>
        <w:t>χωρίς</w:t>
      </w:r>
      <w:r w:rsidR="00381F65" w:rsidRPr="00E56986">
        <w:rPr>
          <w:noProof/>
          <w:szCs w:val="22"/>
          <w:lang w:val="el-GR"/>
        </w:rPr>
        <w:t xml:space="preserve"> </w:t>
      </w:r>
      <w:r w:rsidR="00381F65" w:rsidRPr="00381F65">
        <w:rPr>
          <w:noProof/>
          <w:szCs w:val="22"/>
          <w:lang w:val="el-GR"/>
        </w:rPr>
        <w:t>μεταμόσχευση</w:t>
      </w:r>
      <w:r w:rsidR="00381F65" w:rsidRPr="00E56986">
        <w:rPr>
          <w:noProof/>
          <w:szCs w:val="22"/>
          <w:lang w:val="el-GR"/>
        </w:rPr>
        <w:t xml:space="preserve"> </w:t>
      </w:r>
      <w:r w:rsidR="00381F65" w:rsidRPr="00381F65">
        <w:rPr>
          <w:noProof/>
          <w:szCs w:val="22"/>
          <w:lang w:val="el-GR"/>
        </w:rPr>
        <w:t>αρχέγονων</w:t>
      </w:r>
      <w:r w:rsidR="00381F65" w:rsidRPr="00E56986">
        <w:rPr>
          <w:noProof/>
          <w:szCs w:val="22"/>
          <w:lang w:val="el-GR"/>
        </w:rPr>
        <w:t xml:space="preserve"> </w:t>
      </w:r>
      <w:r w:rsidR="00381F65" w:rsidRPr="00381F65">
        <w:rPr>
          <w:noProof/>
          <w:szCs w:val="22"/>
          <w:lang w:val="el-GR"/>
        </w:rPr>
        <w:t>αιμοποιητικών</w:t>
      </w:r>
      <w:r w:rsidR="00381F65" w:rsidRPr="00E56986">
        <w:rPr>
          <w:noProof/>
          <w:szCs w:val="22"/>
          <w:lang w:val="el-GR"/>
        </w:rPr>
        <w:t xml:space="preserve"> </w:t>
      </w:r>
      <w:r w:rsidR="00381F65" w:rsidRPr="00381F65">
        <w:rPr>
          <w:noProof/>
          <w:szCs w:val="22"/>
          <w:lang w:val="el-GR"/>
        </w:rPr>
        <w:t>κυττάρων</w:t>
      </w:r>
      <w:r w:rsidR="00381F65" w:rsidRPr="00E56986">
        <w:rPr>
          <w:noProof/>
          <w:szCs w:val="22"/>
          <w:lang w:val="el-GR"/>
        </w:rPr>
        <w:t xml:space="preserve"> </w:t>
      </w:r>
      <w:r w:rsidR="00381F65" w:rsidRPr="00381F65">
        <w:rPr>
          <w:noProof/>
          <w:szCs w:val="22"/>
          <w:lang w:val="el-GR"/>
        </w:rPr>
        <w:t>και</w:t>
      </w:r>
      <w:r w:rsidR="00381F65" w:rsidRPr="00E56986">
        <w:rPr>
          <w:noProof/>
          <w:szCs w:val="22"/>
          <w:lang w:val="el-GR"/>
        </w:rPr>
        <w:t xml:space="preserve"> </w:t>
      </w:r>
      <w:r w:rsidR="00E56986">
        <w:rPr>
          <w:noProof/>
          <w:szCs w:val="22"/>
          <w:lang w:val="el-GR"/>
        </w:rPr>
        <w:t>του παιδιατρικού</w:t>
      </w:r>
      <w:r w:rsidR="00381F65" w:rsidRPr="00E56986">
        <w:rPr>
          <w:noProof/>
          <w:szCs w:val="22"/>
          <w:lang w:val="el-GR"/>
        </w:rPr>
        <w:t xml:space="preserve"> </w:t>
      </w:r>
      <w:r w:rsidR="00381F65" w:rsidRPr="00381F65">
        <w:rPr>
          <w:noProof/>
          <w:szCs w:val="22"/>
          <w:lang w:val="el-GR"/>
        </w:rPr>
        <w:t>νευροβλ</w:t>
      </w:r>
      <w:r w:rsidR="007E3849">
        <w:rPr>
          <w:noProof/>
          <w:szCs w:val="22"/>
          <w:lang w:val="el-GR"/>
        </w:rPr>
        <w:t>αστώματος</w:t>
      </w:r>
      <w:r w:rsidR="00381F65" w:rsidRPr="00E56986">
        <w:rPr>
          <w:noProof/>
          <w:szCs w:val="22"/>
          <w:lang w:val="el-GR"/>
        </w:rPr>
        <w:t>.</w:t>
      </w:r>
      <w:r>
        <w:rPr>
          <w:noProof/>
          <w:szCs w:val="22"/>
          <w:lang w:val="el-GR"/>
        </w:rPr>
        <w:t xml:space="preserve"> </w:t>
      </w:r>
    </w:p>
    <w:p w14:paraId="363B0EC0" w14:textId="23602E90" w:rsidR="00192332" w:rsidRPr="00E56986" w:rsidRDefault="005859DF" w:rsidP="004E6A52">
      <w:pPr>
        <w:numPr>
          <w:ilvl w:val="0"/>
          <w:numId w:val="43"/>
        </w:numPr>
        <w:tabs>
          <w:tab w:val="left" w:pos="567"/>
        </w:tabs>
        <w:spacing w:after="0"/>
        <w:rPr>
          <w:noProof/>
          <w:szCs w:val="22"/>
          <w:lang w:val="el-GR"/>
        </w:rPr>
      </w:pPr>
      <w:r>
        <w:rPr>
          <w:noProof/>
          <w:szCs w:val="22"/>
          <w:lang w:val="el-GR"/>
        </w:rPr>
        <w:t>Το</w:t>
      </w:r>
      <w:r w:rsidRPr="00E56986">
        <w:rPr>
          <w:noProof/>
          <w:szCs w:val="22"/>
          <w:lang w:val="el-GR"/>
        </w:rPr>
        <w:t xml:space="preserve"> </w:t>
      </w:r>
      <w:r w:rsidR="00AB50D7">
        <w:rPr>
          <w:noProof/>
          <w:szCs w:val="22"/>
          <w:lang w:val="en-US"/>
        </w:rPr>
        <w:t>Melphalan</w:t>
      </w:r>
      <w:r w:rsidR="00AB50D7" w:rsidRPr="00E56986">
        <w:rPr>
          <w:noProof/>
          <w:szCs w:val="22"/>
          <w:lang w:val="el-GR"/>
        </w:rPr>
        <w:t xml:space="preserve"> </w:t>
      </w:r>
      <w:r>
        <w:rPr>
          <w:noProof/>
          <w:szCs w:val="22"/>
          <w:lang w:val="el-GR"/>
        </w:rPr>
        <w:t>χορηγημένο</w:t>
      </w:r>
      <w:r w:rsidRPr="00E56986">
        <w:rPr>
          <w:noProof/>
          <w:szCs w:val="22"/>
          <w:lang w:val="el-GR"/>
        </w:rPr>
        <w:t xml:space="preserve"> </w:t>
      </w:r>
      <w:r w:rsidR="0044180F" w:rsidRPr="003E0F4F">
        <w:rPr>
          <w:noProof/>
          <w:szCs w:val="22"/>
          <w:lang w:val="el-GR"/>
        </w:rPr>
        <w:t>μέσω</w:t>
      </w:r>
      <w:r w:rsidR="00381F65" w:rsidRPr="003E0F4F">
        <w:rPr>
          <w:noProof/>
          <w:szCs w:val="22"/>
          <w:lang w:val="el-GR"/>
        </w:rPr>
        <w:t xml:space="preserve"> </w:t>
      </w:r>
      <w:r w:rsidR="00381F65" w:rsidRPr="00CE3DD9">
        <w:rPr>
          <w:noProof/>
          <w:szCs w:val="22"/>
          <w:lang w:val="el-GR"/>
        </w:rPr>
        <w:t>περιφερειακή</w:t>
      </w:r>
      <w:r w:rsidR="0044180F" w:rsidRPr="00CE3DD9">
        <w:rPr>
          <w:noProof/>
          <w:szCs w:val="22"/>
          <w:lang w:val="el-GR"/>
        </w:rPr>
        <w:t>ς</w:t>
      </w:r>
      <w:r w:rsidR="00381F65" w:rsidRPr="00CE3DD9">
        <w:rPr>
          <w:noProof/>
          <w:szCs w:val="22"/>
          <w:lang w:val="el-GR"/>
        </w:rPr>
        <w:t xml:space="preserve"> αρτηριακή</w:t>
      </w:r>
      <w:r w:rsidR="0044180F" w:rsidRPr="00CE3DD9">
        <w:rPr>
          <w:noProof/>
          <w:szCs w:val="22"/>
          <w:lang w:val="el-GR"/>
        </w:rPr>
        <w:t>ς</w:t>
      </w:r>
      <w:r w:rsidR="00381F65" w:rsidRPr="00CE3DD9">
        <w:rPr>
          <w:noProof/>
          <w:szCs w:val="22"/>
          <w:lang w:val="el-GR"/>
        </w:rPr>
        <w:t xml:space="preserve"> </w:t>
      </w:r>
      <w:r w:rsidR="00AB1C57">
        <w:rPr>
          <w:noProof/>
          <w:szCs w:val="22"/>
          <w:lang w:val="el-GR"/>
        </w:rPr>
        <w:t>έγ</w:t>
      </w:r>
      <w:r w:rsidR="00CE3DD9">
        <w:rPr>
          <w:noProof/>
          <w:szCs w:val="22"/>
          <w:lang w:val="el-GR"/>
        </w:rPr>
        <w:t>χυσης</w:t>
      </w:r>
      <w:r w:rsidR="00381F65" w:rsidRPr="00E56986">
        <w:rPr>
          <w:noProof/>
          <w:szCs w:val="22"/>
          <w:lang w:val="el-GR"/>
        </w:rPr>
        <w:t xml:space="preserve">, </w:t>
      </w:r>
      <w:r w:rsidR="00381F65" w:rsidRPr="00381F65">
        <w:rPr>
          <w:noProof/>
          <w:szCs w:val="22"/>
          <w:lang w:val="el-GR"/>
        </w:rPr>
        <w:t>ενδείκνυ</w:t>
      </w:r>
      <w:r w:rsidR="00192332">
        <w:rPr>
          <w:noProof/>
          <w:szCs w:val="22"/>
          <w:lang w:val="el-GR"/>
        </w:rPr>
        <w:t>ται</w:t>
      </w:r>
      <w:r w:rsidR="00192332" w:rsidRPr="00E56986">
        <w:rPr>
          <w:noProof/>
          <w:szCs w:val="22"/>
          <w:lang w:val="el-GR"/>
        </w:rPr>
        <w:t xml:space="preserve"> </w:t>
      </w:r>
      <w:r w:rsidR="00192332">
        <w:rPr>
          <w:noProof/>
          <w:szCs w:val="22"/>
          <w:lang w:val="el-GR"/>
        </w:rPr>
        <w:t>για</w:t>
      </w:r>
      <w:r w:rsidR="00192332" w:rsidRPr="00E56986">
        <w:rPr>
          <w:noProof/>
          <w:szCs w:val="22"/>
          <w:lang w:val="el-GR"/>
        </w:rPr>
        <w:t xml:space="preserve"> </w:t>
      </w:r>
      <w:r w:rsidR="00192332">
        <w:rPr>
          <w:noProof/>
          <w:szCs w:val="22"/>
          <w:lang w:val="el-GR"/>
        </w:rPr>
        <w:t>τη</w:t>
      </w:r>
      <w:r w:rsidR="00192332" w:rsidRPr="00E56986">
        <w:rPr>
          <w:noProof/>
          <w:szCs w:val="22"/>
          <w:lang w:val="el-GR"/>
        </w:rPr>
        <w:t xml:space="preserve"> </w:t>
      </w:r>
      <w:r w:rsidR="00192332">
        <w:rPr>
          <w:noProof/>
          <w:szCs w:val="22"/>
          <w:lang w:val="el-GR"/>
        </w:rPr>
        <w:t>θεραπεία</w:t>
      </w:r>
      <w:r w:rsidR="00192332" w:rsidRPr="00E56986">
        <w:rPr>
          <w:noProof/>
          <w:szCs w:val="22"/>
          <w:lang w:val="el-GR"/>
        </w:rPr>
        <w:t xml:space="preserve"> </w:t>
      </w:r>
      <w:r w:rsidR="00192332">
        <w:rPr>
          <w:noProof/>
          <w:szCs w:val="22"/>
          <w:lang w:val="el-GR"/>
        </w:rPr>
        <w:t>εντοπισμένου</w:t>
      </w:r>
      <w:r w:rsidR="00381F65" w:rsidRPr="00E56986">
        <w:rPr>
          <w:noProof/>
          <w:szCs w:val="22"/>
          <w:lang w:val="el-GR"/>
        </w:rPr>
        <w:t xml:space="preserve"> </w:t>
      </w:r>
      <w:r w:rsidR="00381F65" w:rsidRPr="00381F65">
        <w:rPr>
          <w:noProof/>
          <w:szCs w:val="22"/>
          <w:lang w:val="el-GR"/>
        </w:rPr>
        <w:t>κακ</w:t>
      </w:r>
      <w:r w:rsidR="0044180F">
        <w:rPr>
          <w:noProof/>
          <w:szCs w:val="22"/>
          <w:lang w:val="el-GR"/>
        </w:rPr>
        <w:t>όη</w:t>
      </w:r>
      <w:r w:rsidR="00381F65" w:rsidRPr="00381F65">
        <w:rPr>
          <w:noProof/>
          <w:szCs w:val="22"/>
          <w:lang w:val="el-GR"/>
        </w:rPr>
        <w:t>θους</w:t>
      </w:r>
      <w:r w:rsidR="00381F65" w:rsidRPr="00E56986">
        <w:rPr>
          <w:noProof/>
          <w:szCs w:val="22"/>
          <w:lang w:val="el-GR"/>
        </w:rPr>
        <w:t xml:space="preserve"> </w:t>
      </w:r>
      <w:r w:rsidR="00381F65" w:rsidRPr="00381F65">
        <w:rPr>
          <w:noProof/>
          <w:szCs w:val="22"/>
          <w:lang w:val="el-GR"/>
        </w:rPr>
        <w:t>μελανώματος</w:t>
      </w:r>
      <w:r w:rsidR="00381F65" w:rsidRPr="00E56986">
        <w:rPr>
          <w:noProof/>
          <w:szCs w:val="22"/>
          <w:lang w:val="el-GR"/>
        </w:rPr>
        <w:t xml:space="preserve"> </w:t>
      </w:r>
      <w:r w:rsidR="00381F65" w:rsidRPr="00381F65">
        <w:rPr>
          <w:noProof/>
          <w:szCs w:val="22"/>
          <w:lang w:val="el-GR"/>
        </w:rPr>
        <w:t>των</w:t>
      </w:r>
      <w:r w:rsidR="00381F65" w:rsidRPr="00E56986">
        <w:rPr>
          <w:noProof/>
          <w:szCs w:val="22"/>
          <w:lang w:val="el-GR"/>
        </w:rPr>
        <w:t xml:space="preserve"> </w:t>
      </w:r>
      <w:r w:rsidR="00381F65" w:rsidRPr="00381F65">
        <w:rPr>
          <w:noProof/>
          <w:szCs w:val="22"/>
          <w:lang w:val="el-GR"/>
        </w:rPr>
        <w:t>άκρων</w:t>
      </w:r>
      <w:r w:rsidR="00381F65" w:rsidRPr="00E56986">
        <w:rPr>
          <w:noProof/>
          <w:szCs w:val="22"/>
          <w:lang w:val="el-GR"/>
        </w:rPr>
        <w:t xml:space="preserve"> </w:t>
      </w:r>
      <w:r w:rsidR="00381F65" w:rsidRPr="00381F65">
        <w:rPr>
          <w:noProof/>
          <w:szCs w:val="22"/>
          <w:lang w:val="el-GR"/>
        </w:rPr>
        <w:t>και</w:t>
      </w:r>
      <w:r w:rsidR="00381F65" w:rsidRPr="00E56986">
        <w:rPr>
          <w:noProof/>
          <w:szCs w:val="22"/>
          <w:lang w:val="el-GR"/>
        </w:rPr>
        <w:t xml:space="preserve"> </w:t>
      </w:r>
      <w:r w:rsidRPr="00381F65">
        <w:rPr>
          <w:noProof/>
          <w:szCs w:val="22"/>
          <w:lang w:val="el-GR"/>
        </w:rPr>
        <w:t>εντοπισμέν</w:t>
      </w:r>
      <w:r>
        <w:rPr>
          <w:noProof/>
          <w:szCs w:val="22"/>
          <w:lang w:val="el-GR"/>
        </w:rPr>
        <w:t>ου</w:t>
      </w:r>
      <w:r w:rsidRPr="00E56986">
        <w:rPr>
          <w:noProof/>
          <w:szCs w:val="22"/>
          <w:lang w:val="el-GR"/>
        </w:rPr>
        <w:t xml:space="preserve"> </w:t>
      </w:r>
      <w:r w:rsidRPr="00381F65">
        <w:rPr>
          <w:noProof/>
          <w:szCs w:val="22"/>
          <w:lang w:val="el-GR"/>
        </w:rPr>
        <w:t>σ</w:t>
      </w:r>
      <w:r>
        <w:rPr>
          <w:noProof/>
          <w:szCs w:val="22"/>
          <w:lang w:val="el-GR"/>
        </w:rPr>
        <w:t>α</w:t>
      </w:r>
      <w:r w:rsidRPr="00381F65">
        <w:rPr>
          <w:noProof/>
          <w:szCs w:val="22"/>
          <w:lang w:val="el-GR"/>
        </w:rPr>
        <w:t>ρκ</w:t>
      </w:r>
      <w:r>
        <w:rPr>
          <w:noProof/>
          <w:szCs w:val="22"/>
          <w:lang w:val="el-GR"/>
        </w:rPr>
        <w:t>ώ</w:t>
      </w:r>
      <w:r w:rsidRPr="00381F65">
        <w:rPr>
          <w:noProof/>
          <w:szCs w:val="22"/>
          <w:lang w:val="el-GR"/>
        </w:rPr>
        <w:t>μα</w:t>
      </w:r>
      <w:r>
        <w:rPr>
          <w:noProof/>
          <w:szCs w:val="22"/>
          <w:lang w:val="el-GR"/>
        </w:rPr>
        <w:t>τος</w:t>
      </w:r>
      <w:r w:rsidRPr="00E56986">
        <w:rPr>
          <w:noProof/>
          <w:szCs w:val="22"/>
          <w:lang w:val="el-GR"/>
        </w:rPr>
        <w:t xml:space="preserve"> </w:t>
      </w:r>
      <w:r w:rsidR="00381F65" w:rsidRPr="00381F65">
        <w:rPr>
          <w:noProof/>
          <w:szCs w:val="22"/>
          <w:lang w:val="el-GR"/>
        </w:rPr>
        <w:t>μαλακών</w:t>
      </w:r>
      <w:r w:rsidR="00381F65" w:rsidRPr="00E56986">
        <w:rPr>
          <w:noProof/>
          <w:szCs w:val="22"/>
          <w:lang w:val="el-GR"/>
        </w:rPr>
        <w:t xml:space="preserve"> </w:t>
      </w:r>
      <w:r w:rsidR="00381F65" w:rsidRPr="00381F65">
        <w:rPr>
          <w:noProof/>
          <w:szCs w:val="22"/>
          <w:lang w:val="el-GR"/>
        </w:rPr>
        <w:t>μορίων</w:t>
      </w:r>
      <w:r w:rsidR="00381F65" w:rsidRPr="00E56986">
        <w:rPr>
          <w:noProof/>
          <w:szCs w:val="22"/>
          <w:lang w:val="el-GR"/>
        </w:rPr>
        <w:t xml:space="preserve"> </w:t>
      </w:r>
      <w:r w:rsidR="00381F65" w:rsidRPr="00381F65">
        <w:rPr>
          <w:noProof/>
          <w:szCs w:val="22"/>
          <w:lang w:val="el-GR"/>
        </w:rPr>
        <w:t>των</w:t>
      </w:r>
      <w:r w:rsidR="00381F65" w:rsidRPr="00E56986">
        <w:rPr>
          <w:noProof/>
          <w:szCs w:val="22"/>
          <w:lang w:val="el-GR"/>
        </w:rPr>
        <w:t xml:space="preserve"> </w:t>
      </w:r>
      <w:r w:rsidR="00381F65" w:rsidRPr="00381F65">
        <w:rPr>
          <w:noProof/>
          <w:szCs w:val="22"/>
          <w:lang w:val="el-GR"/>
        </w:rPr>
        <w:t>άκρων</w:t>
      </w:r>
      <w:r w:rsidR="00381F65" w:rsidRPr="00E56986">
        <w:rPr>
          <w:noProof/>
          <w:szCs w:val="22"/>
          <w:lang w:val="el-GR"/>
        </w:rPr>
        <w:t>.</w:t>
      </w:r>
    </w:p>
    <w:p w14:paraId="12B19FB7" w14:textId="77777777" w:rsidR="00192332" w:rsidRPr="00E56986" w:rsidRDefault="00192332" w:rsidP="00192332">
      <w:pPr>
        <w:tabs>
          <w:tab w:val="left" w:pos="567"/>
        </w:tabs>
        <w:spacing w:after="0"/>
        <w:ind w:left="360"/>
        <w:rPr>
          <w:noProof/>
          <w:szCs w:val="22"/>
          <w:lang w:val="el-GR"/>
        </w:rPr>
      </w:pPr>
    </w:p>
    <w:p w14:paraId="4348D94A" w14:textId="7560883B" w:rsidR="00192332" w:rsidRPr="00E56986" w:rsidRDefault="005859DF" w:rsidP="004E6A52">
      <w:pPr>
        <w:rPr>
          <w:noProof/>
          <w:szCs w:val="22"/>
          <w:lang w:val="el-GR"/>
        </w:rPr>
      </w:pPr>
      <w:r>
        <w:rPr>
          <w:noProof/>
          <w:szCs w:val="22"/>
          <w:lang w:val="el-GR"/>
        </w:rPr>
        <w:t>Στις</w:t>
      </w:r>
      <w:r w:rsidRPr="00E56986">
        <w:rPr>
          <w:noProof/>
          <w:szCs w:val="22"/>
          <w:lang w:val="el-GR"/>
        </w:rPr>
        <w:t xml:space="preserve"> </w:t>
      </w:r>
      <w:r w:rsidR="00192332">
        <w:rPr>
          <w:noProof/>
          <w:szCs w:val="22"/>
          <w:lang w:val="el-GR"/>
        </w:rPr>
        <w:t>παραπάνω</w:t>
      </w:r>
      <w:r w:rsidR="00192332" w:rsidRPr="00E56986">
        <w:rPr>
          <w:noProof/>
          <w:szCs w:val="22"/>
          <w:lang w:val="el-GR"/>
        </w:rPr>
        <w:t xml:space="preserve"> </w:t>
      </w:r>
      <w:r>
        <w:rPr>
          <w:noProof/>
          <w:szCs w:val="22"/>
          <w:lang w:val="el-GR"/>
        </w:rPr>
        <w:t>ενδείξεις</w:t>
      </w:r>
      <w:r w:rsidR="00192332" w:rsidRPr="00E56986">
        <w:rPr>
          <w:noProof/>
          <w:szCs w:val="22"/>
          <w:lang w:val="el-GR"/>
        </w:rPr>
        <w:t xml:space="preserve">, </w:t>
      </w:r>
      <w:r w:rsidR="00192332">
        <w:rPr>
          <w:noProof/>
          <w:szCs w:val="22"/>
          <w:lang w:val="el-GR"/>
        </w:rPr>
        <w:t>η</w:t>
      </w:r>
      <w:r w:rsidR="00192332" w:rsidRPr="00E56986">
        <w:rPr>
          <w:noProof/>
          <w:szCs w:val="22"/>
          <w:lang w:val="el-GR"/>
        </w:rPr>
        <w:t xml:space="preserve"> </w:t>
      </w:r>
      <w:r>
        <w:rPr>
          <w:noProof/>
          <w:szCs w:val="22"/>
          <w:lang w:val="el-GR"/>
        </w:rPr>
        <w:t xml:space="preserve">μελφαλάνη μπορεί </w:t>
      </w:r>
      <w:r w:rsidR="00192332">
        <w:rPr>
          <w:noProof/>
          <w:szCs w:val="22"/>
          <w:lang w:val="el-GR"/>
        </w:rPr>
        <w:t>να</w:t>
      </w:r>
      <w:r w:rsidR="00192332" w:rsidRPr="00E56986">
        <w:rPr>
          <w:noProof/>
          <w:szCs w:val="22"/>
          <w:lang w:val="el-GR"/>
        </w:rPr>
        <w:t xml:space="preserve"> </w:t>
      </w:r>
      <w:r w:rsidR="00192332">
        <w:rPr>
          <w:noProof/>
          <w:szCs w:val="22"/>
          <w:lang w:val="el-GR"/>
        </w:rPr>
        <w:t>χρησιμοποι</w:t>
      </w:r>
      <w:r w:rsidR="003E0F4F">
        <w:rPr>
          <w:noProof/>
          <w:szCs w:val="22"/>
          <w:lang w:val="el-GR"/>
        </w:rPr>
        <w:t>ηθεί</w:t>
      </w:r>
      <w:r w:rsidR="00192332" w:rsidRPr="00E56986">
        <w:rPr>
          <w:noProof/>
          <w:szCs w:val="22"/>
          <w:lang w:val="el-GR"/>
        </w:rPr>
        <w:t xml:space="preserve"> </w:t>
      </w:r>
      <w:r w:rsidR="00192332">
        <w:rPr>
          <w:noProof/>
          <w:szCs w:val="22"/>
          <w:lang w:val="el-GR"/>
        </w:rPr>
        <w:t>μόνη</w:t>
      </w:r>
      <w:r w:rsidR="00192332" w:rsidRPr="00E56986">
        <w:rPr>
          <w:noProof/>
          <w:szCs w:val="22"/>
          <w:lang w:val="el-GR"/>
        </w:rPr>
        <w:t xml:space="preserve"> </w:t>
      </w:r>
      <w:r w:rsidR="00192332">
        <w:rPr>
          <w:noProof/>
          <w:szCs w:val="22"/>
          <w:lang w:val="el-GR"/>
        </w:rPr>
        <w:t>της</w:t>
      </w:r>
      <w:r w:rsidR="00192332" w:rsidRPr="00E56986">
        <w:rPr>
          <w:noProof/>
          <w:szCs w:val="22"/>
          <w:lang w:val="el-GR"/>
        </w:rPr>
        <w:t xml:space="preserve"> </w:t>
      </w:r>
      <w:r w:rsidR="00830C7A">
        <w:rPr>
          <w:noProof/>
          <w:szCs w:val="22"/>
          <w:lang w:val="el-GR"/>
        </w:rPr>
        <w:t>ή</w:t>
      </w:r>
      <w:r w:rsidR="00830C7A" w:rsidRPr="00E56986">
        <w:rPr>
          <w:noProof/>
          <w:szCs w:val="22"/>
          <w:lang w:val="el-GR"/>
        </w:rPr>
        <w:t xml:space="preserve"> </w:t>
      </w:r>
      <w:r w:rsidR="00192332">
        <w:rPr>
          <w:noProof/>
          <w:szCs w:val="22"/>
          <w:lang w:val="el-GR"/>
        </w:rPr>
        <w:t>σε</w:t>
      </w:r>
      <w:r w:rsidR="00192332" w:rsidRPr="00E56986">
        <w:rPr>
          <w:noProof/>
          <w:szCs w:val="22"/>
          <w:lang w:val="el-GR"/>
        </w:rPr>
        <w:t xml:space="preserve"> </w:t>
      </w:r>
      <w:r w:rsidR="00192332">
        <w:rPr>
          <w:noProof/>
          <w:szCs w:val="22"/>
          <w:lang w:val="el-GR"/>
        </w:rPr>
        <w:t>συνδυασμό</w:t>
      </w:r>
      <w:r w:rsidR="00192332" w:rsidRPr="00E56986">
        <w:rPr>
          <w:noProof/>
          <w:szCs w:val="22"/>
          <w:lang w:val="el-GR"/>
        </w:rPr>
        <w:t xml:space="preserve">  </w:t>
      </w:r>
      <w:r w:rsidR="00192332">
        <w:rPr>
          <w:noProof/>
          <w:szCs w:val="22"/>
          <w:lang w:val="el-GR"/>
        </w:rPr>
        <w:t>με</w:t>
      </w:r>
      <w:r w:rsidR="00192332" w:rsidRPr="00E56986">
        <w:rPr>
          <w:noProof/>
          <w:szCs w:val="22"/>
          <w:lang w:val="el-GR"/>
        </w:rPr>
        <w:t xml:space="preserve"> </w:t>
      </w:r>
      <w:r w:rsidR="00192332">
        <w:rPr>
          <w:noProof/>
          <w:szCs w:val="22"/>
          <w:lang w:val="el-GR"/>
        </w:rPr>
        <w:t>άλλα</w:t>
      </w:r>
      <w:r w:rsidR="00192332" w:rsidRPr="00E56986">
        <w:rPr>
          <w:noProof/>
          <w:szCs w:val="22"/>
          <w:lang w:val="el-GR"/>
        </w:rPr>
        <w:t xml:space="preserve"> </w:t>
      </w:r>
      <w:r w:rsidR="00830C7A">
        <w:rPr>
          <w:noProof/>
          <w:szCs w:val="22"/>
          <w:lang w:val="el-GR"/>
        </w:rPr>
        <w:t>κυτταροτοξικά φαρμακευτικά προϊόντα</w:t>
      </w:r>
      <w:r w:rsidR="00192332" w:rsidRPr="00E56986">
        <w:rPr>
          <w:noProof/>
          <w:szCs w:val="22"/>
          <w:lang w:val="el-GR"/>
        </w:rPr>
        <w:t>.</w:t>
      </w:r>
    </w:p>
    <w:p w14:paraId="5CC4D35B" w14:textId="57C4F69E" w:rsidR="009E0FD0" w:rsidRPr="00192332" w:rsidRDefault="00192332" w:rsidP="009E0FD0">
      <w:pPr>
        <w:pStyle w:val="2"/>
        <w:rPr>
          <w:lang w:val="el-GR"/>
        </w:rPr>
      </w:pPr>
      <w:r>
        <w:rPr>
          <w:lang w:val="el-GR"/>
        </w:rPr>
        <w:t>Δοσολογία</w:t>
      </w:r>
      <w:r w:rsidR="00E56986">
        <w:rPr>
          <w:lang w:val="el-GR"/>
        </w:rPr>
        <w:t xml:space="preserve"> </w:t>
      </w:r>
      <w:r>
        <w:rPr>
          <w:lang w:val="el-GR"/>
        </w:rPr>
        <w:t>και</w:t>
      </w:r>
      <w:r w:rsidRPr="00192332">
        <w:rPr>
          <w:lang w:val="el-GR"/>
        </w:rPr>
        <w:t xml:space="preserve"> </w:t>
      </w:r>
      <w:r w:rsidR="00970FC6">
        <w:rPr>
          <w:lang w:val="el-GR"/>
        </w:rPr>
        <w:t>τρόπος</w:t>
      </w:r>
      <w:r>
        <w:rPr>
          <w:lang w:val="el-GR"/>
        </w:rPr>
        <w:t xml:space="preserve"> χορήγησης</w:t>
      </w:r>
    </w:p>
    <w:p w14:paraId="05ED4458" w14:textId="77777777" w:rsidR="00B01158" w:rsidRPr="00192332" w:rsidRDefault="00192332" w:rsidP="007629A7">
      <w:pPr>
        <w:spacing w:after="0"/>
        <w:rPr>
          <w:szCs w:val="22"/>
          <w:u w:val="single"/>
          <w:lang w:val="el-GR"/>
        </w:rPr>
      </w:pPr>
      <w:r>
        <w:rPr>
          <w:szCs w:val="22"/>
          <w:u w:val="single"/>
          <w:lang w:val="el-GR"/>
        </w:rPr>
        <w:t>Δοσολογία</w:t>
      </w:r>
    </w:p>
    <w:p w14:paraId="7A63A83A" w14:textId="77777777" w:rsidR="007629A7" w:rsidRPr="0095718B" w:rsidRDefault="007629A7" w:rsidP="007629A7">
      <w:pPr>
        <w:spacing w:after="0"/>
        <w:rPr>
          <w:szCs w:val="22"/>
          <w:u w:val="single"/>
        </w:rPr>
      </w:pPr>
    </w:p>
    <w:p w14:paraId="5C39A51E" w14:textId="77777777" w:rsidR="00192332" w:rsidRPr="00192332" w:rsidRDefault="00192332" w:rsidP="00192332">
      <w:pPr>
        <w:rPr>
          <w:szCs w:val="22"/>
          <w:u w:val="single"/>
          <w:lang w:val="el-GR"/>
        </w:rPr>
      </w:pPr>
      <w:r w:rsidRPr="00192332">
        <w:rPr>
          <w:szCs w:val="22"/>
          <w:u w:val="single"/>
          <w:lang w:val="el-GR"/>
        </w:rPr>
        <w:t>Η παρεντερική χορήγηση:</w:t>
      </w:r>
    </w:p>
    <w:p w14:paraId="2A80470B" w14:textId="3F725B15" w:rsidR="00192332" w:rsidRPr="00192332" w:rsidRDefault="00830C7A" w:rsidP="00192332">
      <w:pPr>
        <w:rPr>
          <w:szCs w:val="22"/>
          <w:lang w:val="el-GR"/>
        </w:rPr>
      </w:pPr>
      <w:r>
        <w:rPr>
          <w:szCs w:val="22"/>
          <w:lang w:val="el-GR"/>
        </w:rPr>
        <w:t xml:space="preserve">Το </w:t>
      </w:r>
      <w:r w:rsidR="002B5A21">
        <w:rPr>
          <w:noProof/>
          <w:szCs w:val="22"/>
          <w:lang w:val="en-US"/>
        </w:rPr>
        <w:t>Melphalan</w:t>
      </w:r>
      <w:r w:rsidR="002B5A21" w:rsidRPr="00E56986">
        <w:rPr>
          <w:noProof/>
          <w:szCs w:val="22"/>
          <w:lang w:val="el-GR"/>
        </w:rPr>
        <w:t xml:space="preserve"> </w:t>
      </w:r>
      <w:r w:rsidR="002B5A21">
        <w:rPr>
          <w:noProof/>
          <w:szCs w:val="22"/>
          <w:lang w:val="en-US"/>
        </w:rPr>
        <w:t>Tillomed</w:t>
      </w:r>
      <w:r w:rsidR="002B5A21" w:rsidRPr="00E56986">
        <w:rPr>
          <w:noProof/>
          <w:szCs w:val="22"/>
          <w:lang w:val="el-GR"/>
        </w:rPr>
        <w:t xml:space="preserve"> </w:t>
      </w:r>
      <w:r w:rsidR="00192332" w:rsidRPr="00192332">
        <w:rPr>
          <w:szCs w:val="22"/>
          <w:lang w:val="el-GR"/>
        </w:rPr>
        <w:t xml:space="preserve">πρέπει να συνταγογραφείται </w:t>
      </w:r>
      <w:r w:rsidR="003E0F4F">
        <w:rPr>
          <w:szCs w:val="22"/>
          <w:lang w:val="el-GR"/>
        </w:rPr>
        <w:t>μόνο</w:t>
      </w:r>
      <w:r w:rsidR="00192332" w:rsidRPr="00192332">
        <w:rPr>
          <w:szCs w:val="22"/>
          <w:lang w:val="el-GR"/>
        </w:rPr>
        <w:t xml:space="preserve"> από ειδικ</w:t>
      </w:r>
      <w:r w:rsidR="002B5A21">
        <w:rPr>
          <w:szCs w:val="22"/>
          <w:lang w:val="el-GR"/>
        </w:rPr>
        <w:t>ό ιατρό</w:t>
      </w:r>
      <w:r w:rsidR="00192332">
        <w:rPr>
          <w:szCs w:val="22"/>
          <w:lang w:val="el-GR"/>
        </w:rPr>
        <w:t xml:space="preserve"> </w:t>
      </w:r>
      <w:r>
        <w:rPr>
          <w:szCs w:val="22"/>
          <w:lang w:val="el-GR"/>
        </w:rPr>
        <w:t>με</w:t>
      </w:r>
      <w:r w:rsidR="00192332" w:rsidRPr="00192332">
        <w:rPr>
          <w:szCs w:val="22"/>
          <w:lang w:val="el-GR"/>
        </w:rPr>
        <w:t xml:space="preserve"> εμπειρία στην αντιμετώπιση της κακοήθους νόσου.</w:t>
      </w:r>
    </w:p>
    <w:p w14:paraId="16322DFE" w14:textId="562D9431" w:rsidR="00192332" w:rsidRPr="00192332" w:rsidRDefault="002B5A21" w:rsidP="00467E1C">
      <w:pPr>
        <w:rPr>
          <w:szCs w:val="22"/>
          <w:lang w:val="el-GR"/>
        </w:rPr>
      </w:pPr>
      <w:r>
        <w:rPr>
          <w:szCs w:val="22"/>
          <w:lang w:val="el-GR"/>
        </w:rPr>
        <w:lastRenderedPageBreak/>
        <w:t>Επειδή</w:t>
      </w:r>
      <w:r w:rsidR="00830C7A">
        <w:rPr>
          <w:szCs w:val="22"/>
          <w:lang w:val="el-GR"/>
        </w:rPr>
        <w:t xml:space="preserve"> </w:t>
      </w:r>
      <w:r w:rsidR="00192332">
        <w:rPr>
          <w:szCs w:val="22"/>
          <w:lang w:val="el-GR"/>
        </w:rPr>
        <w:t xml:space="preserve">η </w:t>
      </w:r>
      <w:proofErr w:type="spellStart"/>
      <w:r w:rsidR="00830C7A">
        <w:rPr>
          <w:szCs w:val="22"/>
          <w:lang w:val="el-GR"/>
        </w:rPr>
        <w:t>μελφαλάνη</w:t>
      </w:r>
      <w:proofErr w:type="spellEnd"/>
      <w:r w:rsidR="00192332">
        <w:rPr>
          <w:szCs w:val="22"/>
          <w:lang w:val="el-GR"/>
        </w:rPr>
        <w:t xml:space="preserve"> </w:t>
      </w:r>
      <w:r w:rsidR="00192332" w:rsidRPr="00192332">
        <w:rPr>
          <w:szCs w:val="22"/>
          <w:lang w:val="el-GR"/>
        </w:rPr>
        <w:t>είναι ένα</w:t>
      </w:r>
      <w:r w:rsidR="00192332">
        <w:rPr>
          <w:szCs w:val="22"/>
          <w:lang w:val="el-GR"/>
        </w:rPr>
        <w:t xml:space="preserve">ς </w:t>
      </w:r>
      <w:proofErr w:type="spellStart"/>
      <w:r w:rsidR="00192332">
        <w:rPr>
          <w:szCs w:val="22"/>
          <w:lang w:val="el-GR"/>
        </w:rPr>
        <w:t>μυελοκατασταλτικός</w:t>
      </w:r>
      <w:proofErr w:type="spellEnd"/>
      <w:r w:rsidR="00192332">
        <w:rPr>
          <w:szCs w:val="22"/>
          <w:lang w:val="el-GR"/>
        </w:rPr>
        <w:t xml:space="preserve"> παράγοντας, είναι </w:t>
      </w:r>
      <w:r w:rsidR="00830C7A">
        <w:rPr>
          <w:szCs w:val="22"/>
          <w:lang w:val="el-GR"/>
        </w:rPr>
        <w:t>απαραίτητο να διεξάγεται</w:t>
      </w:r>
      <w:r w:rsidR="00192332">
        <w:rPr>
          <w:szCs w:val="22"/>
          <w:lang w:val="el-GR"/>
        </w:rPr>
        <w:t xml:space="preserve"> ανάλυση </w:t>
      </w:r>
      <w:r w:rsidR="00192332" w:rsidRPr="00192332">
        <w:rPr>
          <w:szCs w:val="22"/>
          <w:lang w:val="el-GR"/>
        </w:rPr>
        <w:t xml:space="preserve">αίματος κατά τη διάρκεια της θεραπείας. </w:t>
      </w:r>
      <w:r>
        <w:rPr>
          <w:szCs w:val="22"/>
          <w:lang w:val="el-GR"/>
        </w:rPr>
        <w:t xml:space="preserve">Μπορεί να </w:t>
      </w:r>
      <w:r w:rsidR="003E0F4F">
        <w:rPr>
          <w:szCs w:val="22"/>
          <w:lang w:val="el-GR"/>
        </w:rPr>
        <w:t>είναι αναγκαία η</w:t>
      </w:r>
      <w:r>
        <w:rPr>
          <w:szCs w:val="22"/>
          <w:lang w:val="el-GR"/>
        </w:rPr>
        <w:t xml:space="preserve"> δ</w:t>
      </w:r>
      <w:r w:rsidR="00830C7A">
        <w:rPr>
          <w:szCs w:val="22"/>
          <w:lang w:val="el-GR"/>
        </w:rPr>
        <w:t xml:space="preserve">ιακοπή </w:t>
      </w:r>
      <w:r>
        <w:rPr>
          <w:szCs w:val="22"/>
          <w:lang w:val="el-GR"/>
        </w:rPr>
        <w:t xml:space="preserve">της </w:t>
      </w:r>
      <w:r w:rsidR="00830C7A">
        <w:rPr>
          <w:szCs w:val="22"/>
          <w:lang w:val="el-GR"/>
        </w:rPr>
        <w:t xml:space="preserve">δόσης ή </w:t>
      </w:r>
      <w:r w:rsidR="003E0F4F">
        <w:rPr>
          <w:szCs w:val="22"/>
          <w:lang w:val="el-GR"/>
        </w:rPr>
        <w:t xml:space="preserve">η </w:t>
      </w:r>
      <w:r>
        <w:rPr>
          <w:szCs w:val="22"/>
          <w:lang w:val="el-GR"/>
        </w:rPr>
        <w:t>ρύθμιση</w:t>
      </w:r>
      <w:r w:rsidR="00830C7A">
        <w:rPr>
          <w:szCs w:val="22"/>
          <w:lang w:val="el-GR"/>
        </w:rPr>
        <w:t xml:space="preserve"> αυτής</w:t>
      </w:r>
      <w:r>
        <w:rPr>
          <w:szCs w:val="22"/>
          <w:lang w:val="el-GR"/>
        </w:rPr>
        <w:t>.</w:t>
      </w:r>
      <w:r w:rsidR="00192332" w:rsidRPr="00192332">
        <w:rPr>
          <w:szCs w:val="22"/>
          <w:lang w:val="el-GR"/>
        </w:rPr>
        <w:t xml:space="preserve"> Η χρήση της </w:t>
      </w:r>
      <w:proofErr w:type="spellStart"/>
      <w:r w:rsidR="00192332" w:rsidRPr="00192332">
        <w:rPr>
          <w:szCs w:val="22"/>
          <w:lang w:val="el-GR"/>
        </w:rPr>
        <w:t>μελφαλάνης</w:t>
      </w:r>
      <w:proofErr w:type="spellEnd"/>
      <w:r w:rsidR="00192332" w:rsidRPr="00192332">
        <w:rPr>
          <w:szCs w:val="22"/>
          <w:lang w:val="el-GR"/>
        </w:rPr>
        <w:t xml:space="preserve"> πρέπ</w:t>
      </w:r>
      <w:r w:rsidR="00192332">
        <w:rPr>
          <w:szCs w:val="22"/>
          <w:lang w:val="el-GR"/>
        </w:rPr>
        <w:t xml:space="preserve">ει να γίνεται μόνο </w:t>
      </w:r>
      <w:r w:rsidR="003E0F4F">
        <w:rPr>
          <w:szCs w:val="22"/>
          <w:lang w:val="el-GR"/>
        </w:rPr>
        <w:t>με</w:t>
      </w:r>
      <w:r w:rsidR="00192332">
        <w:rPr>
          <w:szCs w:val="22"/>
          <w:lang w:val="el-GR"/>
        </w:rPr>
        <w:t xml:space="preserve"> προσεκτικ</w:t>
      </w:r>
      <w:r w:rsidR="003E0F4F">
        <w:rPr>
          <w:szCs w:val="22"/>
          <w:lang w:val="el-GR"/>
        </w:rPr>
        <w:t>ό</w:t>
      </w:r>
      <w:r w:rsidR="00192332">
        <w:rPr>
          <w:szCs w:val="22"/>
          <w:lang w:val="el-GR"/>
        </w:rPr>
        <w:t xml:space="preserve"> αιματολογικ</w:t>
      </w:r>
      <w:r w:rsidR="003E0F4F">
        <w:rPr>
          <w:szCs w:val="22"/>
          <w:lang w:val="el-GR"/>
        </w:rPr>
        <w:t>ό</w:t>
      </w:r>
      <w:r w:rsidR="00192332" w:rsidRPr="00192332">
        <w:rPr>
          <w:szCs w:val="22"/>
          <w:lang w:val="el-GR"/>
        </w:rPr>
        <w:t xml:space="preserve"> </w:t>
      </w:r>
      <w:r w:rsidR="003E0F4F">
        <w:rPr>
          <w:szCs w:val="22"/>
          <w:lang w:val="el-GR"/>
        </w:rPr>
        <w:t>έλεγχο</w:t>
      </w:r>
      <w:r w:rsidR="00192332" w:rsidRPr="00192332">
        <w:rPr>
          <w:szCs w:val="22"/>
          <w:lang w:val="el-GR"/>
        </w:rPr>
        <w:t xml:space="preserve">. Εάν </w:t>
      </w:r>
      <w:r w:rsidR="00830C7A">
        <w:rPr>
          <w:szCs w:val="22"/>
          <w:lang w:val="el-GR"/>
        </w:rPr>
        <w:t>ο αριθμός των</w:t>
      </w:r>
      <w:r w:rsidR="00830C7A" w:rsidRPr="00192332">
        <w:rPr>
          <w:szCs w:val="22"/>
          <w:lang w:val="el-GR"/>
        </w:rPr>
        <w:t xml:space="preserve"> </w:t>
      </w:r>
      <w:r w:rsidR="00192332" w:rsidRPr="00192332">
        <w:rPr>
          <w:szCs w:val="22"/>
          <w:lang w:val="el-GR"/>
        </w:rPr>
        <w:t xml:space="preserve">λευκοκυττάρων ή αιμοπεταλίων </w:t>
      </w:r>
      <w:r w:rsidR="00830C7A">
        <w:rPr>
          <w:szCs w:val="22"/>
          <w:lang w:val="el-GR"/>
        </w:rPr>
        <w:t>μειωθεί ασυνήθ</w:t>
      </w:r>
      <w:r>
        <w:rPr>
          <w:szCs w:val="22"/>
          <w:lang w:val="el-GR"/>
        </w:rPr>
        <w:t>ι</w:t>
      </w:r>
      <w:r w:rsidR="00830C7A">
        <w:rPr>
          <w:szCs w:val="22"/>
          <w:lang w:val="el-GR"/>
        </w:rPr>
        <w:t>στα</w:t>
      </w:r>
      <w:r w:rsidR="00192332" w:rsidRPr="00192332">
        <w:rPr>
          <w:szCs w:val="22"/>
          <w:lang w:val="el-GR"/>
        </w:rPr>
        <w:t>, η θεραπεία θα πρέπει να διακόπτεται προσωρινά (βλέπε παράγραφο 4.4).</w:t>
      </w:r>
    </w:p>
    <w:p w14:paraId="1E1B1735" w14:textId="196BF864" w:rsidR="00192332" w:rsidRPr="00192332" w:rsidRDefault="00830C7A" w:rsidP="00192332">
      <w:pPr>
        <w:rPr>
          <w:szCs w:val="22"/>
          <w:lang w:val="el-GR"/>
        </w:rPr>
      </w:pPr>
      <w:r>
        <w:rPr>
          <w:szCs w:val="22"/>
          <w:lang w:val="el-GR"/>
        </w:rPr>
        <w:t>Το</w:t>
      </w:r>
      <w:r w:rsidRPr="00192332">
        <w:rPr>
          <w:szCs w:val="22"/>
          <w:lang w:val="el-GR"/>
        </w:rPr>
        <w:t xml:space="preserve"> </w:t>
      </w:r>
      <w:r w:rsidR="002B5A21">
        <w:rPr>
          <w:noProof/>
          <w:szCs w:val="22"/>
          <w:lang w:val="en-US"/>
        </w:rPr>
        <w:t>Melphalan</w:t>
      </w:r>
      <w:r w:rsidR="002B5A21" w:rsidRPr="00E56986">
        <w:rPr>
          <w:noProof/>
          <w:szCs w:val="22"/>
          <w:lang w:val="el-GR"/>
        </w:rPr>
        <w:t xml:space="preserve"> </w:t>
      </w:r>
      <w:r w:rsidR="002B5A21">
        <w:rPr>
          <w:noProof/>
          <w:szCs w:val="22"/>
          <w:lang w:val="en-US"/>
        </w:rPr>
        <w:t>Tillomed</w:t>
      </w:r>
      <w:r w:rsidR="002B5A21" w:rsidRPr="00E56986">
        <w:rPr>
          <w:noProof/>
          <w:szCs w:val="22"/>
          <w:lang w:val="el-GR"/>
        </w:rPr>
        <w:t xml:space="preserve"> </w:t>
      </w:r>
      <w:r w:rsidR="00192332" w:rsidRPr="00192332">
        <w:rPr>
          <w:szCs w:val="22"/>
          <w:lang w:val="el-GR"/>
        </w:rPr>
        <w:t>είναι για ενδοφλ</w:t>
      </w:r>
      <w:r w:rsidR="00192332">
        <w:rPr>
          <w:szCs w:val="22"/>
          <w:lang w:val="el-GR"/>
        </w:rPr>
        <w:t xml:space="preserve">έβια χρήση και </w:t>
      </w:r>
      <w:r w:rsidR="003E0F4F">
        <w:rPr>
          <w:color w:val="000000" w:themeColor="text1"/>
          <w:szCs w:val="22"/>
          <w:lang w:val="el-GR"/>
        </w:rPr>
        <w:t>μέσω</w:t>
      </w:r>
      <w:r w:rsidR="002B5A21" w:rsidRPr="00FD45E1">
        <w:rPr>
          <w:color w:val="000000" w:themeColor="text1"/>
          <w:szCs w:val="22"/>
          <w:lang w:val="el-GR"/>
        </w:rPr>
        <w:t xml:space="preserve"> </w:t>
      </w:r>
      <w:r w:rsidR="00192332" w:rsidRPr="00FD45E1">
        <w:rPr>
          <w:color w:val="000000" w:themeColor="text1"/>
          <w:szCs w:val="22"/>
          <w:lang w:val="el-GR"/>
        </w:rPr>
        <w:t>περιφε</w:t>
      </w:r>
      <w:r w:rsidR="00FD45E1" w:rsidRPr="00FD45E1">
        <w:rPr>
          <w:color w:val="000000" w:themeColor="text1"/>
          <w:szCs w:val="22"/>
          <w:lang w:val="el-GR"/>
        </w:rPr>
        <w:t>ρειακή</w:t>
      </w:r>
      <w:r w:rsidR="003E0F4F">
        <w:rPr>
          <w:color w:val="000000" w:themeColor="text1"/>
          <w:szCs w:val="22"/>
          <w:lang w:val="el-GR"/>
        </w:rPr>
        <w:t>ς</w:t>
      </w:r>
      <w:r w:rsidR="00192332" w:rsidRPr="00FD45E1">
        <w:rPr>
          <w:color w:val="000000" w:themeColor="text1"/>
          <w:szCs w:val="22"/>
          <w:lang w:val="el-GR"/>
        </w:rPr>
        <w:t xml:space="preserve"> αρτηριακή</w:t>
      </w:r>
      <w:r w:rsidR="003E0F4F">
        <w:rPr>
          <w:color w:val="000000" w:themeColor="text1"/>
          <w:szCs w:val="22"/>
          <w:lang w:val="el-GR"/>
        </w:rPr>
        <w:t>ς</w:t>
      </w:r>
      <w:r w:rsidR="00AB1C57">
        <w:rPr>
          <w:color w:val="000000" w:themeColor="text1"/>
          <w:szCs w:val="22"/>
          <w:lang w:val="el-GR"/>
        </w:rPr>
        <w:t xml:space="preserve"> έγ</w:t>
      </w:r>
      <w:r w:rsidR="00087252">
        <w:rPr>
          <w:color w:val="000000" w:themeColor="text1"/>
          <w:szCs w:val="22"/>
          <w:lang w:val="el-GR"/>
        </w:rPr>
        <w:t xml:space="preserve">χυσης </w:t>
      </w:r>
      <w:r w:rsidR="00FD45E1" w:rsidRPr="00FD45E1">
        <w:rPr>
          <w:color w:val="000000" w:themeColor="text1"/>
          <w:szCs w:val="22"/>
          <w:lang w:val="el-GR"/>
        </w:rPr>
        <w:t>μόνο</w:t>
      </w:r>
      <w:r w:rsidR="00192332" w:rsidRPr="00FD45E1">
        <w:rPr>
          <w:color w:val="000000" w:themeColor="text1"/>
          <w:szCs w:val="22"/>
          <w:lang w:val="el-GR"/>
        </w:rPr>
        <w:t xml:space="preserve">. </w:t>
      </w:r>
      <w:r>
        <w:rPr>
          <w:szCs w:val="22"/>
          <w:lang w:val="el-GR"/>
        </w:rPr>
        <w:t xml:space="preserve">Το </w:t>
      </w:r>
      <w:r w:rsidR="002B5A21">
        <w:rPr>
          <w:noProof/>
          <w:szCs w:val="22"/>
          <w:lang w:val="en-US"/>
        </w:rPr>
        <w:t>Melphalan</w:t>
      </w:r>
      <w:r w:rsidR="002B5A21" w:rsidRPr="00E56986">
        <w:rPr>
          <w:noProof/>
          <w:szCs w:val="22"/>
          <w:lang w:val="el-GR"/>
        </w:rPr>
        <w:t xml:space="preserve"> </w:t>
      </w:r>
      <w:r w:rsidR="002B5A21">
        <w:rPr>
          <w:noProof/>
          <w:szCs w:val="22"/>
          <w:lang w:val="en-US"/>
        </w:rPr>
        <w:t>Tillomed</w:t>
      </w:r>
      <w:r w:rsidR="002B5A21" w:rsidRPr="00E56986">
        <w:rPr>
          <w:noProof/>
          <w:szCs w:val="22"/>
          <w:lang w:val="el-GR"/>
        </w:rPr>
        <w:t xml:space="preserve"> </w:t>
      </w:r>
      <w:r w:rsidR="00192332" w:rsidRPr="00192332">
        <w:rPr>
          <w:szCs w:val="22"/>
          <w:lang w:val="el-GR"/>
        </w:rPr>
        <w:t xml:space="preserve">δεν πρέπει να χορηγείται </w:t>
      </w:r>
      <w:r w:rsidR="00192332" w:rsidRPr="007E3849">
        <w:rPr>
          <w:szCs w:val="22"/>
          <w:lang w:val="el-GR"/>
        </w:rPr>
        <w:t xml:space="preserve">χωρίς διάσωση αιμοποιητικών αρχέγονων κυττάρων σε δόσεις </w:t>
      </w:r>
      <w:r w:rsidRPr="007E3849">
        <w:rPr>
          <w:szCs w:val="22"/>
          <w:lang w:val="el-GR"/>
        </w:rPr>
        <w:t>άνω των</w:t>
      </w:r>
      <w:r w:rsidR="00192332" w:rsidRPr="007E3849">
        <w:rPr>
          <w:szCs w:val="22"/>
          <w:lang w:val="el-GR"/>
        </w:rPr>
        <w:t xml:space="preserve"> 140 </w:t>
      </w:r>
      <w:r w:rsidR="00192332" w:rsidRPr="007E3849">
        <w:rPr>
          <w:szCs w:val="22"/>
          <w:lang w:val="en-US"/>
        </w:rPr>
        <w:t>mg</w:t>
      </w:r>
      <w:r w:rsidR="00192332" w:rsidRPr="007E3849">
        <w:rPr>
          <w:szCs w:val="22"/>
          <w:lang w:val="el-GR"/>
        </w:rPr>
        <w:t xml:space="preserve"> / </w:t>
      </w:r>
      <w:r w:rsidR="00192332" w:rsidRPr="007E3849">
        <w:rPr>
          <w:szCs w:val="22"/>
          <w:lang w:val="en-US"/>
        </w:rPr>
        <w:t>m</w:t>
      </w:r>
      <w:r w:rsidR="00192332" w:rsidRPr="007E3849">
        <w:rPr>
          <w:szCs w:val="22"/>
          <w:vertAlign w:val="superscript"/>
          <w:lang w:val="el-GR"/>
        </w:rPr>
        <w:t>2</w:t>
      </w:r>
      <w:r w:rsidR="00192332" w:rsidRPr="007E3849">
        <w:rPr>
          <w:szCs w:val="22"/>
          <w:lang w:val="el-GR"/>
        </w:rPr>
        <w:t>.</w:t>
      </w:r>
    </w:p>
    <w:p w14:paraId="10560CFF" w14:textId="61D7854D" w:rsidR="00192332" w:rsidRPr="00192332" w:rsidRDefault="00830C7A" w:rsidP="005E025D">
      <w:pPr>
        <w:rPr>
          <w:szCs w:val="22"/>
          <w:lang w:val="el-GR"/>
        </w:rPr>
      </w:pPr>
      <w:proofErr w:type="spellStart"/>
      <w:r w:rsidRPr="002B5A21">
        <w:rPr>
          <w:i/>
          <w:szCs w:val="22"/>
          <w:lang w:val="el-GR"/>
        </w:rPr>
        <w:t>Πολλαπλούν</w:t>
      </w:r>
      <w:proofErr w:type="spellEnd"/>
      <w:r w:rsidRPr="002B5A21">
        <w:rPr>
          <w:i/>
          <w:szCs w:val="22"/>
          <w:lang w:val="el-GR"/>
        </w:rPr>
        <w:t xml:space="preserve"> </w:t>
      </w:r>
      <w:proofErr w:type="spellStart"/>
      <w:r w:rsidR="00192332" w:rsidRPr="002B5A21">
        <w:rPr>
          <w:i/>
          <w:szCs w:val="22"/>
          <w:lang w:val="el-GR"/>
        </w:rPr>
        <w:t>μυέλωμα</w:t>
      </w:r>
      <w:proofErr w:type="spellEnd"/>
      <w:r w:rsidR="00192332" w:rsidRPr="002B5A21">
        <w:rPr>
          <w:i/>
          <w:szCs w:val="22"/>
          <w:lang w:val="el-GR"/>
        </w:rPr>
        <w:t>:</w:t>
      </w:r>
      <w:r w:rsidR="004A4176" w:rsidRPr="002B5A21">
        <w:rPr>
          <w:szCs w:val="22"/>
          <w:lang w:val="el-GR"/>
        </w:rPr>
        <w:t xml:space="preserve"> </w:t>
      </w:r>
      <w:r w:rsidRPr="002B5A21">
        <w:rPr>
          <w:szCs w:val="22"/>
          <w:lang w:val="el-GR"/>
        </w:rPr>
        <w:t xml:space="preserve">το </w:t>
      </w:r>
      <w:r w:rsidR="002B5A21" w:rsidRPr="002B5A21">
        <w:rPr>
          <w:noProof/>
          <w:szCs w:val="22"/>
          <w:lang w:val="en-US"/>
        </w:rPr>
        <w:t>Melphalan</w:t>
      </w:r>
      <w:r w:rsidR="002B5A21" w:rsidRPr="002B5A21">
        <w:rPr>
          <w:noProof/>
          <w:szCs w:val="22"/>
          <w:lang w:val="el-GR"/>
        </w:rPr>
        <w:t xml:space="preserve"> </w:t>
      </w:r>
      <w:r w:rsidR="002B5A21" w:rsidRPr="002B5A21">
        <w:rPr>
          <w:noProof/>
          <w:szCs w:val="22"/>
          <w:lang w:val="en-US"/>
        </w:rPr>
        <w:t>Tillomed</w:t>
      </w:r>
      <w:r w:rsidR="002B5A21" w:rsidRPr="002B5A21">
        <w:rPr>
          <w:noProof/>
          <w:szCs w:val="22"/>
          <w:lang w:val="el-GR"/>
        </w:rPr>
        <w:t xml:space="preserve"> </w:t>
      </w:r>
      <w:r w:rsidR="00192332" w:rsidRPr="002B5A21">
        <w:rPr>
          <w:szCs w:val="22"/>
          <w:lang w:val="el-GR"/>
        </w:rPr>
        <w:t xml:space="preserve">χορηγείται σε διαλείπουσα βάση </w:t>
      </w:r>
      <w:r w:rsidRPr="002B5A21">
        <w:rPr>
          <w:szCs w:val="22"/>
          <w:lang w:val="el-GR"/>
        </w:rPr>
        <w:t>μόνο του</w:t>
      </w:r>
      <w:r w:rsidR="00192332" w:rsidRPr="002B5A21">
        <w:rPr>
          <w:szCs w:val="22"/>
          <w:lang w:val="el-GR"/>
        </w:rPr>
        <w:t xml:space="preserve"> ή σε συνδυασμό με άλλα </w:t>
      </w:r>
      <w:proofErr w:type="spellStart"/>
      <w:r w:rsidR="00192332" w:rsidRPr="002B5A21">
        <w:rPr>
          <w:szCs w:val="22"/>
          <w:lang w:val="el-GR"/>
        </w:rPr>
        <w:t>κυτταροτοξικά</w:t>
      </w:r>
      <w:proofErr w:type="spellEnd"/>
      <w:r w:rsidR="00192332" w:rsidRPr="002B5A21">
        <w:rPr>
          <w:szCs w:val="22"/>
          <w:lang w:val="el-GR"/>
        </w:rPr>
        <w:t xml:space="preserve"> φαρμακευτικά προϊόντα. Η χορήγηση </w:t>
      </w:r>
      <w:proofErr w:type="spellStart"/>
      <w:r w:rsidR="00192332" w:rsidRPr="002B5A21">
        <w:rPr>
          <w:szCs w:val="22"/>
          <w:lang w:val="el-GR"/>
        </w:rPr>
        <w:t>πρεδνιζόνης</w:t>
      </w:r>
      <w:proofErr w:type="spellEnd"/>
      <w:r w:rsidR="00192332" w:rsidRPr="002B5A21">
        <w:rPr>
          <w:szCs w:val="22"/>
          <w:lang w:val="el-GR"/>
        </w:rPr>
        <w:t xml:space="preserve"> έχει επίσης συμπεριληφθεί σε μια σειρά</w:t>
      </w:r>
      <w:r w:rsidR="00192332" w:rsidRPr="00192332">
        <w:rPr>
          <w:szCs w:val="22"/>
          <w:lang w:val="el-GR"/>
        </w:rPr>
        <w:t xml:space="preserve"> από </w:t>
      </w:r>
      <w:r>
        <w:rPr>
          <w:szCs w:val="22"/>
          <w:lang w:val="el-GR"/>
        </w:rPr>
        <w:t>θεραπευτικά σχήματα</w:t>
      </w:r>
      <w:r w:rsidR="00192332" w:rsidRPr="00192332">
        <w:rPr>
          <w:szCs w:val="22"/>
          <w:lang w:val="el-GR"/>
        </w:rPr>
        <w:t>.</w:t>
      </w:r>
    </w:p>
    <w:p w14:paraId="503D43B7" w14:textId="3E132BB9" w:rsidR="004A4176" w:rsidRPr="004A4176" w:rsidRDefault="004A4176" w:rsidP="005E025D">
      <w:pPr>
        <w:rPr>
          <w:szCs w:val="22"/>
          <w:lang w:val="el-GR"/>
        </w:rPr>
      </w:pPr>
      <w:r w:rsidRPr="004A4176">
        <w:rPr>
          <w:szCs w:val="22"/>
          <w:lang w:val="el-GR"/>
        </w:rPr>
        <w:t xml:space="preserve">Όταν χρησιμοποιείται </w:t>
      </w:r>
      <w:r w:rsidR="002B5A21">
        <w:rPr>
          <w:szCs w:val="22"/>
          <w:lang w:val="el-GR"/>
        </w:rPr>
        <w:t>μόνο του</w:t>
      </w:r>
      <w:r>
        <w:rPr>
          <w:szCs w:val="22"/>
          <w:lang w:val="el-GR"/>
        </w:rPr>
        <w:t>, ένα τυπικό ενδοφλέβιο</w:t>
      </w:r>
      <w:r w:rsidRPr="004A4176">
        <w:rPr>
          <w:szCs w:val="22"/>
          <w:lang w:val="el-GR"/>
        </w:rPr>
        <w:t xml:space="preserve"> </w:t>
      </w:r>
      <w:proofErr w:type="spellStart"/>
      <w:r w:rsidR="00830C7A">
        <w:rPr>
          <w:szCs w:val="22"/>
          <w:lang w:val="el-GR"/>
        </w:rPr>
        <w:t>δοσολογικό</w:t>
      </w:r>
      <w:proofErr w:type="spellEnd"/>
      <w:r w:rsidR="00830C7A">
        <w:rPr>
          <w:szCs w:val="22"/>
          <w:lang w:val="el-GR"/>
        </w:rPr>
        <w:t xml:space="preserve"> σχήμα </w:t>
      </w:r>
      <w:proofErr w:type="spellStart"/>
      <w:r w:rsidR="00830C7A">
        <w:rPr>
          <w:szCs w:val="22"/>
          <w:lang w:val="el-GR"/>
        </w:rPr>
        <w:t>μελφαλάνης</w:t>
      </w:r>
      <w:proofErr w:type="spellEnd"/>
      <w:r>
        <w:rPr>
          <w:szCs w:val="22"/>
          <w:lang w:val="el-GR"/>
        </w:rPr>
        <w:t xml:space="preserve"> </w:t>
      </w:r>
      <w:r w:rsidRPr="004A4176">
        <w:rPr>
          <w:szCs w:val="22"/>
          <w:lang w:val="el-GR"/>
        </w:rPr>
        <w:t xml:space="preserve">είναι 0,4 </w:t>
      </w:r>
      <w:r w:rsidRPr="004A4176">
        <w:rPr>
          <w:szCs w:val="22"/>
          <w:lang w:val="en-US"/>
        </w:rPr>
        <w:t>mg</w:t>
      </w:r>
      <w:r w:rsidR="002B5A21">
        <w:rPr>
          <w:szCs w:val="22"/>
          <w:lang w:val="el-GR"/>
        </w:rPr>
        <w:t>/</w:t>
      </w:r>
      <w:r w:rsidRPr="004A4176">
        <w:rPr>
          <w:szCs w:val="22"/>
          <w:lang w:val="en-US"/>
        </w:rPr>
        <w:t>kg</w:t>
      </w:r>
      <w:r w:rsidRPr="004A4176">
        <w:rPr>
          <w:szCs w:val="22"/>
          <w:lang w:val="el-GR"/>
        </w:rPr>
        <w:t xml:space="preserve"> σωματικού βάρους (16 </w:t>
      </w:r>
      <w:r w:rsidRPr="004A4176">
        <w:rPr>
          <w:szCs w:val="22"/>
          <w:lang w:val="en-US"/>
        </w:rPr>
        <w:t>mg</w:t>
      </w:r>
      <w:r w:rsidR="002B5A21">
        <w:rPr>
          <w:szCs w:val="22"/>
          <w:lang w:val="el-GR"/>
        </w:rPr>
        <w:t>/</w:t>
      </w:r>
      <w:r w:rsidRPr="004A4176">
        <w:rPr>
          <w:szCs w:val="22"/>
          <w:lang w:val="en-US"/>
        </w:rPr>
        <w:t>m</w:t>
      </w:r>
      <w:r w:rsidRPr="002B5A21">
        <w:rPr>
          <w:szCs w:val="22"/>
          <w:vertAlign w:val="superscript"/>
          <w:lang w:val="el-GR"/>
        </w:rPr>
        <w:t>2</w:t>
      </w:r>
      <w:r>
        <w:rPr>
          <w:szCs w:val="22"/>
          <w:lang w:val="el-GR"/>
        </w:rPr>
        <w:t xml:space="preserve"> επιφάνειας σώματος) επαναλαμβανόμενο</w:t>
      </w:r>
      <w:r w:rsidRPr="004A4176">
        <w:rPr>
          <w:szCs w:val="22"/>
          <w:lang w:val="el-GR"/>
        </w:rPr>
        <w:t xml:space="preserve"> σε κατάλληλα χρονικά διαστήματα (π.χ. μία φορά κάθε 4</w:t>
      </w:r>
      <w:r>
        <w:rPr>
          <w:szCs w:val="22"/>
          <w:lang w:val="el-GR"/>
        </w:rPr>
        <w:t xml:space="preserve"> εβδομάδες), </w:t>
      </w:r>
      <w:r w:rsidR="00087252">
        <w:rPr>
          <w:szCs w:val="22"/>
          <w:lang w:val="el-GR"/>
        </w:rPr>
        <w:t>υπό την προϋπόθεση ότι έχει υπά</w:t>
      </w:r>
      <w:r w:rsidRPr="007E3849">
        <w:rPr>
          <w:szCs w:val="22"/>
          <w:lang w:val="el-GR"/>
        </w:rPr>
        <w:t>ρξε</w:t>
      </w:r>
      <w:r w:rsidR="00087252">
        <w:rPr>
          <w:szCs w:val="22"/>
          <w:lang w:val="el-GR"/>
        </w:rPr>
        <w:t>ι</w:t>
      </w:r>
      <w:r w:rsidRPr="007E3849">
        <w:rPr>
          <w:szCs w:val="22"/>
          <w:lang w:val="el-GR"/>
        </w:rPr>
        <w:t xml:space="preserve"> ανάκτηση της περιφερικής ανάλυσης αίματος κατά τη διάρκεια αυτής της περιόδου.</w:t>
      </w:r>
    </w:p>
    <w:p w14:paraId="595B9C58" w14:textId="7FC7EB2F" w:rsidR="004A4176" w:rsidRPr="004A4176" w:rsidRDefault="006D1B1C" w:rsidP="005E025D">
      <w:pPr>
        <w:rPr>
          <w:szCs w:val="22"/>
          <w:lang w:val="el-GR"/>
        </w:rPr>
      </w:pPr>
      <w:r>
        <w:rPr>
          <w:szCs w:val="22"/>
          <w:lang w:val="el-GR"/>
        </w:rPr>
        <w:t xml:space="preserve">Σχήματα υψηλών δόσεων γενικά σχετίζονται με εφάπαξ ενδοφλέβιες δόσεις </w:t>
      </w:r>
      <w:r w:rsidR="00087252">
        <w:rPr>
          <w:szCs w:val="22"/>
          <w:lang w:val="el-GR"/>
        </w:rPr>
        <w:t xml:space="preserve">μεταξύ </w:t>
      </w:r>
      <w:r>
        <w:rPr>
          <w:szCs w:val="22"/>
          <w:lang w:val="el-GR"/>
        </w:rPr>
        <w:t xml:space="preserve">100 και 200 </w:t>
      </w:r>
      <w:r>
        <w:rPr>
          <w:szCs w:val="22"/>
          <w:lang w:val="en-US"/>
        </w:rPr>
        <w:t>mg</w:t>
      </w:r>
      <w:r w:rsidRPr="00E56986">
        <w:rPr>
          <w:szCs w:val="22"/>
          <w:lang w:val="el-GR"/>
        </w:rPr>
        <w:t xml:space="preserve">/ </w:t>
      </w:r>
      <w:r w:rsidRPr="00826922">
        <w:rPr>
          <w:szCs w:val="22"/>
          <w:lang w:val="en-US"/>
        </w:rPr>
        <w:t>m</w:t>
      </w:r>
      <w:r w:rsidRPr="00E56986">
        <w:rPr>
          <w:szCs w:val="22"/>
          <w:vertAlign w:val="superscript"/>
          <w:lang w:val="el-GR"/>
        </w:rPr>
        <w:t xml:space="preserve">2 </w:t>
      </w:r>
      <w:r w:rsidRPr="002B5A21">
        <w:rPr>
          <w:szCs w:val="22"/>
          <w:lang w:val="el-GR"/>
        </w:rPr>
        <w:t>επιφάνειας</w:t>
      </w:r>
      <w:r>
        <w:rPr>
          <w:szCs w:val="22"/>
          <w:vertAlign w:val="superscript"/>
          <w:lang w:val="el-GR"/>
        </w:rPr>
        <w:t xml:space="preserve"> </w:t>
      </w:r>
      <w:r>
        <w:rPr>
          <w:szCs w:val="22"/>
          <w:lang w:val="el-GR"/>
        </w:rPr>
        <w:t xml:space="preserve">σώματος </w:t>
      </w:r>
      <w:r w:rsidR="004A4176" w:rsidRPr="004A4176">
        <w:rPr>
          <w:szCs w:val="22"/>
          <w:lang w:val="el-GR"/>
        </w:rPr>
        <w:t xml:space="preserve">(περίπου 2,5 έως 5,0 </w:t>
      </w:r>
      <w:r w:rsidR="004A4176" w:rsidRPr="004A4176">
        <w:rPr>
          <w:szCs w:val="22"/>
          <w:lang w:val="en-US"/>
        </w:rPr>
        <w:t>mg</w:t>
      </w:r>
      <w:r w:rsidR="002B5A21">
        <w:rPr>
          <w:szCs w:val="22"/>
          <w:lang w:val="el-GR"/>
        </w:rPr>
        <w:t>/</w:t>
      </w:r>
      <w:r w:rsidR="004A4176" w:rsidRPr="004A4176">
        <w:rPr>
          <w:szCs w:val="22"/>
          <w:lang w:val="en-US"/>
        </w:rPr>
        <w:t>kg</w:t>
      </w:r>
      <w:r w:rsidR="004A4176">
        <w:rPr>
          <w:szCs w:val="22"/>
          <w:lang w:val="el-GR"/>
        </w:rPr>
        <w:t xml:space="preserve"> σωματικού βάρους), </w:t>
      </w:r>
      <w:r w:rsidR="004A4176" w:rsidRPr="007E3849">
        <w:rPr>
          <w:color w:val="000000" w:themeColor="text1"/>
          <w:szCs w:val="22"/>
          <w:lang w:val="el-GR"/>
        </w:rPr>
        <w:t xml:space="preserve">αλλά διάσωση αιμοποιητικών </w:t>
      </w:r>
      <w:proofErr w:type="spellStart"/>
      <w:r w:rsidR="004A4176" w:rsidRPr="007E3849">
        <w:rPr>
          <w:color w:val="000000" w:themeColor="text1"/>
          <w:szCs w:val="22"/>
          <w:lang w:val="el-GR"/>
        </w:rPr>
        <w:t>βλαστοκυττάρων</w:t>
      </w:r>
      <w:proofErr w:type="spellEnd"/>
      <w:r w:rsidR="004A4176" w:rsidRPr="007E3849">
        <w:rPr>
          <w:color w:val="000000" w:themeColor="text1"/>
          <w:szCs w:val="22"/>
          <w:lang w:val="el-GR"/>
        </w:rPr>
        <w:t xml:space="preserve"> καθίσταται απαραίτητη </w:t>
      </w:r>
      <w:r w:rsidRPr="007E3849">
        <w:rPr>
          <w:color w:val="000000" w:themeColor="text1"/>
          <w:szCs w:val="22"/>
          <w:lang w:val="el-GR"/>
        </w:rPr>
        <w:t>με</w:t>
      </w:r>
      <w:r w:rsidR="005D6020">
        <w:rPr>
          <w:color w:val="000000" w:themeColor="text1"/>
          <w:szCs w:val="22"/>
          <w:lang w:val="el-GR"/>
        </w:rPr>
        <w:t xml:space="preserve">τά από δόσεις που υπερβαίνουν τα </w:t>
      </w:r>
      <w:r w:rsidR="004A4176" w:rsidRPr="007E3849">
        <w:rPr>
          <w:color w:val="000000" w:themeColor="text1"/>
          <w:szCs w:val="22"/>
          <w:lang w:val="el-GR"/>
        </w:rPr>
        <w:t xml:space="preserve">140 </w:t>
      </w:r>
      <w:r w:rsidR="004A4176" w:rsidRPr="007E3849">
        <w:rPr>
          <w:color w:val="000000" w:themeColor="text1"/>
          <w:szCs w:val="22"/>
          <w:lang w:val="en-US"/>
        </w:rPr>
        <w:t>mg</w:t>
      </w:r>
      <w:r w:rsidR="002B5A21" w:rsidRPr="007E3849">
        <w:rPr>
          <w:color w:val="000000" w:themeColor="text1"/>
          <w:szCs w:val="22"/>
          <w:lang w:val="el-GR"/>
        </w:rPr>
        <w:t>/</w:t>
      </w:r>
      <w:r w:rsidR="004A4176" w:rsidRPr="007E3849">
        <w:rPr>
          <w:color w:val="000000" w:themeColor="text1"/>
          <w:szCs w:val="22"/>
          <w:lang w:val="en-US"/>
        </w:rPr>
        <w:t>m</w:t>
      </w:r>
      <w:r w:rsidR="004A4176" w:rsidRPr="007E3849">
        <w:rPr>
          <w:color w:val="000000" w:themeColor="text1"/>
          <w:szCs w:val="22"/>
          <w:vertAlign w:val="superscript"/>
          <w:lang w:val="el-GR"/>
        </w:rPr>
        <w:t>2</w:t>
      </w:r>
      <w:r w:rsidRPr="007E3849">
        <w:rPr>
          <w:color w:val="000000" w:themeColor="text1"/>
          <w:szCs w:val="22"/>
          <w:lang w:val="el-GR"/>
        </w:rPr>
        <w:t xml:space="preserve"> επιφάνειας σώματος</w:t>
      </w:r>
      <w:r w:rsidR="004A4176" w:rsidRPr="007E3849">
        <w:rPr>
          <w:color w:val="000000" w:themeColor="text1"/>
          <w:szCs w:val="22"/>
          <w:lang w:val="el-GR"/>
        </w:rPr>
        <w:t xml:space="preserve">. </w:t>
      </w:r>
      <w:r w:rsidRPr="007E3849">
        <w:rPr>
          <w:color w:val="000000" w:themeColor="text1"/>
          <w:szCs w:val="22"/>
          <w:lang w:val="el-GR"/>
        </w:rPr>
        <w:t xml:space="preserve">Συνιστάται επίσης η ενυδάτωση </w:t>
      </w:r>
      <w:r w:rsidR="004A4176" w:rsidRPr="007E3849">
        <w:rPr>
          <w:color w:val="000000" w:themeColor="text1"/>
          <w:szCs w:val="22"/>
          <w:lang w:val="el-GR"/>
        </w:rPr>
        <w:t xml:space="preserve">και </w:t>
      </w:r>
      <w:r w:rsidRPr="007E3849">
        <w:rPr>
          <w:color w:val="000000" w:themeColor="text1"/>
          <w:szCs w:val="22"/>
          <w:lang w:val="el-GR"/>
        </w:rPr>
        <w:t xml:space="preserve">η </w:t>
      </w:r>
      <w:r w:rsidR="004A4176" w:rsidRPr="007E3849">
        <w:rPr>
          <w:color w:val="000000" w:themeColor="text1"/>
          <w:szCs w:val="22"/>
          <w:lang w:val="el-GR"/>
        </w:rPr>
        <w:t xml:space="preserve">αναγκαστική </w:t>
      </w:r>
      <w:r w:rsidR="004A4176" w:rsidRPr="004A4176">
        <w:rPr>
          <w:szCs w:val="22"/>
          <w:lang w:val="el-GR"/>
        </w:rPr>
        <w:t>διούρηση</w:t>
      </w:r>
      <w:r w:rsidR="002B5A21">
        <w:rPr>
          <w:szCs w:val="22"/>
          <w:lang w:val="el-GR"/>
        </w:rPr>
        <w:t>.</w:t>
      </w:r>
    </w:p>
    <w:p w14:paraId="2A89C625" w14:textId="0F6E2ECE" w:rsidR="005D36F0" w:rsidRDefault="004A4176" w:rsidP="005E025D">
      <w:pPr>
        <w:rPr>
          <w:szCs w:val="22"/>
          <w:lang w:val="el-GR"/>
        </w:rPr>
      </w:pPr>
      <w:proofErr w:type="spellStart"/>
      <w:r w:rsidRPr="004A4176">
        <w:rPr>
          <w:i/>
          <w:szCs w:val="22"/>
          <w:lang w:val="el-GR"/>
        </w:rPr>
        <w:t>Αδενοκαρκίνωμα</w:t>
      </w:r>
      <w:proofErr w:type="spellEnd"/>
      <w:r w:rsidRPr="004A4176">
        <w:rPr>
          <w:i/>
          <w:szCs w:val="22"/>
          <w:lang w:val="el-GR"/>
        </w:rPr>
        <w:t xml:space="preserve"> ωοθηκών:</w:t>
      </w:r>
      <w:r>
        <w:rPr>
          <w:szCs w:val="22"/>
          <w:lang w:val="el-GR"/>
        </w:rPr>
        <w:t xml:space="preserve"> </w:t>
      </w:r>
      <w:r w:rsidRPr="004A4176">
        <w:rPr>
          <w:szCs w:val="22"/>
          <w:lang w:val="el-GR"/>
        </w:rPr>
        <w:t xml:space="preserve">Όταν χρησιμοποιείται ενδοφλεβίως </w:t>
      </w:r>
      <w:r w:rsidR="002B5A21">
        <w:rPr>
          <w:szCs w:val="22"/>
          <w:lang w:val="el-GR"/>
        </w:rPr>
        <w:t>μόνο του</w:t>
      </w:r>
      <w:r w:rsidRPr="004A4176">
        <w:rPr>
          <w:szCs w:val="22"/>
          <w:lang w:val="el-GR"/>
        </w:rPr>
        <w:t xml:space="preserve">, έχει συχνά χρησιμοποιηθεί </w:t>
      </w:r>
      <w:r w:rsidR="007865DD">
        <w:rPr>
          <w:szCs w:val="22"/>
          <w:lang w:val="el-GR"/>
        </w:rPr>
        <w:t>σε</w:t>
      </w:r>
      <w:r w:rsidR="007865DD" w:rsidRPr="004A4176">
        <w:rPr>
          <w:szCs w:val="22"/>
          <w:lang w:val="el-GR"/>
        </w:rPr>
        <w:t xml:space="preserve"> </w:t>
      </w:r>
      <w:r w:rsidRPr="004A4176">
        <w:rPr>
          <w:szCs w:val="22"/>
          <w:lang w:val="el-GR"/>
        </w:rPr>
        <w:t xml:space="preserve">δόση 1 </w:t>
      </w:r>
      <w:r w:rsidRPr="004A4176">
        <w:rPr>
          <w:szCs w:val="22"/>
          <w:lang w:val="en-US"/>
        </w:rPr>
        <w:t>mg</w:t>
      </w:r>
      <w:r w:rsidR="002B5A21">
        <w:rPr>
          <w:szCs w:val="22"/>
          <w:lang w:val="el-GR"/>
        </w:rPr>
        <w:t>/</w:t>
      </w:r>
      <w:r w:rsidRPr="004A4176">
        <w:rPr>
          <w:szCs w:val="22"/>
          <w:lang w:val="en-US"/>
        </w:rPr>
        <w:t>kg</w:t>
      </w:r>
      <w:r w:rsidRPr="004A4176">
        <w:rPr>
          <w:szCs w:val="22"/>
          <w:lang w:val="el-GR"/>
        </w:rPr>
        <w:t xml:space="preserve"> σωματικού βάρους (περίπου 40 </w:t>
      </w:r>
      <w:r w:rsidRPr="004A4176">
        <w:rPr>
          <w:szCs w:val="22"/>
          <w:lang w:val="en-US"/>
        </w:rPr>
        <w:t>mg</w:t>
      </w:r>
      <w:r w:rsidR="002B5A21">
        <w:rPr>
          <w:szCs w:val="22"/>
          <w:lang w:val="el-GR"/>
        </w:rPr>
        <w:t>/</w:t>
      </w:r>
      <w:r w:rsidRPr="004A4176">
        <w:rPr>
          <w:szCs w:val="22"/>
          <w:lang w:val="en-US"/>
        </w:rPr>
        <w:t>m</w:t>
      </w:r>
      <w:r w:rsidR="005D36F0" w:rsidRPr="00E56986">
        <w:rPr>
          <w:szCs w:val="22"/>
          <w:vertAlign w:val="superscript"/>
          <w:lang w:val="el-GR"/>
        </w:rPr>
        <w:t>2</w:t>
      </w:r>
      <w:r w:rsidR="005D36F0">
        <w:rPr>
          <w:szCs w:val="22"/>
          <w:lang w:val="el-GR"/>
        </w:rPr>
        <w:t xml:space="preserve"> επιφανείας σώματος) και </w:t>
      </w:r>
      <w:r w:rsidR="007865DD">
        <w:rPr>
          <w:szCs w:val="22"/>
          <w:lang w:val="el-GR"/>
        </w:rPr>
        <w:t>χορηγείται ανά</w:t>
      </w:r>
      <w:r w:rsidRPr="004A4176">
        <w:rPr>
          <w:szCs w:val="22"/>
          <w:lang w:val="el-GR"/>
        </w:rPr>
        <w:t xml:space="preserve"> διαστήματα 4 εβδομάδων.</w:t>
      </w:r>
    </w:p>
    <w:p w14:paraId="02833BAF" w14:textId="05357C24" w:rsidR="005D36F0" w:rsidRPr="005D36F0" w:rsidRDefault="005D36F0" w:rsidP="005E025D">
      <w:pPr>
        <w:rPr>
          <w:szCs w:val="22"/>
          <w:lang w:val="el-GR"/>
        </w:rPr>
      </w:pPr>
      <w:r w:rsidRPr="005D36F0">
        <w:rPr>
          <w:szCs w:val="22"/>
          <w:lang w:val="el-GR"/>
        </w:rPr>
        <w:t xml:space="preserve">Όταν συνδυάζεται με άλλα </w:t>
      </w:r>
      <w:proofErr w:type="spellStart"/>
      <w:r w:rsidRPr="005D36F0">
        <w:rPr>
          <w:szCs w:val="22"/>
          <w:lang w:val="el-GR"/>
        </w:rPr>
        <w:t>κυτταροτοξικά</w:t>
      </w:r>
      <w:proofErr w:type="spellEnd"/>
      <w:r w:rsidRPr="005D36F0">
        <w:rPr>
          <w:szCs w:val="22"/>
          <w:lang w:val="el-GR"/>
        </w:rPr>
        <w:t xml:space="preserve"> </w:t>
      </w:r>
      <w:r w:rsidR="007865DD">
        <w:rPr>
          <w:szCs w:val="22"/>
          <w:lang w:val="el-GR"/>
        </w:rPr>
        <w:t>φαρμακευτικά προϊόντα</w:t>
      </w:r>
      <w:r w:rsidRPr="005D36F0">
        <w:rPr>
          <w:szCs w:val="22"/>
          <w:lang w:val="el-GR"/>
        </w:rPr>
        <w:t xml:space="preserve">, έχουν </w:t>
      </w:r>
      <w:r w:rsidR="007865DD" w:rsidRPr="005D36F0">
        <w:rPr>
          <w:szCs w:val="22"/>
          <w:lang w:val="el-GR"/>
        </w:rPr>
        <w:t xml:space="preserve">χρησιμοποιηθεί </w:t>
      </w:r>
      <w:r w:rsidRPr="005D36F0">
        <w:rPr>
          <w:szCs w:val="22"/>
          <w:lang w:val="el-GR"/>
        </w:rPr>
        <w:t xml:space="preserve">ενδοφλέβιες δόσεις μεταξύ 0,3 και 0,4 </w:t>
      </w:r>
      <w:r w:rsidRPr="005D36F0">
        <w:rPr>
          <w:szCs w:val="22"/>
          <w:lang w:val="en-US"/>
        </w:rPr>
        <w:t>mg</w:t>
      </w:r>
      <w:r w:rsidR="002B5A21">
        <w:rPr>
          <w:szCs w:val="22"/>
          <w:lang w:val="el-GR"/>
        </w:rPr>
        <w:t>/</w:t>
      </w:r>
      <w:r w:rsidRPr="005D36F0">
        <w:rPr>
          <w:szCs w:val="22"/>
          <w:lang w:val="en-US"/>
        </w:rPr>
        <w:t>kg</w:t>
      </w:r>
      <w:r w:rsidRPr="005D36F0">
        <w:rPr>
          <w:szCs w:val="22"/>
          <w:lang w:val="el-GR"/>
        </w:rPr>
        <w:t xml:space="preserve"> σωματικού βάρους (12 έως 16 </w:t>
      </w:r>
      <w:r w:rsidRPr="005D36F0">
        <w:rPr>
          <w:szCs w:val="22"/>
          <w:lang w:val="en-US"/>
        </w:rPr>
        <w:t>mg</w:t>
      </w:r>
      <w:r w:rsidR="002B5A21">
        <w:rPr>
          <w:szCs w:val="22"/>
          <w:lang w:val="el-GR"/>
        </w:rPr>
        <w:t>/</w:t>
      </w:r>
      <w:r w:rsidRPr="005D36F0">
        <w:rPr>
          <w:szCs w:val="22"/>
          <w:lang w:val="en-US"/>
        </w:rPr>
        <w:t>m</w:t>
      </w:r>
      <w:r w:rsidRPr="00E56986">
        <w:rPr>
          <w:szCs w:val="22"/>
          <w:vertAlign w:val="superscript"/>
          <w:lang w:val="el-GR"/>
        </w:rPr>
        <w:t>2</w:t>
      </w:r>
      <w:r w:rsidRPr="005D36F0">
        <w:rPr>
          <w:szCs w:val="22"/>
          <w:lang w:val="el-GR"/>
        </w:rPr>
        <w:t xml:space="preserve"> επιφάνειας</w:t>
      </w:r>
      <w:r w:rsidR="007865DD">
        <w:rPr>
          <w:szCs w:val="22"/>
          <w:lang w:val="el-GR"/>
        </w:rPr>
        <w:t xml:space="preserve"> σώματος</w:t>
      </w:r>
      <w:r w:rsidRPr="005D36F0">
        <w:rPr>
          <w:szCs w:val="22"/>
          <w:lang w:val="el-GR"/>
        </w:rPr>
        <w:t xml:space="preserve">) </w:t>
      </w:r>
      <w:r w:rsidR="007865DD">
        <w:rPr>
          <w:szCs w:val="22"/>
          <w:lang w:val="el-GR"/>
        </w:rPr>
        <w:t>ανά</w:t>
      </w:r>
      <w:r w:rsidR="007865DD" w:rsidRPr="005D36F0">
        <w:rPr>
          <w:szCs w:val="22"/>
          <w:lang w:val="el-GR"/>
        </w:rPr>
        <w:t xml:space="preserve"> </w:t>
      </w:r>
      <w:r w:rsidRPr="005D36F0">
        <w:rPr>
          <w:szCs w:val="22"/>
          <w:lang w:val="el-GR"/>
        </w:rPr>
        <w:t>διαστήματα 4 έως 6 εβδομάδ</w:t>
      </w:r>
      <w:r w:rsidR="002B5A21">
        <w:rPr>
          <w:szCs w:val="22"/>
          <w:lang w:val="el-GR"/>
        </w:rPr>
        <w:t>ων</w:t>
      </w:r>
      <w:r w:rsidRPr="005D36F0">
        <w:rPr>
          <w:szCs w:val="22"/>
          <w:lang w:val="el-GR"/>
        </w:rPr>
        <w:t>.</w:t>
      </w:r>
    </w:p>
    <w:p w14:paraId="7F954B90" w14:textId="7928AF7C" w:rsidR="005D36F0" w:rsidRPr="007E3849" w:rsidRDefault="005D36F0" w:rsidP="005E025D">
      <w:pPr>
        <w:rPr>
          <w:color w:val="000000" w:themeColor="text1"/>
          <w:szCs w:val="22"/>
          <w:lang w:val="el-GR"/>
        </w:rPr>
      </w:pPr>
      <w:r w:rsidRPr="005D36F0">
        <w:rPr>
          <w:i/>
          <w:szCs w:val="22"/>
          <w:lang w:val="el-GR"/>
        </w:rPr>
        <w:t xml:space="preserve">Προχωρημένο </w:t>
      </w:r>
      <w:proofErr w:type="spellStart"/>
      <w:r w:rsidRPr="005D36F0">
        <w:rPr>
          <w:i/>
          <w:szCs w:val="22"/>
          <w:lang w:val="el-GR"/>
        </w:rPr>
        <w:t>νευροβλάστωμα</w:t>
      </w:r>
      <w:proofErr w:type="spellEnd"/>
      <w:r w:rsidRPr="005D36F0">
        <w:rPr>
          <w:i/>
          <w:szCs w:val="22"/>
          <w:lang w:val="el-GR"/>
        </w:rPr>
        <w:t>:</w:t>
      </w:r>
      <w:r w:rsidRPr="005D36F0">
        <w:rPr>
          <w:szCs w:val="22"/>
          <w:lang w:val="el-GR"/>
        </w:rPr>
        <w:t xml:space="preserve"> Δόσεις μεταξύ 100 και 240 </w:t>
      </w:r>
      <w:r w:rsidRPr="005D36F0">
        <w:rPr>
          <w:szCs w:val="22"/>
          <w:lang w:val="en-US"/>
        </w:rPr>
        <w:t>mg</w:t>
      </w:r>
      <w:r w:rsidRPr="005D36F0">
        <w:rPr>
          <w:szCs w:val="22"/>
          <w:lang w:val="el-GR"/>
        </w:rPr>
        <w:t xml:space="preserve"> / </w:t>
      </w:r>
      <w:r w:rsidRPr="005D36F0">
        <w:rPr>
          <w:szCs w:val="22"/>
          <w:lang w:val="en-US"/>
        </w:rPr>
        <w:t>m</w:t>
      </w:r>
      <w:r w:rsidRPr="00E56986">
        <w:rPr>
          <w:szCs w:val="22"/>
          <w:vertAlign w:val="superscript"/>
          <w:lang w:val="el-GR"/>
        </w:rPr>
        <w:t>2</w:t>
      </w:r>
      <w:r w:rsidRPr="005D36F0">
        <w:rPr>
          <w:szCs w:val="22"/>
          <w:lang w:val="el-GR"/>
        </w:rPr>
        <w:t xml:space="preserve"> επιφάνειας σώματος (</w:t>
      </w:r>
      <w:r w:rsidR="007865DD">
        <w:rPr>
          <w:szCs w:val="22"/>
          <w:lang w:val="el-GR"/>
        </w:rPr>
        <w:t>κάποιες</w:t>
      </w:r>
      <w:r w:rsidR="007865DD" w:rsidRPr="005D36F0">
        <w:rPr>
          <w:szCs w:val="22"/>
          <w:lang w:val="el-GR"/>
        </w:rPr>
        <w:t xml:space="preserve"> </w:t>
      </w:r>
      <w:r w:rsidRPr="005D36F0">
        <w:rPr>
          <w:szCs w:val="22"/>
          <w:lang w:val="el-GR"/>
        </w:rPr>
        <w:t xml:space="preserve">φορές </w:t>
      </w:r>
      <w:r w:rsidR="003E0F4F">
        <w:rPr>
          <w:szCs w:val="22"/>
          <w:lang w:val="el-GR"/>
        </w:rPr>
        <w:t>διαιρούμενο ισόποσα</w:t>
      </w:r>
      <w:r w:rsidR="007865DD">
        <w:rPr>
          <w:szCs w:val="22"/>
          <w:lang w:val="el-GR"/>
        </w:rPr>
        <w:t xml:space="preserve"> για</w:t>
      </w:r>
      <w:r>
        <w:rPr>
          <w:szCs w:val="22"/>
          <w:lang w:val="el-GR"/>
        </w:rPr>
        <w:t xml:space="preserve"> 3 διαδοχικές ημέρες) </w:t>
      </w:r>
      <w:r w:rsidRPr="007E3849">
        <w:rPr>
          <w:color w:val="000000" w:themeColor="text1"/>
          <w:szCs w:val="22"/>
          <w:lang w:val="el-GR"/>
        </w:rPr>
        <w:t xml:space="preserve">μαζί με διάσωση αιμοποιητικών </w:t>
      </w:r>
      <w:proofErr w:type="spellStart"/>
      <w:r w:rsidRPr="007E3849">
        <w:rPr>
          <w:color w:val="000000" w:themeColor="text1"/>
          <w:szCs w:val="22"/>
          <w:lang w:val="el-GR"/>
        </w:rPr>
        <w:t>βλαστοκυττάρων</w:t>
      </w:r>
      <w:proofErr w:type="spellEnd"/>
      <w:r w:rsidRPr="007E3849">
        <w:rPr>
          <w:color w:val="000000" w:themeColor="text1"/>
          <w:szCs w:val="22"/>
          <w:lang w:val="el-GR"/>
        </w:rPr>
        <w:t>, έχουν χρησιμοποιηθεί είτε μόν</w:t>
      </w:r>
      <w:r w:rsidR="003E0F4F" w:rsidRPr="007E3849">
        <w:rPr>
          <w:color w:val="000000" w:themeColor="text1"/>
          <w:szCs w:val="22"/>
          <w:lang w:val="el-GR"/>
        </w:rPr>
        <w:t>ες</w:t>
      </w:r>
      <w:r w:rsidRPr="007E3849">
        <w:rPr>
          <w:color w:val="000000" w:themeColor="text1"/>
          <w:szCs w:val="22"/>
          <w:lang w:val="el-GR"/>
        </w:rPr>
        <w:t xml:space="preserve"> του</w:t>
      </w:r>
      <w:r w:rsidR="003E0F4F" w:rsidRPr="007E3849">
        <w:rPr>
          <w:color w:val="000000" w:themeColor="text1"/>
          <w:szCs w:val="22"/>
          <w:lang w:val="el-GR"/>
        </w:rPr>
        <w:t>ς</w:t>
      </w:r>
      <w:r w:rsidRPr="007E3849">
        <w:rPr>
          <w:color w:val="000000" w:themeColor="text1"/>
          <w:szCs w:val="22"/>
          <w:lang w:val="el-GR"/>
        </w:rPr>
        <w:t xml:space="preserve"> είτε σε συνδυασμό με ακτινοθεραπεία ή / και άλλα </w:t>
      </w:r>
      <w:proofErr w:type="spellStart"/>
      <w:r w:rsidRPr="007E3849">
        <w:rPr>
          <w:color w:val="000000" w:themeColor="text1"/>
          <w:szCs w:val="22"/>
          <w:lang w:val="el-GR"/>
        </w:rPr>
        <w:t>κυτταροτοξικά</w:t>
      </w:r>
      <w:proofErr w:type="spellEnd"/>
      <w:r w:rsidRPr="007E3849">
        <w:rPr>
          <w:color w:val="000000" w:themeColor="text1"/>
          <w:szCs w:val="22"/>
          <w:lang w:val="el-GR"/>
        </w:rPr>
        <w:t xml:space="preserve"> φαρμακευτικά προϊόντα.</w:t>
      </w:r>
    </w:p>
    <w:p w14:paraId="1D80CCDA" w14:textId="7D1D3202" w:rsidR="005D36F0" w:rsidRPr="005D36F0" w:rsidRDefault="005D36F0" w:rsidP="005E025D">
      <w:pPr>
        <w:rPr>
          <w:szCs w:val="22"/>
          <w:lang w:val="el-GR"/>
        </w:rPr>
      </w:pPr>
      <w:r w:rsidRPr="005D36F0">
        <w:rPr>
          <w:i/>
          <w:szCs w:val="22"/>
          <w:lang w:val="el-GR"/>
        </w:rPr>
        <w:t>Κακόηθες μελάνωμα:</w:t>
      </w:r>
      <w:r>
        <w:rPr>
          <w:szCs w:val="22"/>
          <w:lang w:val="el-GR"/>
        </w:rPr>
        <w:t xml:space="preserve"> </w:t>
      </w:r>
      <w:proofErr w:type="spellStart"/>
      <w:r w:rsidRPr="00FD45E1">
        <w:rPr>
          <w:color w:val="000000" w:themeColor="text1"/>
          <w:szCs w:val="22"/>
          <w:lang w:val="el-GR"/>
        </w:rPr>
        <w:t>Υπερθερμική</w:t>
      </w:r>
      <w:proofErr w:type="spellEnd"/>
      <w:r w:rsidRPr="00FD45E1">
        <w:rPr>
          <w:color w:val="000000" w:themeColor="text1"/>
          <w:szCs w:val="22"/>
          <w:lang w:val="el-GR"/>
        </w:rPr>
        <w:t xml:space="preserve"> περιφερειακή </w:t>
      </w:r>
      <w:r w:rsidR="00AB1C57">
        <w:rPr>
          <w:color w:val="000000" w:themeColor="text1"/>
          <w:szCs w:val="22"/>
          <w:lang w:val="el-GR"/>
        </w:rPr>
        <w:t>έγ</w:t>
      </w:r>
      <w:r w:rsidR="00FD45E1" w:rsidRPr="00FD45E1">
        <w:rPr>
          <w:color w:val="000000" w:themeColor="text1"/>
          <w:szCs w:val="22"/>
          <w:lang w:val="el-GR"/>
        </w:rPr>
        <w:t>χυση</w:t>
      </w:r>
      <w:r w:rsidRPr="00FD45E1">
        <w:rPr>
          <w:color w:val="000000" w:themeColor="text1"/>
          <w:szCs w:val="22"/>
          <w:lang w:val="el-GR"/>
        </w:rPr>
        <w:t xml:space="preserve"> με </w:t>
      </w:r>
      <w:proofErr w:type="spellStart"/>
      <w:r w:rsidR="007865DD">
        <w:rPr>
          <w:szCs w:val="22"/>
          <w:lang w:val="el-GR"/>
        </w:rPr>
        <w:t>μελφαλάνη</w:t>
      </w:r>
      <w:proofErr w:type="spellEnd"/>
      <w:r>
        <w:rPr>
          <w:szCs w:val="22"/>
          <w:lang w:val="el-GR"/>
        </w:rPr>
        <w:t xml:space="preserve"> </w:t>
      </w:r>
      <w:r w:rsidRPr="005D36F0">
        <w:rPr>
          <w:szCs w:val="22"/>
          <w:lang w:val="el-GR"/>
        </w:rPr>
        <w:t xml:space="preserve">έχει χρησιμοποιηθεί ως </w:t>
      </w:r>
      <w:proofErr w:type="spellStart"/>
      <w:r w:rsidRPr="005D36F0">
        <w:rPr>
          <w:szCs w:val="22"/>
          <w:lang w:val="el-GR"/>
        </w:rPr>
        <w:t>ανοσοενισχυτ</w:t>
      </w:r>
      <w:r>
        <w:rPr>
          <w:szCs w:val="22"/>
          <w:lang w:val="el-GR"/>
        </w:rPr>
        <w:t>ικό</w:t>
      </w:r>
      <w:proofErr w:type="spellEnd"/>
      <w:r>
        <w:rPr>
          <w:szCs w:val="22"/>
          <w:lang w:val="el-GR"/>
        </w:rPr>
        <w:t xml:space="preserve"> σε χειρουργική επέμβαση πρώιμου </w:t>
      </w:r>
      <w:r w:rsidRPr="005D36F0">
        <w:rPr>
          <w:szCs w:val="22"/>
          <w:lang w:val="el-GR"/>
        </w:rPr>
        <w:t xml:space="preserve">κακοήθους μελανώματος και ως </w:t>
      </w:r>
      <w:r w:rsidR="00807C7D">
        <w:rPr>
          <w:szCs w:val="22"/>
          <w:lang w:val="el-GR"/>
        </w:rPr>
        <w:t>παρηγορητική</w:t>
      </w:r>
      <w:r w:rsidR="00807C7D" w:rsidRPr="005D36F0">
        <w:rPr>
          <w:szCs w:val="22"/>
          <w:lang w:val="el-GR"/>
        </w:rPr>
        <w:t xml:space="preserve"> </w:t>
      </w:r>
      <w:r w:rsidRPr="005D36F0">
        <w:rPr>
          <w:szCs w:val="22"/>
          <w:lang w:val="el-GR"/>
        </w:rPr>
        <w:t xml:space="preserve">θεραπεία για προχωρημένη αλλά εντοπισμένη </w:t>
      </w:r>
      <w:r w:rsidR="00807C7D">
        <w:rPr>
          <w:szCs w:val="22"/>
          <w:lang w:val="el-GR"/>
        </w:rPr>
        <w:t>νόσο</w:t>
      </w:r>
      <w:r w:rsidRPr="005D36F0">
        <w:rPr>
          <w:szCs w:val="22"/>
          <w:lang w:val="el-GR"/>
        </w:rPr>
        <w:t xml:space="preserve">. </w:t>
      </w:r>
      <w:r w:rsidR="00807C7D">
        <w:rPr>
          <w:szCs w:val="22"/>
          <w:lang w:val="el-GR"/>
        </w:rPr>
        <w:t>Λ</w:t>
      </w:r>
      <w:r w:rsidR="00807C7D" w:rsidRPr="005D36F0">
        <w:rPr>
          <w:szCs w:val="22"/>
          <w:lang w:val="el-GR"/>
        </w:rPr>
        <w:t xml:space="preserve">επτομέρειες της τεχνικής </w:t>
      </w:r>
      <w:r w:rsidR="00AB1C57">
        <w:rPr>
          <w:szCs w:val="22"/>
          <w:lang w:val="el-GR"/>
        </w:rPr>
        <w:t>έγ</w:t>
      </w:r>
      <w:r w:rsidR="00FD45E1">
        <w:rPr>
          <w:szCs w:val="22"/>
          <w:lang w:val="el-GR"/>
        </w:rPr>
        <w:t>χυσης</w:t>
      </w:r>
      <w:r w:rsidR="00807C7D" w:rsidRPr="005D36F0">
        <w:rPr>
          <w:szCs w:val="22"/>
          <w:lang w:val="el-GR"/>
        </w:rPr>
        <w:t xml:space="preserve"> και δόση</w:t>
      </w:r>
      <w:r w:rsidR="00807C7D">
        <w:rPr>
          <w:szCs w:val="22"/>
          <w:lang w:val="el-GR"/>
        </w:rPr>
        <w:t>ς</w:t>
      </w:r>
      <w:r w:rsidR="00807C7D" w:rsidRPr="005D36F0">
        <w:rPr>
          <w:szCs w:val="22"/>
          <w:lang w:val="el-GR"/>
        </w:rPr>
        <w:t xml:space="preserve"> </w:t>
      </w:r>
      <w:r w:rsidR="00807C7D">
        <w:rPr>
          <w:szCs w:val="22"/>
          <w:lang w:val="el-GR"/>
        </w:rPr>
        <w:t>θ</w:t>
      </w:r>
      <w:r w:rsidR="00807C7D" w:rsidRPr="005D36F0">
        <w:rPr>
          <w:szCs w:val="22"/>
          <w:lang w:val="el-GR"/>
        </w:rPr>
        <w:t xml:space="preserve">α </w:t>
      </w:r>
      <w:r w:rsidRPr="005D36F0">
        <w:rPr>
          <w:szCs w:val="22"/>
          <w:lang w:val="el-GR"/>
        </w:rPr>
        <w:t xml:space="preserve">πρέπει να </w:t>
      </w:r>
      <w:r w:rsidR="00807C7D">
        <w:rPr>
          <w:szCs w:val="22"/>
          <w:lang w:val="el-GR"/>
        </w:rPr>
        <w:t>αναζητούνται στην</w:t>
      </w:r>
      <w:r w:rsidRPr="005D36F0">
        <w:rPr>
          <w:szCs w:val="22"/>
          <w:lang w:val="el-GR"/>
        </w:rPr>
        <w:t xml:space="preserve"> επιστημονική βιβλιογραφία</w:t>
      </w:r>
      <w:r w:rsidR="002B5A21">
        <w:rPr>
          <w:szCs w:val="22"/>
          <w:lang w:val="el-GR"/>
        </w:rPr>
        <w:t>.</w:t>
      </w:r>
      <w:r w:rsidRPr="005D36F0">
        <w:rPr>
          <w:szCs w:val="22"/>
          <w:lang w:val="el-GR"/>
        </w:rPr>
        <w:t xml:space="preserve"> Ένα τυπικό </w:t>
      </w:r>
      <w:r w:rsidRPr="00FD45E1">
        <w:rPr>
          <w:szCs w:val="22"/>
          <w:lang w:val="el-GR"/>
        </w:rPr>
        <w:t xml:space="preserve">εύρος δόσης </w:t>
      </w:r>
      <w:r w:rsidR="00AB1C57">
        <w:rPr>
          <w:szCs w:val="22"/>
          <w:lang w:val="el-GR"/>
        </w:rPr>
        <w:t>εγ</w:t>
      </w:r>
      <w:r w:rsidR="00FD45E1" w:rsidRPr="00FD45E1">
        <w:rPr>
          <w:szCs w:val="22"/>
          <w:lang w:val="el-GR"/>
        </w:rPr>
        <w:t>χύσ</w:t>
      </w:r>
      <w:r w:rsidR="0008090F">
        <w:rPr>
          <w:szCs w:val="22"/>
          <w:lang w:val="el-GR"/>
        </w:rPr>
        <w:t>εων</w:t>
      </w:r>
      <w:r w:rsidR="00FD45E1" w:rsidRPr="00FD45E1">
        <w:rPr>
          <w:szCs w:val="22"/>
          <w:lang w:val="el-GR"/>
        </w:rPr>
        <w:t xml:space="preserve"> </w:t>
      </w:r>
      <w:r w:rsidR="0008090F">
        <w:rPr>
          <w:szCs w:val="22"/>
          <w:lang w:val="el-GR"/>
        </w:rPr>
        <w:t>για τ</w:t>
      </w:r>
      <w:r w:rsidR="003E0F4F">
        <w:rPr>
          <w:szCs w:val="22"/>
          <w:lang w:val="el-GR"/>
        </w:rPr>
        <w:t>α</w:t>
      </w:r>
      <w:r w:rsidR="0008090F">
        <w:rPr>
          <w:szCs w:val="22"/>
          <w:lang w:val="el-GR"/>
        </w:rPr>
        <w:t xml:space="preserve"> άνω </w:t>
      </w:r>
      <w:r w:rsidR="003E0F4F">
        <w:rPr>
          <w:szCs w:val="22"/>
          <w:lang w:val="el-GR"/>
        </w:rPr>
        <w:t>άκρα</w:t>
      </w:r>
      <w:r w:rsidRPr="00FD45E1">
        <w:rPr>
          <w:szCs w:val="22"/>
          <w:lang w:val="el-GR"/>
        </w:rPr>
        <w:t xml:space="preserve"> είναι 0,6-1,0 </w:t>
      </w:r>
      <w:r w:rsidRPr="00FD45E1">
        <w:rPr>
          <w:szCs w:val="22"/>
          <w:lang w:val="en-US"/>
        </w:rPr>
        <w:t>mg</w:t>
      </w:r>
      <w:r w:rsidRPr="00FD45E1">
        <w:rPr>
          <w:szCs w:val="22"/>
          <w:lang w:val="el-GR"/>
        </w:rPr>
        <w:t xml:space="preserve"> / </w:t>
      </w:r>
      <w:r w:rsidRPr="00FD45E1">
        <w:rPr>
          <w:szCs w:val="22"/>
          <w:lang w:val="en-US"/>
        </w:rPr>
        <w:t>kg</w:t>
      </w:r>
      <w:r w:rsidRPr="00FD45E1">
        <w:rPr>
          <w:szCs w:val="22"/>
          <w:lang w:val="el-GR"/>
        </w:rPr>
        <w:t xml:space="preserve"> σωματικού βάρους και για </w:t>
      </w:r>
      <w:r w:rsidR="00AB1C57">
        <w:rPr>
          <w:szCs w:val="22"/>
          <w:lang w:val="el-GR"/>
        </w:rPr>
        <w:t>εγ</w:t>
      </w:r>
      <w:r w:rsidR="00FD45E1" w:rsidRPr="00FD45E1">
        <w:rPr>
          <w:szCs w:val="22"/>
          <w:lang w:val="el-GR"/>
        </w:rPr>
        <w:t xml:space="preserve">χύσεις </w:t>
      </w:r>
      <w:r w:rsidR="0008090F">
        <w:rPr>
          <w:szCs w:val="22"/>
          <w:lang w:val="el-GR"/>
        </w:rPr>
        <w:t xml:space="preserve">κάτω </w:t>
      </w:r>
      <w:r w:rsidR="003E0F4F">
        <w:rPr>
          <w:szCs w:val="22"/>
          <w:lang w:val="el-GR"/>
        </w:rPr>
        <w:t>άκρων</w:t>
      </w:r>
      <w:r w:rsidRPr="00FD45E1">
        <w:rPr>
          <w:szCs w:val="22"/>
          <w:lang w:val="el-GR"/>
        </w:rPr>
        <w:t xml:space="preserve"> είναι 0,8-1,5 </w:t>
      </w:r>
      <w:r w:rsidRPr="00FD45E1">
        <w:rPr>
          <w:szCs w:val="22"/>
          <w:lang w:val="en-US"/>
        </w:rPr>
        <w:t>mg</w:t>
      </w:r>
      <w:r w:rsidRPr="00FD45E1">
        <w:rPr>
          <w:szCs w:val="22"/>
          <w:lang w:val="el-GR"/>
        </w:rPr>
        <w:t xml:space="preserve"> / </w:t>
      </w:r>
      <w:r w:rsidRPr="00FD45E1">
        <w:rPr>
          <w:szCs w:val="22"/>
          <w:lang w:val="en-US"/>
        </w:rPr>
        <w:t>kg</w:t>
      </w:r>
      <w:r w:rsidRPr="00FD45E1">
        <w:rPr>
          <w:szCs w:val="22"/>
          <w:lang w:val="el-GR"/>
        </w:rPr>
        <w:t xml:space="preserve"> σωματικού βάρους</w:t>
      </w:r>
      <w:r w:rsidRPr="005D36F0">
        <w:rPr>
          <w:szCs w:val="22"/>
          <w:lang w:val="el-GR"/>
        </w:rPr>
        <w:t>.</w:t>
      </w:r>
    </w:p>
    <w:p w14:paraId="713F8336" w14:textId="17B3EC73" w:rsidR="005D36F0" w:rsidRPr="005D36F0" w:rsidRDefault="005D36F0" w:rsidP="005E025D">
      <w:pPr>
        <w:rPr>
          <w:szCs w:val="22"/>
          <w:lang w:val="el-GR"/>
        </w:rPr>
      </w:pPr>
      <w:r w:rsidRPr="005D36F0">
        <w:rPr>
          <w:i/>
          <w:szCs w:val="22"/>
          <w:lang w:val="el-GR"/>
        </w:rPr>
        <w:t>Σάρκωμα μαλακών μορίων:</w:t>
      </w:r>
      <w:r w:rsidR="00FD45E1">
        <w:rPr>
          <w:szCs w:val="22"/>
          <w:lang w:val="el-GR"/>
        </w:rPr>
        <w:t xml:space="preserve"> </w:t>
      </w:r>
      <w:proofErr w:type="spellStart"/>
      <w:r w:rsidR="00FD45E1">
        <w:rPr>
          <w:szCs w:val="22"/>
          <w:lang w:val="el-GR"/>
        </w:rPr>
        <w:t>Υπερθερμική</w:t>
      </w:r>
      <w:proofErr w:type="spellEnd"/>
      <w:r>
        <w:rPr>
          <w:szCs w:val="22"/>
          <w:lang w:val="el-GR"/>
        </w:rPr>
        <w:t xml:space="preserve"> </w:t>
      </w:r>
      <w:r w:rsidRPr="005D36F0">
        <w:rPr>
          <w:szCs w:val="22"/>
          <w:lang w:val="el-GR"/>
        </w:rPr>
        <w:t xml:space="preserve">περιφερειακή </w:t>
      </w:r>
      <w:r w:rsidR="00FD45E1">
        <w:rPr>
          <w:szCs w:val="22"/>
          <w:lang w:val="el-GR"/>
        </w:rPr>
        <w:t>έγχυση</w:t>
      </w:r>
      <w:r w:rsidRPr="005D36F0">
        <w:rPr>
          <w:szCs w:val="22"/>
          <w:lang w:val="el-GR"/>
        </w:rPr>
        <w:t xml:space="preserve"> με </w:t>
      </w:r>
      <w:proofErr w:type="spellStart"/>
      <w:r w:rsidR="00807C7D">
        <w:rPr>
          <w:szCs w:val="22"/>
          <w:lang w:val="el-GR"/>
        </w:rPr>
        <w:t>μελφαλάνη</w:t>
      </w:r>
      <w:proofErr w:type="spellEnd"/>
      <w:r w:rsidRPr="005D36F0">
        <w:rPr>
          <w:szCs w:val="22"/>
          <w:lang w:val="el-GR"/>
        </w:rPr>
        <w:t xml:space="preserve"> έχει χρησιμοποιηθεί για τη διαχείριση όλων των σταδίων των εντοπισμένων </w:t>
      </w:r>
      <w:r w:rsidR="002B5A21" w:rsidRPr="005D36F0">
        <w:rPr>
          <w:szCs w:val="22"/>
          <w:lang w:val="el-GR"/>
        </w:rPr>
        <w:t>σαρκωμά</w:t>
      </w:r>
      <w:r w:rsidR="002B5A21">
        <w:rPr>
          <w:szCs w:val="22"/>
          <w:lang w:val="el-GR"/>
        </w:rPr>
        <w:t>των</w:t>
      </w:r>
      <w:r w:rsidR="00807C7D" w:rsidRPr="005D36F0">
        <w:rPr>
          <w:szCs w:val="22"/>
          <w:lang w:val="el-GR"/>
        </w:rPr>
        <w:t xml:space="preserve"> </w:t>
      </w:r>
      <w:r w:rsidRPr="005D36F0">
        <w:rPr>
          <w:szCs w:val="22"/>
          <w:lang w:val="el-GR"/>
        </w:rPr>
        <w:t xml:space="preserve">μαλακών μορίων, συνήθως σε συνδυασμό με χειρουργική επέμβαση. Ένα τυπικό εύρος δόσης </w:t>
      </w:r>
      <w:r w:rsidR="00AB1C57">
        <w:rPr>
          <w:szCs w:val="22"/>
          <w:lang w:val="el-GR"/>
        </w:rPr>
        <w:t xml:space="preserve">για </w:t>
      </w:r>
      <w:r w:rsidR="00FD45E1" w:rsidRPr="003E0F4F">
        <w:rPr>
          <w:szCs w:val="22"/>
          <w:lang w:val="el-GR"/>
        </w:rPr>
        <w:t>εγχύσεις άνω άκρων</w:t>
      </w:r>
      <w:r w:rsidRPr="003E0F4F">
        <w:rPr>
          <w:szCs w:val="22"/>
          <w:lang w:val="el-GR"/>
        </w:rPr>
        <w:t xml:space="preserve"> είναι 0,6-1,0 </w:t>
      </w:r>
      <w:r w:rsidRPr="003E0F4F">
        <w:rPr>
          <w:szCs w:val="22"/>
          <w:lang w:val="en-US"/>
        </w:rPr>
        <w:t>mg</w:t>
      </w:r>
      <w:r w:rsidRPr="003E0F4F">
        <w:rPr>
          <w:szCs w:val="22"/>
          <w:lang w:val="el-GR"/>
        </w:rPr>
        <w:t xml:space="preserve"> / </w:t>
      </w:r>
      <w:r w:rsidRPr="003E0F4F">
        <w:rPr>
          <w:szCs w:val="22"/>
          <w:lang w:val="en-US"/>
        </w:rPr>
        <w:t>kg</w:t>
      </w:r>
      <w:r w:rsidRPr="003E0F4F">
        <w:rPr>
          <w:szCs w:val="22"/>
          <w:lang w:val="el-GR"/>
        </w:rPr>
        <w:t xml:space="preserve"> σωματικού βάρους και για </w:t>
      </w:r>
      <w:r w:rsidR="00FD45E1" w:rsidRPr="003E0F4F">
        <w:rPr>
          <w:szCs w:val="22"/>
          <w:lang w:val="el-GR"/>
        </w:rPr>
        <w:t>εγχύσεις κάτω άκρων</w:t>
      </w:r>
      <w:r w:rsidRPr="005D36F0">
        <w:rPr>
          <w:szCs w:val="22"/>
          <w:lang w:val="el-GR"/>
        </w:rPr>
        <w:t xml:space="preserve"> είναι 1-1.4 </w:t>
      </w:r>
      <w:r w:rsidRPr="005D36F0">
        <w:rPr>
          <w:szCs w:val="22"/>
          <w:lang w:val="en-US"/>
        </w:rPr>
        <w:t>mg</w:t>
      </w:r>
      <w:r w:rsidRPr="005D36F0">
        <w:rPr>
          <w:szCs w:val="22"/>
          <w:lang w:val="el-GR"/>
        </w:rPr>
        <w:t xml:space="preserve"> / </w:t>
      </w:r>
      <w:r w:rsidRPr="005D36F0">
        <w:rPr>
          <w:szCs w:val="22"/>
          <w:lang w:val="en-US"/>
        </w:rPr>
        <w:t>kg</w:t>
      </w:r>
      <w:r w:rsidRPr="005D36F0">
        <w:rPr>
          <w:szCs w:val="22"/>
          <w:lang w:val="el-GR"/>
        </w:rPr>
        <w:t xml:space="preserve"> σωματικού βάρους.</w:t>
      </w:r>
    </w:p>
    <w:p w14:paraId="2C999B6A" w14:textId="77777777" w:rsidR="007629A7" w:rsidRPr="00B549ED" w:rsidRDefault="005D36F0" w:rsidP="005D36F0">
      <w:pPr>
        <w:rPr>
          <w:bCs/>
          <w:iCs/>
          <w:szCs w:val="22"/>
          <w:u w:val="single"/>
          <w:lang w:val="el-GR"/>
        </w:rPr>
      </w:pPr>
      <w:r w:rsidRPr="00B549ED">
        <w:rPr>
          <w:bCs/>
          <w:iCs/>
          <w:szCs w:val="22"/>
          <w:u w:val="single"/>
          <w:lang w:val="el-GR"/>
        </w:rPr>
        <w:t>Παιδιατρικό</w:t>
      </w:r>
      <w:r>
        <w:rPr>
          <w:bCs/>
          <w:iCs/>
          <w:szCs w:val="22"/>
          <w:u w:val="single"/>
          <w:lang w:val="el-GR"/>
        </w:rPr>
        <w:t xml:space="preserve">ς </w:t>
      </w:r>
      <w:r w:rsidRPr="00B549ED">
        <w:rPr>
          <w:bCs/>
          <w:iCs/>
          <w:szCs w:val="22"/>
          <w:u w:val="single"/>
          <w:lang w:val="el-GR"/>
        </w:rPr>
        <w:t>πληθυσμός</w:t>
      </w:r>
    </w:p>
    <w:p w14:paraId="1BEC0175" w14:textId="3B810DC3" w:rsidR="005D36F0" w:rsidRPr="005D36F0" w:rsidRDefault="00807C7D" w:rsidP="005E025D">
      <w:pPr>
        <w:rPr>
          <w:bCs/>
          <w:iCs/>
          <w:szCs w:val="22"/>
          <w:lang w:val="el-GR"/>
        </w:rPr>
      </w:pPr>
      <w:r>
        <w:rPr>
          <w:bCs/>
          <w:iCs/>
          <w:szCs w:val="22"/>
          <w:lang w:val="el-GR"/>
        </w:rPr>
        <w:t xml:space="preserve">Το </w:t>
      </w:r>
      <w:r w:rsidR="002B5A21">
        <w:rPr>
          <w:noProof/>
          <w:szCs w:val="22"/>
          <w:lang w:val="en-US"/>
        </w:rPr>
        <w:t>Melphalan</w:t>
      </w:r>
      <w:r w:rsidR="002B5A21" w:rsidRPr="00E56986">
        <w:rPr>
          <w:noProof/>
          <w:szCs w:val="22"/>
          <w:lang w:val="el-GR"/>
        </w:rPr>
        <w:t xml:space="preserve"> </w:t>
      </w:r>
      <w:r w:rsidR="002B5A21">
        <w:rPr>
          <w:noProof/>
          <w:szCs w:val="22"/>
          <w:lang w:val="en-US"/>
        </w:rPr>
        <w:t>Tillomed</w:t>
      </w:r>
      <w:r w:rsidR="002B5A21" w:rsidRPr="00E56986">
        <w:rPr>
          <w:noProof/>
          <w:szCs w:val="22"/>
          <w:lang w:val="el-GR"/>
        </w:rPr>
        <w:t xml:space="preserve"> </w:t>
      </w:r>
      <w:r w:rsidRPr="005D36F0">
        <w:rPr>
          <w:bCs/>
          <w:iCs/>
          <w:szCs w:val="22"/>
          <w:lang w:val="el-GR"/>
        </w:rPr>
        <w:t>σ</w:t>
      </w:r>
      <w:r>
        <w:rPr>
          <w:bCs/>
          <w:iCs/>
          <w:szCs w:val="22"/>
          <w:lang w:val="el-GR"/>
        </w:rPr>
        <w:t>τη</w:t>
      </w:r>
      <w:r w:rsidRPr="005D36F0">
        <w:rPr>
          <w:bCs/>
          <w:iCs/>
          <w:szCs w:val="22"/>
          <w:lang w:val="el-GR"/>
        </w:rPr>
        <w:t xml:space="preserve"> </w:t>
      </w:r>
      <w:r w:rsidR="005D36F0" w:rsidRPr="005D36F0">
        <w:rPr>
          <w:bCs/>
          <w:iCs/>
          <w:szCs w:val="22"/>
          <w:lang w:val="el-GR"/>
        </w:rPr>
        <w:t xml:space="preserve">συμβατική δόση, σπάνια </w:t>
      </w:r>
      <w:r>
        <w:rPr>
          <w:bCs/>
          <w:iCs/>
          <w:szCs w:val="22"/>
          <w:lang w:val="el-GR"/>
        </w:rPr>
        <w:t>ενδείκνυται</w:t>
      </w:r>
      <w:r w:rsidRPr="005D36F0">
        <w:rPr>
          <w:bCs/>
          <w:iCs/>
          <w:szCs w:val="22"/>
          <w:lang w:val="el-GR"/>
        </w:rPr>
        <w:t xml:space="preserve"> </w:t>
      </w:r>
      <w:r w:rsidR="005D36F0" w:rsidRPr="005D36F0">
        <w:rPr>
          <w:bCs/>
          <w:iCs/>
          <w:szCs w:val="22"/>
          <w:lang w:val="el-GR"/>
        </w:rPr>
        <w:t xml:space="preserve">σε παιδιατρικό πληθυσμό </w:t>
      </w:r>
      <w:r>
        <w:rPr>
          <w:bCs/>
          <w:iCs/>
          <w:szCs w:val="22"/>
          <w:lang w:val="el-GR"/>
        </w:rPr>
        <w:t xml:space="preserve">και </w:t>
      </w:r>
      <w:r w:rsidR="00B549ED">
        <w:rPr>
          <w:bCs/>
          <w:iCs/>
          <w:szCs w:val="22"/>
          <w:lang w:val="el-GR"/>
        </w:rPr>
        <w:t xml:space="preserve">κατευθυντήριες </w:t>
      </w:r>
      <w:r>
        <w:rPr>
          <w:bCs/>
          <w:iCs/>
          <w:szCs w:val="22"/>
          <w:lang w:val="el-GR"/>
        </w:rPr>
        <w:t xml:space="preserve">οδηγίες </w:t>
      </w:r>
      <w:r w:rsidR="002B5A21">
        <w:rPr>
          <w:bCs/>
          <w:iCs/>
          <w:szCs w:val="22"/>
          <w:lang w:val="el-GR"/>
        </w:rPr>
        <w:t>σχετικά με τη δόση</w:t>
      </w:r>
      <w:r w:rsidR="00B549ED">
        <w:rPr>
          <w:bCs/>
          <w:iCs/>
          <w:szCs w:val="22"/>
          <w:lang w:val="el-GR"/>
        </w:rPr>
        <w:t xml:space="preserve"> δεν μπορούν να </w:t>
      </w:r>
      <w:r w:rsidR="006E7875">
        <w:rPr>
          <w:bCs/>
          <w:iCs/>
          <w:szCs w:val="22"/>
          <w:lang w:val="el-GR"/>
        </w:rPr>
        <w:t>αναφερθούν</w:t>
      </w:r>
      <w:r w:rsidR="005D36F0" w:rsidRPr="005D36F0">
        <w:rPr>
          <w:bCs/>
          <w:iCs/>
          <w:szCs w:val="22"/>
          <w:lang w:val="el-GR"/>
        </w:rPr>
        <w:t>.</w:t>
      </w:r>
    </w:p>
    <w:p w14:paraId="4800B813" w14:textId="7E6CE924" w:rsidR="00B549ED" w:rsidRDefault="00B549ED" w:rsidP="005E025D">
      <w:pPr>
        <w:rPr>
          <w:bCs/>
          <w:iCs/>
          <w:szCs w:val="22"/>
          <w:lang w:val="el-GR"/>
        </w:rPr>
      </w:pPr>
      <w:r w:rsidRPr="00B549ED">
        <w:rPr>
          <w:bCs/>
          <w:iCs/>
          <w:szCs w:val="22"/>
          <w:lang w:val="el-GR"/>
        </w:rPr>
        <w:t>Υψηλ</w:t>
      </w:r>
      <w:r>
        <w:rPr>
          <w:bCs/>
          <w:iCs/>
          <w:szCs w:val="22"/>
          <w:lang w:val="el-GR"/>
        </w:rPr>
        <w:t xml:space="preserve">ή </w:t>
      </w:r>
      <w:r w:rsidRPr="00B549ED">
        <w:rPr>
          <w:bCs/>
          <w:iCs/>
          <w:szCs w:val="22"/>
          <w:lang w:val="el-GR"/>
        </w:rPr>
        <w:t>δόση</w:t>
      </w:r>
      <w:r>
        <w:rPr>
          <w:bCs/>
          <w:iCs/>
          <w:szCs w:val="22"/>
          <w:lang w:val="el-GR"/>
        </w:rPr>
        <w:t xml:space="preserve"> </w:t>
      </w:r>
      <w:proofErr w:type="spellStart"/>
      <w:r w:rsidR="00807C7D">
        <w:rPr>
          <w:bCs/>
          <w:iCs/>
          <w:szCs w:val="22"/>
          <w:lang w:val="el-GR"/>
        </w:rPr>
        <w:t>μελφαλάνης</w:t>
      </w:r>
      <w:proofErr w:type="spellEnd"/>
      <w:r w:rsidRPr="00B549ED">
        <w:rPr>
          <w:bCs/>
          <w:iCs/>
          <w:szCs w:val="22"/>
          <w:lang w:val="el-GR"/>
        </w:rPr>
        <w:t xml:space="preserve">, σε συνδυασμό </w:t>
      </w:r>
      <w:r w:rsidRPr="007E3849">
        <w:rPr>
          <w:bCs/>
          <w:iCs/>
          <w:color w:val="000000" w:themeColor="text1"/>
          <w:szCs w:val="22"/>
          <w:lang w:val="el-GR"/>
        </w:rPr>
        <w:t xml:space="preserve">με διάσωση αιμοποιητικών </w:t>
      </w:r>
      <w:proofErr w:type="spellStart"/>
      <w:r w:rsidRPr="007E3849">
        <w:rPr>
          <w:bCs/>
          <w:iCs/>
          <w:color w:val="000000" w:themeColor="text1"/>
          <w:szCs w:val="22"/>
          <w:lang w:val="el-GR"/>
        </w:rPr>
        <w:t>βλαστοκυττάρων</w:t>
      </w:r>
      <w:proofErr w:type="spellEnd"/>
      <w:r w:rsidRPr="007E3849">
        <w:rPr>
          <w:bCs/>
          <w:iCs/>
          <w:color w:val="000000" w:themeColor="text1"/>
          <w:szCs w:val="22"/>
          <w:lang w:val="el-GR"/>
        </w:rPr>
        <w:t xml:space="preserve">, έχει χρησιμοποιηθεί </w:t>
      </w:r>
      <w:r w:rsidR="00807C7D" w:rsidRPr="007E3849">
        <w:rPr>
          <w:bCs/>
          <w:iCs/>
          <w:color w:val="000000" w:themeColor="text1"/>
          <w:szCs w:val="22"/>
          <w:lang w:val="el-GR"/>
        </w:rPr>
        <w:t xml:space="preserve">σε παιδιατρικό </w:t>
      </w:r>
      <w:proofErr w:type="spellStart"/>
      <w:r w:rsidRPr="007E3849">
        <w:rPr>
          <w:bCs/>
          <w:iCs/>
          <w:color w:val="000000" w:themeColor="text1"/>
          <w:szCs w:val="22"/>
          <w:lang w:val="el-GR"/>
        </w:rPr>
        <w:t>νευροβλάστωμα</w:t>
      </w:r>
      <w:proofErr w:type="spellEnd"/>
      <w:r w:rsidRPr="007E3849">
        <w:rPr>
          <w:bCs/>
          <w:iCs/>
          <w:color w:val="000000" w:themeColor="text1"/>
          <w:szCs w:val="22"/>
          <w:lang w:val="el-GR"/>
        </w:rPr>
        <w:t xml:space="preserve"> και οι κατευθυντήριες </w:t>
      </w:r>
      <w:r w:rsidR="00807C7D" w:rsidRPr="007E3849">
        <w:rPr>
          <w:bCs/>
          <w:iCs/>
          <w:color w:val="000000" w:themeColor="text1"/>
          <w:szCs w:val="22"/>
          <w:lang w:val="el-GR"/>
        </w:rPr>
        <w:t xml:space="preserve">οδηγίες σχετικά με </w:t>
      </w:r>
      <w:r w:rsidR="00807C7D">
        <w:rPr>
          <w:bCs/>
          <w:iCs/>
          <w:szCs w:val="22"/>
          <w:lang w:val="el-GR"/>
        </w:rPr>
        <w:t xml:space="preserve">τη </w:t>
      </w:r>
      <w:r w:rsidRPr="00B549ED">
        <w:rPr>
          <w:bCs/>
          <w:iCs/>
          <w:szCs w:val="22"/>
          <w:lang w:val="el-GR"/>
        </w:rPr>
        <w:lastRenderedPageBreak/>
        <w:t>δόση</w:t>
      </w:r>
      <w:r w:rsidR="00807C7D">
        <w:rPr>
          <w:bCs/>
          <w:iCs/>
          <w:szCs w:val="22"/>
          <w:lang w:val="el-GR"/>
        </w:rPr>
        <w:t>,</w:t>
      </w:r>
      <w:r w:rsidRPr="00B549ED">
        <w:rPr>
          <w:bCs/>
          <w:iCs/>
          <w:szCs w:val="22"/>
          <w:lang w:val="el-GR"/>
        </w:rPr>
        <w:t xml:space="preserve"> με βάση το εμβαδόν της επιφάνειας του σώματος, όπως </w:t>
      </w:r>
      <w:r w:rsidR="00807C7D">
        <w:rPr>
          <w:bCs/>
          <w:iCs/>
          <w:szCs w:val="22"/>
          <w:lang w:val="el-GR"/>
        </w:rPr>
        <w:t>σ</w:t>
      </w:r>
      <w:r w:rsidR="002B5A21">
        <w:rPr>
          <w:bCs/>
          <w:iCs/>
          <w:szCs w:val="22"/>
          <w:lang w:val="el-GR"/>
        </w:rPr>
        <w:t>τ</w:t>
      </w:r>
      <w:r w:rsidRPr="00B549ED">
        <w:rPr>
          <w:bCs/>
          <w:iCs/>
          <w:szCs w:val="22"/>
          <w:lang w:val="el-GR"/>
        </w:rPr>
        <w:t>ους ενήλικες, μπορούν να χρησιμοποιηθούν.</w:t>
      </w:r>
    </w:p>
    <w:p w14:paraId="5EA2912F" w14:textId="77777777" w:rsidR="00B549ED" w:rsidRDefault="00B549ED" w:rsidP="00C002E7">
      <w:pPr>
        <w:rPr>
          <w:bCs/>
          <w:iCs/>
          <w:szCs w:val="22"/>
          <w:lang w:val="el-GR"/>
        </w:rPr>
      </w:pPr>
    </w:p>
    <w:p w14:paraId="1DA8A193" w14:textId="77777777" w:rsidR="007629A7" w:rsidRPr="001968D1" w:rsidRDefault="00B549ED" w:rsidP="00C002E7">
      <w:pPr>
        <w:rPr>
          <w:u w:val="single"/>
          <w:lang w:val="el-GR"/>
        </w:rPr>
      </w:pPr>
      <w:r>
        <w:rPr>
          <w:u w:val="single"/>
          <w:lang w:val="el-GR"/>
        </w:rPr>
        <w:t>Ηλικιωμένοι</w:t>
      </w:r>
    </w:p>
    <w:p w14:paraId="694B54A6" w14:textId="69B72780" w:rsidR="00B549ED" w:rsidRDefault="00B549ED" w:rsidP="00B549ED">
      <w:pPr>
        <w:rPr>
          <w:bCs/>
          <w:iCs/>
          <w:szCs w:val="22"/>
          <w:lang w:val="el-GR"/>
        </w:rPr>
      </w:pPr>
      <w:r>
        <w:rPr>
          <w:bCs/>
          <w:iCs/>
          <w:szCs w:val="22"/>
          <w:lang w:val="el-GR"/>
        </w:rPr>
        <w:t xml:space="preserve">Αν και η </w:t>
      </w:r>
      <w:proofErr w:type="spellStart"/>
      <w:r w:rsidR="00807C7D">
        <w:rPr>
          <w:bCs/>
          <w:iCs/>
          <w:szCs w:val="22"/>
          <w:lang w:val="el-GR"/>
        </w:rPr>
        <w:t>μελφαλάνη</w:t>
      </w:r>
      <w:proofErr w:type="spellEnd"/>
      <w:r>
        <w:rPr>
          <w:bCs/>
          <w:iCs/>
          <w:szCs w:val="22"/>
          <w:lang w:val="el-GR"/>
        </w:rPr>
        <w:t xml:space="preserve"> χρησιμοποιείται συχνά σε </w:t>
      </w:r>
      <w:r w:rsidRPr="00B549ED">
        <w:rPr>
          <w:bCs/>
          <w:iCs/>
          <w:szCs w:val="22"/>
          <w:lang w:val="el-GR"/>
        </w:rPr>
        <w:t>συμβατική δόση στους ηλικιωμ</w:t>
      </w:r>
      <w:r>
        <w:rPr>
          <w:bCs/>
          <w:iCs/>
          <w:szCs w:val="22"/>
          <w:lang w:val="el-GR"/>
        </w:rPr>
        <w:t xml:space="preserve">ένους, δεν </w:t>
      </w:r>
      <w:r w:rsidR="00807C7D">
        <w:rPr>
          <w:bCs/>
          <w:iCs/>
          <w:szCs w:val="22"/>
          <w:lang w:val="el-GR"/>
        </w:rPr>
        <w:t xml:space="preserve">υπάρχουν διαθέσιμα στοιχεία που να σχετίζονται </w:t>
      </w:r>
      <w:r>
        <w:rPr>
          <w:bCs/>
          <w:iCs/>
          <w:szCs w:val="22"/>
          <w:lang w:val="el-GR"/>
        </w:rPr>
        <w:t>με τη χορήγησή τ</w:t>
      </w:r>
      <w:r w:rsidR="006E7875">
        <w:rPr>
          <w:bCs/>
          <w:iCs/>
          <w:szCs w:val="22"/>
          <w:lang w:val="el-GR"/>
        </w:rPr>
        <w:t>ης</w:t>
      </w:r>
      <w:r>
        <w:rPr>
          <w:bCs/>
          <w:iCs/>
          <w:szCs w:val="22"/>
          <w:lang w:val="el-GR"/>
        </w:rPr>
        <w:t xml:space="preserve"> σε αυτή την </w:t>
      </w:r>
      <w:r w:rsidRPr="00B549ED">
        <w:rPr>
          <w:bCs/>
          <w:iCs/>
          <w:szCs w:val="22"/>
          <w:lang w:val="el-GR"/>
        </w:rPr>
        <w:t>υποομάδα</w:t>
      </w:r>
      <w:r w:rsidR="00807C7D" w:rsidRPr="00807C7D">
        <w:rPr>
          <w:bCs/>
          <w:iCs/>
          <w:szCs w:val="22"/>
          <w:lang w:val="el-GR"/>
        </w:rPr>
        <w:t xml:space="preserve"> </w:t>
      </w:r>
      <w:r w:rsidR="00807C7D">
        <w:rPr>
          <w:bCs/>
          <w:iCs/>
          <w:szCs w:val="22"/>
          <w:lang w:val="el-GR"/>
        </w:rPr>
        <w:t xml:space="preserve">των </w:t>
      </w:r>
      <w:r w:rsidR="00807C7D" w:rsidRPr="00B549ED">
        <w:rPr>
          <w:bCs/>
          <w:iCs/>
          <w:szCs w:val="22"/>
          <w:lang w:val="el-GR"/>
        </w:rPr>
        <w:t>ασθεν</w:t>
      </w:r>
      <w:r w:rsidR="00807C7D">
        <w:rPr>
          <w:bCs/>
          <w:iCs/>
          <w:szCs w:val="22"/>
          <w:lang w:val="el-GR"/>
        </w:rPr>
        <w:t>ών</w:t>
      </w:r>
      <w:r w:rsidRPr="00B549ED">
        <w:rPr>
          <w:bCs/>
          <w:iCs/>
          <w:szCs w:val="22"/>
          <w:lang w:val="el-GR"/>
        </w:rPr>
        <w:t>.</w:t>
      </w:r>
    </w:p>
    <w:p w14:paraId="09FB52C1" w14:textId="65F92447" w:rsidR="00B549ED" w:rsidRPr="00B549ED" w:rsidRDefault="00B549ED" w:rsidP="00B549ED">
      <w:pPr>
        <w:rPr>
          <w:bCs/>
          <w:iCs/>
          <w:szCs w:val="22"/>
          <w:lang w:val="el-GR"/>
        </w:rPr>
      </w:pPr>
      <w:r w:rsidRPr="00B549ED">
        <w:rPr>
          <w:bCs/>
          <w:iCs/>
          <w:szCs w:val="22"/>
          <w:lang w:val="el-GR"/>
        </w:rPr>
        <w:t>Η εμ</w:t>
      </w:r>
      <w:r>
        <w:rPr>
          <w:bCs/>
          <w:iCs/>
          <w:szCs w:val="22"/>
          <w:lang w:val="el-GR"/>
        </w:rPr>
        <w:t xml:space="preserve">πειρία </w:t>
      </w:r>
      <w:r w:rsidR="00807C7D">
        <w:rPr>
          <w:bCs/>
          <w:iCs/>
          <w:szCs w:val="22"/>
          <w:lang w:val="el-GR"/>
        </w:rPr>
        <w:t xml:space="preserve">με τη </w:t>
      </w:r>
      <w:r>
        <w:rPr>
          <w:bCs/>
          <w:iCs/>
          <w:szCs w:val="22"/>
          <w:lang w:val="el-GR"/>
        </w:rPr>
        <w:t xml:space="preserve">χρήση </w:t>
      </w:r>
      <w:r w:rsidR="00807C7D" w:rsidRPr="00B549ED">
        <w:rPr>
          <w:bCs/>
          <w:iCs/>
          <w:szCs w:val="22"/>
          <w:lang w:val="el-GR"/>
        </w:rPr>
        <w:t>υψηλ</w:t>
      </w:r>
      <w:r w:rsidR="00807C7D">
        <w:rPr>
          <w:bCs/>
          <w:iCs/>
          <w:szCs w:val="22"/>
          <w:lang w:val="el-GR"/>
        </w:rPr>
        <w:t>ών</w:t>
      </w:r>
      <w:r w:rsidR="00807C7D" w:rsidRPr="00B549ED">
        <w:rPr>
          <w:bCs/>
          <w:iCs/>
          <w:szCs w:val="22"/>
          <w:lang w:val="el-GR"/>
        </w:rPr>
        <w:t xml:space="preserve"> δόσ</w:t>
      </w:r>
      <w:r w:rsidR="00807C7D">
        <w:rPr>
          <w:bCs/>
          <w:iCs/>
          <w:szCs w:val="22"/>
          <w:lang w:val="el-GR"/>
        </w:rPr>
        <w:t xml:space="preserve">εων </w:t>
      </w:r>
      <w:proofErr w:type="spellStart"/>
      <w:r w:rsidR="00807C7D">
        <w:rPr>
          <w:bCs/>
          <w:iCs/>
          <w:szCs w:val="22"/>
          <w:lang w:val="el-GR"/>
        </w:rPr>
        <w:t>μελφαλάνης</w:t>
      </w:r>
      <w:proofErr w:type="spellEnd"/>
      <w:r w:rsidR="00807C7D" w:rsidRPr="00B549ED">
        <w:rPr>
          <w:bCs/>
          <w:iCs/>
          <w:szCs w:val="22"/>
          <w:lang w:val="el-GR"/>
        </w:rPr>
        <w:t xml:space="preserve"> </w:t>
      </w:r>
      <w:r w:rsidRPr="00B549ED">
        <w:rPr>
          <w:bCs/>
          <w:iCs/>
          <w:szCs w:val="22"/>
          <w:lang w:val="el-GR"/>
        </w:rPr>
        <w:t>σε ηλικιωμένους ασθενείς είναι περιορισμένη</w:t>
      </w:r>
      <w:r w:rsidR="003D37FF" w:rsidRPr="003D37FF">
        <w:rPr>
          <w:noProof/>
          <w:lang w:val="el-GR"/>
        </w:rPr>
        <w:t xml:space="preserve">. </w:t>
      </w:r>
      <w:r w:rsidR="003D37FF">
        <w:rPr>
          <w:noProof/>
          <w:lang w:val="el-GR"/>
        </w:rPr>
        <w:t>Θα</w:t>
      </w:r>
      <w:r w:rsidR="003D37FF" w:rsidRPr="003E4140">
        <w:rPr>
          <w:noProof/>
          <w:lang w:val="el-GR"/>
        </w:rPr>
        <w:t xml:space="preserve"> </w:t>
      </w:r>
      <w:r w:rsidR="003D37FF">
        <w:rPr>
          <w:noProof/>
          <w:lang w:val="el-GR"/>
        </w:rPr>
        <w:t>πρέπει</w:t>
      </w:r>
      <w:r w:rsidR="003D37FF" w:rsidRPr="003E4140">
        <w:rPr>
          <w:noProof/>
          <w:lang w:val="el-GR"/>
        </w:rPr>
        <w:t xml:space="preserve"> </w:t>
      </w:r>
      <w:r w:rsidR="003D37FF">
        <w:rPr>
          <w:noProof/>
          <w:lang w:val="el-GR"/>
        </w:rPr>
        <w:t>να</w:t>
      </w:r>
      <w:r w:rsidR="003D37FF" w:rsidRPr="003E4140">
        <w:rPr>
          <w:noProof/>
          <w:lang w:val="el-GR"/>
        </w:rPr>
        <w:t xml:space="preserve"> </w:t>
      </w:r>
      <w:r w:rsidR="003D37FF">
        <w:rPr>
          <w:noProof/>
          <w:lang w:val="el-GR"/>
        </w:rPr>
        <w:t>λαμβάνεται</w:t>
      </w:r>
      <w:r w:rsidR="003D37FF" w:rsidRPr="003E4140">
        <w:rPr>
          <w:noProof/>
          <w:lang w:val="el-GR"/>
        </w:rPr>
        <w:t xml:space="preserve"> </w:t>
      </w:r>
      <w:r w:rsidR="003D37FF">
        <w:rPr>
          <w:noProof/>
          <w:lang w:val="el-GR"/>
        </w:rPr>
        <w:t>υπόψη</w:t>
      </w:r>
      <w:r w:rsidR="003D37FF" w:rsidRPr="003E4140">
        <w:rPr>
          <w:noProof/>
          <w:lang w:val="el-GR"/>
        </w:rPr>
        <w:t xml:space="preserve"> </w:t>
      </w:r>
      <w:r w:rsidR="003D37FF">
        <w:rPr>
          <w:noProof/>
          <w:lang w:val="el-GR"/>
        </w:rPr>
        <w:t>η</w:t>
      </w:r>
      <w:r w:rsidR="003D37FF" w:rsidRPr="003E4140">
        <w:rPr>
          <w:noProof/>
          <w:lang w:val="el-GR"/>
        </w:rPr>
        <w:t xml:space="preserve"> </w:t>
      </w:r>
      <w:r w:rsidR="003D37FF">
        <w:rPr>
          <w:noProof/>
          <w:lang w:val="el-GR"/>
        </w:rPr>
        <w:t>διασφάλιση</w:t>
      </w:r>
      <w:r w:rsidR="003D37FF" w:rsidRPr="003E4140">
        <w:rPr>
          <w:noProof/>
          <w:lang w:val="el-GR"/>
        </w:rPr>
        <w:t xml:space="preserve"> </w:t>
      </w:r>
      <w:r w:rsidR="003D37FF">
        <w:rPr>
          <w:noProof/>
          <w:lang w:val="el-GR"/>
        </w:rPr>
        <w:t>ικανοποιητικής</w:t>
      </w:r>
      <w:r w:rsidR="003D37FF" w:rsidRPr="003E4140">
        <w:rPr>
          <w:noProof/>
          <w:lang w:val="el-GR"/>
        </w:rPr>
        <w:t xml:space="preserve"> </w:t>
      </w:r>
      <w:r w:rsidR="003D37FF">
        <w:rPr>
          <w:noProof/>
          <w:lang w:val="el-GR"/>
        </w:rPr>
        <w:t>κατάστασης</w:t>
      </w:r>
      <w:r w:rsidR="003D37FF" w:rsidRPr="003E4140">
        <w:rPr>
          <w:noProof/>
          <w:lang w:val="el-GR"/>
        </w:rPr>
        <w:t xml:space="preserve"> </w:t>
      </w:r>
      <w:r w:rsidR="003D37FF">
        <w:rPr>
          <w:noProof/>
          <w:lang w:val="el-GR"/>
        </w:rPr>
        <w:t>του</w:t>
      </w:r>
      <w:r w:rsidR="003D37FF" w:rsidRPr="003E4140">
        <w:rPr>
          <w:noProof/>
          <w:lang w:val="el-GR"/>
        </w:rPr>
        <w:t xml:space="preserve"> </w:t>
      </w:r>
      <w:r w:rsidR="003D37FF">
        <w:rPr>
          <w:noProof/>
          <w:lang w:val="el-GR"/>
        </w:rPr>
        <w:t>οργανισμού</w:t>
      </w:r>
      <w:r w:rsidR="003D37FF" w:rsidRPr="003E4140">
        <w:rPr>
          <w:noProof/>
          <w:lang w:val="el-GR"/>
        </w:rPr>
        <w:t xml:space="preserve"> </w:t>
      </w:r>
      <w:r w:rsidR="003D37FF">
        <w:rPr>
          <w:noProof/>
          <w:lang w:val="el-GR"/>
        </w:rPr>
        <w:t>και</w:t>
      </w:r>
      <w:r w:rsidR="003D37FF" w:rsidRPr="003E4140">
        <w:rPr>
          <w:noProof/>
          <w:lang w:val="el-GR"/>
        </w:rPr>
        <w:t xml:space="preserve"> </w:t>
      </w:r>
      <w:r w:rsidR="003D37FF">
        <w:rPr>
          <w:noProof/>
          <w:lang w:val="el-GR"/>
        </w:rPr>
        <w:t>λειτουργίας</w:t>
      </w:r>
      <w:r w:rsidR="003D37FF" w:rsidRPr="003E4140">
        <w:rPr>
          <w:noProof/>
          <w:lang w:val="el-GR"/>
        </w:rPr>
        <w:t xml:space="preserve"> </w:t>
      </w:r>
      <w:r w:rsidR="003D37FF">
        <w:rPr>
          <w:noProof/>
          <w:lang w:val="el-GR"/>
        </w:rPr>
        <w:t>των</w:t>
      </w:r>
      <w:r w:rsidR="003D37FF" w:rsidRPr="003E4140">
        <w:rPr>
          <w:noProof/>
          <w:lang w:val="el-GR"/>
        </w:rPr>
        <w:t xml:space="preserve"> </w:t>
      </w:r>
      <w:r w:rsidR="003D37FF">
        <w:rPr>
          <w:noProof/>
          <w:lang w:val="el-GR"/>
        </w:rPr>
        <w:t>οργάνων</w:t>
      </w:r>
      <w:r>
        <w:rPr>
          <w:bCs/>
          <w:iCs/>
          <w:szCs w:val="22"/>
          <w:lang w:val="el-GR"/>
        </w:rPr>
        <w:t xml:space="preserve">, πριν από τη </w:t>
      </w:r>
      <w:r w:rsidR="00807C7D">
        <w:rPr>
          <w:bCs/>
          <w:iCs/>
          <w:szCs w:val="22"/>
          <w:lang w:val="el-GR"/>
        </w:rPr>
        <w:t xml:space="preserve">χορήγηση </w:t>
      </w:r>
      <w:r>
        <w:rPr>
          <w:bCs/>
          <w:iCs/>
          <w:szCs w:val="22"/>
          <w:lang w:val="el-GR"/>
        </w:rPr>
        <w:t xml:space="preserve">υψηλής δόσης </w:t>
      </w:r>
      <w:proofErr w:type="spellStart"/>
      <w:r w:rsidR="00807C7D">
        <w:rPr>
          <w:bCs/>
          <w:iCs/>
          <w:szCs w:val="22"/>
          <w:lang w:val="el-GR"/>
        </w:rPr>
        <w:t>μελφαλάνης</w:t>
      </w:r>
      <w:proofErr w:type="spellEnd"/>
      <w:r>
        <w:rPr>
          <w:bCs/>
          <w:iCs/>
          <w:szCs w:val="22"/>
          <w:lang w:val="el-GR"/>
        </w:rPr>
        <w:t xml:space="preserve"> </w:t>
      </w:r>
      <w:r w:rsidRPr="00B549ED">
        <w:rPr>
          <w:bCs/>
          <w:iCs/>
          <w:szCs w:val="22"/>
          <w:lang w:val="el-GR"/>
        </w:rPr>
        <w:t>σε ηλικιωμένους ασθενείς.</w:t>
      </w:r>
    </w:p>
    <w:p w14:paraId="09A25F8D" w14:textId="305F0B6C" w:rsidR="005E025D" w:rsidRPr="00B549ED" w:rsidRDefault="00B549ED" w:rsidP="005E025D">
      <w:pPr>
        <w:rPr>
          <w:bCs/>
          <w:iCs/>
          <w:szCs w:val="22"/>
          <w:lang w:val="el-GR"/>
        </w:rPr>
      </w:pPr>
      <w:r>
        <w:rPr>
          <w:bCs/>
          <w:iCs/>
          <w:szCs w:val="22"/>
          <w:u w:val="single"/>
          <w:lang w:val="el-GR"/>
        </w:rPr>
        <w:t xml:space="preserve">Νεφρική </w:t>
      </w:r>
      <w:r w:rsidR="006E7875">
        <w:rPr>
          <w:bCs/>
          <w:iCs/>
          <w:szCs w:val="22"/>
          <w:u w:val="single"/>
          <w:lang w:val="el-GR"/>
        </w:rPr>
        <w:t>δυσλειτουργία</w:t>
      </w:r>
    </w:p>
    <w:p w14:paraId="353868DC" w14:textId="2DF5BB54" w:rsidR="00B549ED" w:rsidRPr="00E56986" w:rsidRDefault="00B45DAB" w:rsidP="005E025D">
      <w:pPr>
        <w:rPr>
          <w:bCs/>
          <w:iCs/>
          <w:szCs w:val="22"/>
          <w:highlight w:val="yellow"/>
          <w:lang w:val="el-GR"/>
        </w:rPr>
      </w:pPr>
      <w:r>
        <w:rPr>
          <w:bCs/>
          <w:iCs/>
          <w:szCs w:val="22"/>
          <w:lang w:val="el-GR"/>
        </w:rPr>
        <w:t xml:space="preserve">Η </w:t>
      </w:r>
      <w:r w:rsidRPr="00B549ED">
        <w:rPr>
          <w:bCs/>
          <w:iCs/>
          <w:szCs w:val="22"/>
          <w:lang w:val="el-GR"/>
        </w:rPr>
        <w:t>κάθαρση</w:t>
      </w:r>
      <w:r w:rsidRPr="00E56986" w:rsidDel="00AB50D7">
        <w:rPr>
          <w:bCs/>
          <w:iCs/>
          <w:szCs w:val="22"/>
          <w:lang w:val="el-GR"/>
        </w:rPr>
        <w:t xml:space="preserve"> </w:t>
      </w:r>
      <w:r>
        <w:rPr>
          <w:bCs/>
          <w:iCs/>
          <w:szCs w:val="22"/>
          <w:lang w:val="el-GR"/>
        </w:rPr>
        <w:t xml:space="preserve">του </w:t>
      </w:r>
      <w:r w:rsidR="002B5A21">
        <w:rPr>
          <w:noProof/>
          <w:szCs w:val="22"/>
          <w:lang w:val="en-US"/>
        </w:rPr>
        <w:t>Melphalan</w:t>
      </w:r>
      <w:r w:rsidR="002B5A21" w:rsidRPr="00E56986">
        <w:rPr>
          <w:noProof/>
          <w:szCs w:val="22"/>
          <w:lang w:val="el-GR"/>
        </w:rPr>
        <w:t xml:space="preserve"> </w:t>
      </w:r>
      <w:r w:rsidR="002B5A21">
        <w:rPr>
          <w:noProof/>
          <w:szCs w:val="22"/>
          <w:lang w:val="en-US"/>
        </w:rPr>
        <w:t>Tillomed</w:t>
      </w:r>
      <w:r w:rsidR="00B549ED" w:rsidRPr="00B549ED">
        <w:rPr>
          <w:bCs/>
          <w:iCs/>
          <w:szCs w:val="22"/>
          <w:lang w:val="el-GR"/>
        </w:rPr>
        <w:t xml:space="preserve"> αν και μεταβλητή, </w:t>
      </w:r>
      <w:r w:rsidR="00B549ED" w:rsidRPr="002B5A21">
        <w:rPr>
          <w:bCs/>
          <w:iCs/>
          <w:szCs w:val="22"/>
          <w:lang w:val="el-GR"/>
        </w:rPr>
        <w:t xml:space="preserve">μπορεί να μειωθεί σε νεφρική </w:t>
      </w:r>
      <w:r w:rsidR="006E7875">
        <w:rPr>
          <w:bCs/>
          <w:iCs/>
          <w:szCs w:val="22"/>
          <w:lang w:val="el-GR"/>
        </w:rPr>
        <w:t>δυσλειτουργία</w:t>
      </w:r>
      <w:r w:rsidR="00B549ED" w:rsidRPr="002B5A21">
        <w:rPr>
          <w:bCs/>
          <w:iCs/>
          <w:szCs w:val="22"/>
          <w:lang w:val="el-GR"/>
        </w:rPr>
        <w:t>.</w:t>
      </w:r>
    </w:p>
    <w:p w14:paraId="501B8215" w14:textId="0F81C384" w:rsidR="00793CE9" w:rsidRPr="00793CE9" w:rsidRDefault="00793CE9" w:rsidP="005E025D">
      <w:pPr>
        <w:rPr>
          <w:bCs/>
          <w:iCs/>
          <w:szCs w:val="22"/>
          <w:lang w:val="el-GR"/>
        </w:rPr>
      </w:pPr>
      <w:r w:rsidRPr="002B5A21">
        <w:rPr>
          <w:bCs/>
          <w:iCs/>
          <w:szCs w:val="22"/>
          <w:lang w:val="el-GR"/>
        </w:rPr>
        <w:t xml:space="preserve">Όταν </w:t>
      </w:r>
      <w:r w:rsidR="00B45DAB" w:rsidRPr="002B5A21">
        <w:rPr>
          <w:bCs/>
          <w:iCs/>
          <w:szCs w:val="22"/>
          <w:lang w:val="el-GR"/>
        </w:rPr>
        <w:t>το</w:t>
      </w:r>
      <w:r w:rsidR="00B45DAB">
        <w:rPr>
          <w:bCs/>
          <w:iCs/>
          <w:szCs w:val="22"/>
          <w:lang w:val="el-GR"/>
        </w:rPr>
        <w:t xml:space="preserve"> </w:t>
      </w:r>
      <w:r w:rsidR="002B5A21">
        <w:rPr>
          <w:noProof/>
          <w:szCs w:val="22"/>
          <w:lang w:val="en-US"/>
        </w:rPr>
        <w:t>Melphalan</w:t>
      </w:r>
      <w:r w:rsidR="002B5A21" w:rsidRPr="00E56986">
        <w:rPr>
          <w:noProof/>
          <w:szCs w:val="22"/>
          <w:lang w:val="el-GR"/>
        </w:rPr>
        <w:t xml:space="preserve"> </w:t>
      </w:r>
      <w:r w:rsidR="002B5A21">
        <w:rPr>
          <w:noProof/>
          <w:szCs w:val="22"/>
          <w:lang w:val="en-US"/>
        </w:rPr>
        <w:t>Tillomed</w:t>
      </w:r>
      <w:r w:rsidR="002B5A21" w:rsidRPr="00E56986">
        <w:rPr>
          <w:noProof/>
          <w:szCs w:val="22"/>
          <w:lang w:val="el-GR"/>
        </w:rPr>
        <w:t xml:space="preserve"> </w:t>
      </w:r>
      <w:r w:rsidRPr="00793CE9">
        <w:rPr>
          <w:bCs/>
          <w:iCs/>
          <w:szCs w:val="22"/>
          <w:lang w:val="el-GR"/>
        </w:rPr>
        <w:t xml:space="preserve">χρησιμοποιείται σε συμβατική ενδοφλέβια δόση (16-40 </w:t>
      </w:r>
      <w:r w:rsidRPr="00793CE9">
        <w:rPr>
          <w:bCs/>
          <w:iCs/>
          <w:szCs w:val="22"/>
          <w:lang w:val="en-US"/>
        </w:rPr>
        <w:t>mg</w:t>
      </w:r>
      <w:r w:rsidRPr="00793CE9">
        <w:rPr>
          <w:bCs/>
          <w:iCs/>
          <w:szCs w:val="22"/>
          <w:lang w:val="el-GR"/>
        </w:rPr>
        <w:t xml:space="preserve"> / </w:t>
      </w:r>
      <w:r w:rsidRPr="00793CE9">
        <w:rPr>
          <w:bCs/>
          <w:iCs/>
          <w:szCs w:val="22"/>
          <w:lang w:val="en-US"/>
        </w:rPr>
        <w:t>m</w:t>
      </w:r>
      <w:r w:rsidRPr="00E56986">
        <w:rPr>
          <w:bCs/>
          <w:iCs/>
          <w:szCs w:val="22"/>
          <w:vertAlign w:val="superscript"/>
          <w:lang w:val="el-GR"/>
        </w:rPr>
        <w:t>2</w:t>
      </w:r>
      <w:r>
        <w:rPr>
          <w:bCs/>
          <w:iCs/>
          <w:szCs w:val="22"/>
          <w:lang w:val="el-GR"/>
        </w:rPr>
        <w:t xml:space="preserve"> επιφανείας σώματος), συν</w:t>
      </w:r>
      <w:r w:rsidR="006E7875">
        <w:rPr>
          <w:bCs/>
          <w:iCs/>
          <w:szCs w:val="22"/>
          <w:lang w:val="el-GR"/>
        </w:rPr>
        <w:t>ι</w:t>
      </w:r>
      <w:r>
        <w:rPr>
          <w:bCs/>
          <w:iCs/>
          <w:szCs w:val="22"/>
          <w:lang w:val="el-GR"/>
        </w:rPr>
        <w:t>στ</w:t>
      </w:r>
      <w:r w:rsidR="006E7875">
        <w:rPr>
          <w:bCs/>
          <w:iCs/>
          <w:szCs w:val="22"/>
          <w:lang w:val="el-GR"/>
        </w:rPr>
        <w:t>ά</w:t>
      </w:r>
      <w:r w:rsidRPr="00793CE9">
        <w:rPr>
          <w:bCs/>
          <w:iCs/>
          <w:szCs w:val="22"/>
          <w:lang w:val="el-GR"/>
        </w:rPr>
        <w:t xml:space="preserve">ται η αρχική δόση </w:t>
      </w:r>
      <w:r w:rsidR="00B45DAB">
        <w:rPr>
          <w:bCs/>
          <w:iCs/>
          <w:szCs w:val="22"/>
          <w:lang w:val="el-GR"/>
        </w:rPr>
        <w:t>να είναι μειωμένη</w:t>
      </w:r>
      <w:r>
        <w:rPr>
          <w:bCs/>
          <w:iCs/>
          <w:szCs w:val="22"/>
          <w:lang w:val="el-GR"/>
        </w:rPr>
        <w:t xml:space="preserve"> κατά 50% και η </w:t>
      </w:r>
      <w:r w:rsidRPr="00793CE9">
        <w:rPr>
          <w:bCs/>
          <w:iCs/>
          <w:szCs w:val="22"/>
          <w:lang w:val="el-GR"/>
        </w:rPr>
        <w:t xml:space="preserve">επακόλουθη δόση </w:t>
      </w:r>
      <w:r w:rsidR="00B45DAB">
        <w:rPr>
          <w:bCs/>
          <w:iCs/>
          <w:szCs w:val="22"/>
          <w:lang w:val="el-GR"/>
        </w:rPr>
        <w:t xml:space="preserve">να </w:t>
      </w:r>
      <w:r w:rsidRPr="00793CE9">
        <w:rPr>
          <w:bCs/>
          <w:iCs/>
          <w:szCs w:val="22"/>
          <w:lang w:val="el-GR"/>
        </w:rPr>
        <w:t>καθορίζεται ανάλογα με το βαθμό της αιματολογικής καταστολής.</w:t>
      </w:r>
    </w:p>
    <w:p w14:paraId="4A5A4861" w14:textId="1A18FC17" w:rsidR="00793CE9" w:rsidRPr="007E3849" w:rsidRDefault="002B5A21" w:rsidP="00793CE9">
      <w:pPr>
        <w:rPr>
          <w:bCs/>
          <w:iCs/>
          <w:color w:val="000000" w:themeColor="text1"/>
          <w:szCs w:val="22"/>
          <w:lang w:val="el-GR"/>
        </w:rPr>
      </w:pPr>
      <w:r>
        <w:rPr>
          <w:bCs/>
          <w:iCs/>
          <w:szCs w:val="22"/>
          <w:lang w:val="el-GR"/>
        </w:rPr>
        <w:t>Σε</w:t>
      </w:r>
      <w:r w:rsidR="00793CE9">
        <w:rPr>
          <w:bCs/>
          <w:iCs/>
          <w:szCs w:val="22"/>
          <w:lang w:val="el-GR"/>
        </w:rPr>
        <w:t xml:space="preserve"> υψηλές ενδοφλέβιες δόσεις</w:t>
      </w:r>
      <w:r>
        <w:rPr>
          <w:bCs/>
          <w:iCs/>
          <w:szCs w:val="22"/>
          <w:lang w:val="el-GR"/>
        </w:rPr>
        <w:t>,</w:t>
      </w:r>
      <w:r w:rsidR="00793CE9">
        <w:rPr>
          <w:bCs/>
          <w:iCs/>
          <w:szCs w:val="22"/>
          <w:lang w:val="el-GR"/>
        </w:rPr>
        <w:t xml:space="preserve"> </w:t>
      </w:r>
      <w:r w:rsidR="00B45DAB">
        <w:rPr>
          <w:bCs/>
          <w:iCs/>
          <w:szCs w:val="22"/>
          <w:lang w:val="el-GR"/>
        </w:rPr>
        <w:t>το</w:t>
      </w:r>
      <w:r w:rsidR="006E7875">
        <w:rPr>
          <w:bCs/>
          <w:iCs/>
          <w:szCs w:val="22"/>
          <w:lang w:val="el-GR"/>
        </w:rPr>
        <w:t>υ</w:t>
      </w:r>
      <w:r w:rsidR="00B45DAB">
        <w:rPr>
          <w:bCs/>
          <w:iCs/>
          <w:szCs w:val="22"/>
          <w:lang w:val="el-GR"/>
        </w:rPr>
        <w:t xml:space="preserve"> </w:t>
      </w:r>
      <w:r>
        <w:rPr>
          <w:noProof/>
          <w:szCs w:val="22"/>
          <w:lang w:val="en-US"/>
        </w:rPr>
        <w:t>Melphalan</w:t>
      </w:r>
      <w:r w:rsidRPr="00E56986">
        <w:rPr>
          <w:noProof/>
          <w:szCs w:val="22"/>
          <w:lang w:val="el-GR"/>
        </w:rPr>
        <w:t xml:space="preserve"> </w:t>
      </w:r>
      <w:r>
        <w:rPr>
          <w:noProof/>
          <w:szCs w:val="22"/>
          <w:lang w:val="en-US"/>
        </w:rPr>
        <w:t>Tillomed</w:t>
      </w:r>
      <w:r w:rsidRPr="00E56986">
        <w:rPr>
          <w:noProof/>
          <w:szCs w:val="22"/>
          <w:lang w:val="el-GR"/>
        </w:rPr>
        <w:t xml:space="preserve"> </w:t>
      </w:r>
      <w:r w:rsidR="00793CE9" w:rsidRPr="00793CE9">
        <w:rPr>
          <w:bCs/>
          <w:iCs/>
          <w:szCs w:val="22"/>
          <w:lang w:val="el-GR"/>
        </w:rPr>
        <w:t xml:space="preserve">(100 έως 240 </w:t>
      </w:r>
      <w:r w:rsidR="00793CE9" w:rsidRPr="00793CE9">
        <w:rPr>
          <w:bCs/>
          <w:iCs/>
          <w:szCs w:val="22"/>
          <w:lang w:val="en-US"/>
        </w:rPr>
        <w:t>mg</w:t>
      </w:r>
      <w:r w:rsidR="00793CE9" w:rsidRPr="00793CE9">
        <w:rPr>
          <w:bCs/>
          <w:iCs/>
          <w:szCs w:val="22"/>
          <w:lang w:val="el-GR"/>
        </w:rPr>
        <w:t xml:space="preserve"> / </w:t>
      </w:r>
      <w:r w:rsidR="00793CE9" w:rsidRPr="00793CE9">
        <w:rPr>
          <w:bCs/>
          <w:iCs/>
          <w:szCs w:val="22"/>
          <w:lang w:val="en-US"/>
        </w:rPr>
        <w:t>m</w:t>
      </w:r>
      <w:r w:rsidR="00793CE9" w:rsidRPr="00E56986">
        <w:rPr>
          <w:bCs/>
          <w:iCs/>
          <w:szCs w:val="22"/>
          <w:vertAlign w:val="superscript"/>
          <w:lang w:val="el-GR"/>
        </w:rPr>
        <w:t>2</w:t>
      </w:r>
      <w:r w:rsidR="00793CE9" w:rsidRPr="00793CE9">
        <w:rPr>
          <w:bCs/>
          <w:iCs/>
          <w:szCs w:val="22"/>
          <w:lang w:val="el-GR"/>
        </w:rPr>
        <w:t xml:space="preserve"> επιφανείας σώματος), η ανάγκη μείωση</w:t>
      </w:r>
      <w:r w:rsidR="00B45DAB">
        <w:rPr>
          <w:bCs/>
          <w:iCs/>
          <w:szCs w:val="22"/>
          <w:lang w:val="el-GR"/>
        </w:rPr>
        <w:t>ς</w:t>
      </w:r>
      <w:r w:rsidR="00793CE9" w:rsidRPr="00793CE9">
        <w:rPr>
          <w:bCs/>
          <w:iCs/>
          <w:szCs w:val="22"/>
          <w:lang w:val="el-GR"/>
        </w:rPr>
        <w:t xml:space="preserve"> της δόσης εξαρτάται από το βαθμό της νεφρικής δυσλειτουργίας, </w:t>
      </w:r>
      <w:r w:rsidR="00B45DAB">
        <w:rPr>
          <w:bCs/>
          <w:iCs/>
          <w:szCs w:val="22"/>
          <w:lang w:val="el-GR"/>
        </w:rPr>
        <w:t xml:space="preserve">της  </w:t>
      </w:r>
      <w:proofErr w:type="spellStart"/>
      <w:r w:rsidR="00B45DAB" w:rsidRPr="00793CE9">
        <w:rPr>
          <w:bCs/>
          <w:iCs/>
          <w:szCs w:val="22"/>
          <w:lang w:val="el-GR"/>
        </w:rPr>
        <w:t>επανα</w:t>
      </w:r>
      <w:proofErr w:type="spellEnd"/>
      <w:r w:rsidR="00B45DAB" w:rsidRPr="00793CE9">
        <w:rPr>
          <w:bCs/>
          <w:iCs/>
          <w:szCs w:val="22"/>
          <w:lang w:val="el-GR"/>
        </w:rPr>
        <w:t>-</w:t>
      </w:r>
      <w:r w:rsidR="00B45DAB">
        <w:rPr>
          <w:bCs/>
          <w:iCs/>
          <w:szCs w:val="22"/>
          <w:lang w:val="el-GR"/>
        </w:rPr>
        <w:t>έγχυσης των</w:t>
      </w:r>
      <w:r w:rsidR="00B45DAB" w:rsidRPr="00793CE9">
        <w:rPr>
          <w:bCs/>
          <w:iCs/>
          <w:szCs w:val="22"/>
          <w:lang w:val="el-GR"/>
        </w:rPr>
        <w:t xml:space="preserve"> αιμοποιητικ</w:t>
      </w:r>
      <w:r w:rsidR="00B45DAB">
        <w:rPr>
          <w:bCs/>
          <w:iCs/>
          <w:szCs w:val="22"/>
          <w:lang w:val="el-GR"/>
        </w:rPr>
        <w:t>ών</w:t>
      </w:r>
      <w:r w:rsidR="00B45DAB" w:rsidRPr="00793CE9">
        <w:rPr>
          <w:bCs/>
          <w:iCs/>
          <w:szCs w:val="22"/>
          <w:lang w:val="el-GR"/>
        </w:rPr>
        <w:t xml:space="preserve"> βλαστικ</w:t>
      </w:r>
      <w:r w:rsidR="00B45DAB">
        <w:rPr>
          <w:bCs/>
          <w:iCs/>
          <w:szCs w:val="22"/>
          <w:lang w:val="el-GR"/>
        </w:rPr>
        <w:t>ών</w:t>
      </w:r>
      <w:r w:rsidR="00B45DAB" w:rsidRPr="00793CE9">
        <w:rPr>
          <w:bCs/>
          <w:iCs/>
          <w:szCs w:val="22"/>
          <w:lang w:val="el-GR"/>
        </w:rPr>
        <w:t xml:space="preserve"> </w:t>
      </w:r>
      <w:r w:rsidR="00793CE9" w:rsidRPr="00793CE9">
        <w:rPr>
          <w:bCs/>
          <w:iCs/>
          <w:szCs w:val="22"/>
          <w:lang w:val="el-GR"/>
        </w:rPr>
        <w:t>κ</w:t>
      </w:r>
      <w:r w:rsidR="00B45DAB">
        <w:rPr>
          <w:bCs/>
          <w:iCs/>
          <w:szCs w:val="22"/>
          <w:lang w:val="el-GR"/>
        </w:rPr>
        <w:t>υττάρων</w:t>
      </w:r>
      <w:r w:rsidR="00793CE9" w:rsidRPr="00793CE9">
        <w:rPr>
          <w:bCs/>
          <w:iCs/>
          <w:szCs w:val="22"/>
          <w:lang w:val="el-GR"/>
        </w:rPr>
        <w:t xml:space="preserve">, και </w:t>
      </w:r>
      <w:r w:rsidR="00B45DAB">
        <w:rPr>
          <w:bCs/>
          <w:iCs/>
          <w:szCs w:val="22"/>
          <w:lang w:val="el-GR"/>
        </w:rPr>
        <w:t xml:space="preserve">της </w:t>
      </w:r>
      <w:r w:rsidR="00793CE9" w:rsidRPr="00793CE9">
        <w:rPr>
          <w:bCs/>
          <w:iCs/>
          <w:szCs w:val="22"/>
          <w:lang w:val="el-GR"/>
        </w:rPr>
        <w:t>θεραπευτική</w:t>
      </w:r>
      <w:r w:rsidR="00B45DAB">
        <w:rPr>
          <w:bCs/>
          <w:iCs/>
          <w:szCs w:val="22"/>
          <w:lang w:val="el-GR"/>
        </w:rPr>
        <w:t>ς</w:t>
      </w:r>
      <w:r w:rsidR="00793CE9" w:rsidRPr="00793CE9">
        <w:rPr>
          <w:bCs/>
          <w:iCs/>
          <w:szCs w:val="22"/>
          <w:lang w:val="el-GR"/>
        </w:rPr>
        <w:t xml:space="preserve"> ανάγκη</w:t>
      </w:r>
      <w:r w:rsidR="00B45DAB">
        <w:rPr>
          <w:bCs/>
          <w:iCs/>
          <w:szCs w:val="22"/>
          <w:lang w:val="el-GR"/>
        </w:rPr>
        <w:t>ς</w:t>
      </w:r>
      <w:r w:rsidR="00793CE9" w:rsidRPr="00793CE9">
        <w:rPr>
          <w:bCs/>
          <w:iCs/>
          <w:szCs w:val="22"/>
          <w:lang w:val="el-GR"/>
        </w:rPr>
        <w:t xml:space="preserve">. </w:t>
      </w:r>
      <w:bookmarkStart w:id="1" w:name="_Hlk482636879"/>
      <w:r w:rsidR="00B45DAB">
        <w:rPr>
          <w:bCs/>
          <w:iCs/>
          <w:szCs w:val="22"/>
          <w:lang w:val="el-GR"/>
        </w:rPr>
        <w:t xml:space="preserve">Το </w:t>
      </w:r>
      <w:r>
        <w:rPr>
          <w:noProof/>
          <w:szCs w:val="22"/>
          <w:lang w:val="en-US"/>
        </w:rPr>
        <w:t>Melphalan</w:t>
      </w:r>
      <w:r w:rsidRPr="00E56986">
        <w:rPr>
          <w:noProof/>
          <w:szCs w:val="22"/>
          <w:lang w:val="el-GR"/>
        </w:rPr>
        <w:t xml:space="preserve"> </w:t>
      </w:r>
      <w:r>
        <w:rPr>
          <w:noProof/>
          <w:szCs w:val="22"/>
          <w:lang w:val="en-US"/>
        </w:rPr>
        <w:t>Tillomed</w:t>
      </w:r>
      <w:r w:rsidRPr="00E56986">
        <w:rPr>
          <w:noProof/>
          <w:szCs w:val="22"/>
          <w:lang w:val="el-GR"/>
        </w:rPr>
        <w:t xml:space="preserve"> </w:t>
      </w:r>
      <w:r w:rsidR="00793CE9" w:rsidRPr="00793CE9">
        <w:rPr>
          <w:bCs/>
          <w:iCs/>
          <w:szCs w:val="22"/>
          <w:lang w:val="el-GR"/>
        </w:rPr>
        <w:t>δεν</w:t>
      </w:r>
      <w:r w:rsidR="00793CE9" w:rsidRPr="00E56986">
        <w:rPr>
          <w:bCs/>
          <w:iCs/>
          <w:szCs w:val="22"/>
          <w:lang w:val="el-GR"/>
        </w:rPr>
        <w:t xml:space="preserve"> </w:t>
      </w:r>
      <w:r w:rsidR="00793CE9" w:rsidRPr="00793CE9">
        <w:rPr>
          <w:bCs/>
          <w:iCs/>
          <w:szCs w:val="22"/>
          <w:lang w:val="el-GR"/>
        </w:rPr>
        <w:t>πρέπει</w:t>
      </w:r>
      <w:r w:rsidR="00793CE9" w:rsidRPr="00E56986">
        <w:rPr>
          <w:bCs/>
          <w:iCs/>
          <w:szCs w:val="22"/>
          <w:lang w:val="el-GR"/>
        </w:rPr>
        <w:t xml:space="preserve"> </w:t>
      </w:r>
      <w:r w:rsidR="00793CE9" w:rsidRPr="00793CE9">
        <w:rPr>
          <w:bCs/>
          <w:iCs/>
          <w:szCs w:val="22"/>
          <w:lang w:val="el-GR"/>
        </w:rPr>
        <w:t>να</w:t>
      </w:r>
      <w:r w:rsidR="00793CE9" w:rsidRPr="00E56986">
        <w:rPr>
          <w:bCs/>
          <w:iCs/>
          <w:szCs w:val="22"/>
          <w:lang w:val="el-GR"/>
        </w:rPr>
        <w:t xml:space="preserve"> </w:t>
      </w:r>
      <w:r w:rsidR="00793CE9" w:rsidRPr="00793CE9">
        <w:rPr>
          <w:bCs/>
          <w:iCs/>
          <w:szCs w:val="22"/>
          <w:lang w:val="el-GR"/>
        </w:rPr>
        <w:t>χορηγείται</w:t>
      </w:r>
      <w:r w:rsidR="00793CE9" w:rsidRPr="00E56986">
        <w:rPr>
          <w:bCs/>
          <w:iCs/>
          <w:szCs w:val="22"/>
          <w:lang w:val="el-GR"/>
        </w:rPr>
        <w:t xml:space="preserve"> </w:t>
      </w:r>
      <w:r w:rsidR="00793CE9" w:rsidRPr="00793CE9">
        <w:rPr>
          <w:bCs/>
          <w:iCs/>
          <w:szCs w:val="22"/>
          <w:lang w:val="el-GR"/>
        </w:rPr>
        <w:t>χωρίς</w:t>
      </w:r>
      <w:r w:rsidR="00793CE9" w:rsidRPr="00E56986">
        <w:rPr>
          <w:bCs/>
          <w:iCs/>
          <w:szCs w:val="22"/>
          <w:lang w:val="el-GR"/>
        </w:rPr>
        <w:t xml:space="preserve"> </w:t>
      </w:r>
      <w:r w:rsidR="00793CE9" w:rsidRPr="007E3849">
        <w:rPr>
          <w:bCs/>
          <w:iCs/>
          <w:color w:val="000000" w:themeColor="text1"/>
          <w:szCs w:val="22"/>
          <w:lang w:val="el-GR"/>
        </w:rPr>
        <w:t xml:space="preserve">διάσωση αιμοποιητικών αρχέγονων κυττάρων σε δόσεις </w:t>
      </w:r>
      <w:r w:rsidR="00B45DAB" w:rsidRPr="007E3849">
        <w:rPr>
          <w:bCs/>
          <w:iCs/>
          <w:color w:val="000000" w:themeColor="text1"/>
          <w:szCs w:val="22"/>
          <w:lang w:val="el-GR"/>
        </w:rPr>
        <w:t>άνω των</w:t>
      </w:r>
      <w:r w:rsidR="00793CE9" w:rsidRPr="007E3849">
        <w:rPr>
          <w:bCs/>
          <w:iCs/>
          <w:color w:val="000000" w:themeColor="text1"/>
          <w:szCs w:val="22"/>
          <w:lang w:val="el-GR"/>
        </w:rPr>
        <w:t xml:space="preserve"> 140 </w:t>
      </w:r>
      <w:r w:rsidR="00793CE9" w:rsidRPr="007E3849">
        <w:rPr>
          <w:bCs/>
          <w:iCs/>
          <w:color w:val="000000" w:themeColor="text1"/>
          <w:szCs w:val="22"/>
          <w:lang w:val="en-US"/>
        </w:rPr>
        <w:t>mg</w:t>
      </w:r>
      <w:r w:rsidR="00793CE9" w:rsidRPr="007E3849">
        <w:rPr>
          <w:bCs/>
          <w:iCs/>
          <w:color w:val="000000" w:themeColor="text1"/>
          <w:szCs w:val="22"/>
          <w:lang w:val="el-GR"/>
        </w:rPr>
        <w:t xml:space="preserve"> / </w:t>
      </w:r>
      <w:r w:rsidR="00793CE9" w:rsidRPr="007E3849">
        <w:rPr>
          <w:bCs/>
          <w:iCs/>
          <w:color w:val="000000" w:themeColor="text1"/>
          <w:szCs w:val="22"/>
          <w:lang w:val="en-US"/>
        </w:rPr>
        <w:t>m</w:t>
      </w:r>
      <w:r w:rsidR="00793CE9" w:rsidRPr="007E3849">
        <w:rPr>
          <w:bCs/>
          <w:iCs/>
          <w:color w:val="000000" w:themeColor="text1"/>
          <w:szCs w:val="22"/>
          <w:vertAlign w:val="superscript"/>
          <w:lang w:val="el-GR"/>
        </w:rPr>
        <w:t>2</w:t>
      </w:r>
      <w:bookmarkEnd w:id="1"/>
      <w:r w:rsidR="00793CE9" w:rsidRPr="007E3849">
        <w:rPr>
          <w:bCs/>
          <w:iCs/>
          <w:color w:val="000000" w:themeColor="text1"/>
          <w:szCs w:val="22"/>
          <w:lang w:val="el-GR"/>
        </w:rPr>
        <w:t>.</w:t>
      </w:r>
    </w:p>
    <w:p w14:paraId="04978889" w14:textId="4B908EC3" w:rsidR="00793CE9" w:rsidRPr="00E56986" w:rsidRDefault="00793CE9" w:rsidP="00793CE9">
      <w:pPr>
        <w:rPr>
          <w:bCs/>
          <w:iCs/>
          <w:szCs w:val="22"/>
          <w:lang w:val="el-GR"/>
        </w:rPr>
      </w:pPr>
      <w:r w:rsidRPr="00793CE9">
        <w:rPr>
          <w:bCs/>
          <w:iCs/>
          <w:szCs w:val="22"/>
          <w:lang w:val="el-GR"/>
        </w:rPr>
        <w:t>Ως</w:t>
      </w:r>
      <w:r w:rsidRPr="00E56986">
        <w:rPr>
          <w:bCs/>
          <w:iCs/>
          <w:szCs w:val="22"/>
          <w:lang w:val="el-GR"/>
        </w:rPr>
        <w:t xml:space="preserve"> </w:t>
      </w:r>
      <w:r w:rsidRPr="00793CE9">
        <w:rPr>
          <w:bCs/>
          <w:iCs/>
          <w:szCs w:val="22"/>
          <w:lang w:val="el-GR"/>
        </w:rPr>
        <w:t>οδηγός</w:t>
      </w:r>
      <w:r w:rsidRPr="00E56986">
        <w:rPr>
          <w:bCs/>
          <w:iCs/>
          <w:szCs w:val="22"/>
          <w:lang w:val="el-GR"/>
        </w:rPr>
        <w:t xml:space="preserve">, </w:t>
      </w:r>
      <w:r w:rsidRPr="00793CE9">
        <w:rPr>
          <w:bCs/>
          <w:iCs/>
          <w:szCs w:val="22"/>
          <w:lang w:val="el-GR"/>
        </w:rPr>
        <w:t>για</w:t>
      </w:r>
      <w:r w:rsidRPr="00E56986">
        <w:rPr>
          <w:bCs/>
          <w:iCs/>
          <w:szCs w:val="22"/>
          <w:lang w:val="el-GR"/>
        </w:rPr>
        <w:t xml:space="preserve"> </w:t>
      </w:r>
      <w:r w:rsidRPr="00793CE9">
        <w:rPr>
          <w:bCs/>
          <w:iCs/>
          <w:szCs w:val="22"/>
          <w:lang w:val="el-GR"/>
        </w:rPr>
        <w:t>τη</w:t>
      </w:r>
      <w:r w:rsidRPr="00E56986">
        <w:rPr>
          <w:bCs/>
          <w:iCs/>
          <w:szCs w:val="22"/>
          <w:lang w:val="el-GR"/>
        </w:rPr>
        <w:t xml:space="preserve"> </w:t>
      </w:r>
      <w:r w:rsidRPr="00793CE9">
        <w:rPr>
          <w:bCs/>
          <w:iCs/>
          <w:szCs w:val="22"/>
          <w:lang w:val="el-GR"/>
        </w:rPr>
        <w:t>θεραπεία</w:t>
      </w:r>
      <w:r w:rsidRPr="00E56986">
        <w:rPr>
          <w:bCs/>
          <w:iCs/>
          <w:szCs w:val="22"/>
          <w:lang w:val="el-GR"/>
        </w:rPr>
        <w:t xml:space="preserve"> </w:t>
      </w:r>
      <w:r w:rsidRPr="00793CE9">
        <w:rPr>
          <w:bCs/>
          <w:iCs/>
          <w:szCs w:val="22"/>
          <w:lang w:val="el-GR"/>
        </w:rPr>
        <w:t>υψηλής</w:t>
      </w:r>
      <w:r w:rsidRPr="00E56986">
        <w:rPr>
          <w:bCs/>
          <w:iCs/>
          <w:szCs w:val="22"/>
          <w:lang w:val="el-GR"/>
        </w:rPr>
        <w:t xml:space="preserve"> </w:t>
      </w:r>
      <w:r w:rsidRPr="00793CE9">
        <w:rPr>
          <w:bCs/>
          <w:iCs/>
          <w:szCs w:val="22"/>
          <w:lang w:val="el-GR"/>
        </w:rPr>
        <w:t>δόσης</w:t>
      </w:r>
      <w:r w:rsidRPr="00E56986">
        <w:rPr>
          <w:bCs/>
          <w:iCs/>
          <w:szCs w:val="22"/>
          <w:lang w:val="el-GR"/>
        </w:rPr>
        <w:t xml:space="preserve"> </w:t>
      </w:r>
      <w:r w:rsidR="002B5A21">
        <w:rPr>
          <w:noProof/>
          <w:szCs w:val="22"/>
          <w:lang w:val="en-US"/>
        </w:rPr>
        <w:t>Melphalan</w:t>
      </w:r>
      <w:r w:rsidR="002B5A21" w:rsidRPr="00E56986">
        <w:rPr>
          <w:noProof/>
          <w:szCs w:val="22"/>
          <w:lang w:val="el-GR"/>
        </w:rPr>
        <w:t xml:space="preserve"> </w:t>
      </w:r>
      <w:r w:rsidR="002B5A21">
        <w:rPr>
          <w:noProof/>
          <w:szCs w:val="22"/>
          <w:lang w:val="en-US"/>
        </w:rPr>
        <w:t>Tillomed</w:t>
      </w:r>
      <w:r w:rsidR="002B5A21" w:rsidRPr="00E56986">
        <w:rPr>
          <w:noProof/>
          <w:szCs w:val="22"/>
          <w:lang w:val="el-GR"/>
        </w:rPr>
        <w:t xml:space="preserve"> </w:t>
      </w:r>
      <w:r w:rsidRPr="007E3849">
        <w:rPr>
          <w:bCs/>
          <w:iCs/>
          <w:color w:val="000000" w:themeColor="text1"/>
          <w:szCs w:val="22"/>
          <w:lang w:val="el-GR"/>
        </w:rPr>
        <w:t xml:space="preserve">χωρίς διάσωση αιμοποιητικών αρχέγονων κυττάρων σε ασθενείς με μέτρια νεφρική δυσλειτουργία (κάθαρση κρεατινίνης 30 έως 50 </w:t>
      </w:r>
      <w:r w:rsidRPr="007E3849">
        <w:rPr>
          <w:bCs/>
          <w:iCs/>
          <w:color w:val="000000" w:themeColor="text1"/>
          <w:szCs w:val="22"/>
          <w:lang w:val="en-US"/>
        </w:rPr>
        <w:t>ml</w:t>
      </w:r>
      <w:r w:rsidRPr="007E3849">
        <w:rPr>
          <w:bCs/>
          <w:iCs/>
          <w:color w:val="000000" w:themeColor="text1"/>
          <w:szCs w:val="22"/>
          <w:lang w:val="el-GR"/>
        </w:rPr>
        <w:t xml:space="preserve"> / </w:t>
      </w:r>
      <w:r w:rsidRPr="007E3849">
        <w:rPr>
          <w:bCs/>
          <w:iCs/>
          <w:color w:val="000000" w:themeColor="text1"/>
          <w:szCs w:val="22"/>
          <w:lang w:val="en-US"/>
        </w:rPr>
        <w:t>min</w:t>
      </w:r>
      <w:r w:rsidRPr="007E3849">
        <w:rPr>
          <w:bCs/>
          <w:iCs/>
          <w:color w:val="000000" w:themeColor="text1"/>
          <w:szCs w:val="22"/>
          <w:lang w:val="el-GR"/>
        </w:rPr>
        <w:t xml:space="preserve">) μία μείωση της δόσης </w:t>
      </w:r>
      <w:r w:rsidR="00B45DAB" w:rsidRPr="007E3849">
        <w:rPr>
          <w:bCs/>
          <w:iCs/>
          <w:color w:val="000000" w:themeColor="text1"/>
          <w:szCs w:val="22"/>
          <w:lang w:val="el-GR"/>
        </w:rPr>
        <w:t xml:space="preserve">κατά </w:t>
      </w:r>
      <w:r w:rsidRPr="007E3849">
        <w:rPr>
          <w:bCs/>
          <w:iCs/>
          <w:color w:val="000000" w:themeColor="text1"/>
          <w:szCs w:val="22"/>
          <w:lang w:val="el-GR"/>
        </w:rPr>
        <w:t xml:space="preserve">50% είναι </w:t>
      </w:r>
      <w:r w:rsidR="002B5A21" w:rsidRPr="007E3849">
        <w:rPr>
          <w:bCs/>
          <w:iCs/>
          <w:color w:val="000000" w:themeColor="text1"/>
          <w:szCs w:val="22"/>
          <w:lang w:val="el-GR"/>
        </w:rPr>
        <w:t>συνήθης</w:t>
      </w:r>
      <w:r w:rsidRPr="007E3849">
        <w:rPr>
          <w:bCs/>
          <w:iCs/>
          <w:color w:val="000000" w:themeColor="text1"/>
          <w:szCs w:val="22"/>
          <w:lang w:val="el-GR"/>
        </w:rPr>
        <w:t xml:space="preserve">. Υψηλή δόση </w:t>
      </w:r>
      <w:r w:rsidR="002B5A21">
        <w:rPr>
          <w:noProof/>
          <w:szCs w:val="22"/>
          <w:lang w:val="en-US"/>
        </w:rPr>
        <w:t>Melphalan</w:t>
      </w:r>
      <w:r w:rsidR="002B5A21" w:rsidRPr="00E56986">
        <w:rPr>
          <w:noProof/>
          <w:szCs w:val="22"/>
          <w:lang w:val="el-GR"/>
        </w:rPr>
        <w:t xml:space="preserve"> </w:t>
      </w:r>
      <w:r w:rsidR="002B5A21">
        <w:rPr>
          <w:noProof/>
          <w:szCs w:val="22"/>
          <w:lang w:val="en-US"/>
        </w:rPr>
        <w:t>Tillomed</w:t>
      </w:r>
      <w:r w:rsidR="002B5A21" w:rsidRPr="00E56986">
        <w:rPr>
          <w:noProof/>
          <w:szCs w:val="22"/>
          <w:lang w:val="el-GR"/>
        </w:rPr>
        <w:t xml:space="preserve"> </w:t>
      </w:r>
      <w:r w:rsidRPr="00E56986">
        <w:rPr>
          <w:bCs/>
          <w:iCs/>
          <w:szCs w:val="22"/>
          <w:lang w:val="el-GR"/>
        </w:rPr>
        <w:t>(</w:t>
      </w:r>
      <w:r w:rsidR="00B45DAB">
        <w:rPr>
          <w:bCs/>
          <w:iCs/>
          <w:szCs w:val="22"/>
          <w:lang w:val="el-GR"/>
        </w:rPr>
        <w:t>άνω</w:t>
      </w:r>
      <w:r w:rsidRPr="00E56986">
        <w:rPr>
          <w:bCs/>
          <w:iCs/>
          <w:szCs w:val="22"/>
          <w:lang w:val="el-GR"/>
        </w:rPr>
        <w:t xml:space="preserve"> 140 </w:t>
      </w:r>
      <w:r w:rsidRPr="00793CE9">
        <w:rPr>
          <w:bCs/>
          <w:iCs/>
          <w:szCs w:val="22"/>
          <w:lang w:val="en-US"/>
        </w:rPr>
        <w:t>mg</w:t>
      </w:r>
      <w:r w:rsidRPr="00E56986">
        <w:rPr>
          <w:bCs/>
          <w:iCs/>
          <w:szCs w:val="22"/>
          <w:lang w:val="el-GR"/>
        </w:rPr>
        <w:t xml:space="preserve"> / </w:t>
      </w:r>
      <w:r w:rsidRPr="00793CE9">
        <w:rPr>
          <w:bCs/>
          <w:iCs/>
          <w:szCs w:val="22"/>
          <w:lang w:val="en-US"/>
        </w:rPr>
        <w:t>m</w:t>
      </w:r>
      <w:r w:rsidRPr="002B5A21">
        <w:rPr>
          <w:bCs/>
          <w:iCs/>
          <w:szCs w:val="22"/>
          <w:vertAlign w:val="superscript"/>
          <w:lang w:val="el-GR"/>
        </w:rPr>
        <w:t>2</w:t>
      </w:r>
      <w:r w:rsidRPr="00E56986">
        <w:rPr>
          <w:bCs/>
          <w:iCs/>
          <w:szCs w:val="22"/>
          <w:lang w:val="el-GR"/>
        </w:rPr>
        <w:t xml:space="preserve">) </w:t>
      </w:r>
      <w:r w:rsidRPr="007E3849">
        <w:rPr>
          <w:bCs/>
          <w:iCs/>
          <w:color w:val="000000" w:themeColor="text1"/>
          <w:szCs w:val="22"/>
          <w:lang w:val="el-GR"/>
        </w:rPr>
        <w:t xml:space="preserve">χωρίς διάσωση αιμοποιητικών </w:t>
      </w:r>
      <w:proofErr w:type="spellStart"/>
      <w:r w:rsidRPr="007E3849">
        <w:rPr>
          <w:bCs/>
          <w:iCs/>
          <w:color w:val="000000" w:themeColor="text1"/>
          <w:szCs w:val="22"/>
          <w:lang w:val="el-GR"/>
        </w:rPr>
        <w:t>βλαστοκυττάρων</w:t>
      </w:r>
      <w:proofErr w:type="spellEnd"/>
      <w:r w:rsidRPr="007E3849">
        <w:rPr>
          <w:bCs/>
          <w:iCs/>
          <w:color w:val="000000" w:themeColor="text1"/>
          <w:szCs w:val="22"/>
          <w:lang w:val="el-GR"/>
        </w:rPr>
        <w:t xml:space="preserve"> δεν πρέπει να χρησιμοποιείται σε ασθενείς με πιο σοβαρή νεφρική δυσλειτουργία</w:t>
      </w:r>
      <w:r w:rsidRPr="00E56986">
        <w:rPr>
          <w:bCs/>
          <w:iCs/>
          <w:szCs w:val="22"/>
          <w:lang w:val="el-GR"/>
        </w:rPr>
        <w:t>.</w:t>
      </w:r>
    </w:p>
    <w:p w14:paraId="445D9456" w14:textId="159EB374" w:rsidR="00793CE9" w:rsidRDefault="00793CE9" w:rsidP="00793CE9">
      <w:pPr>
        <w:rPr>
          <w:bCs/>
          <w:iCs/>
          <w:szCs w:val="22"/>
          <w:lang w:val="el-GR"/>
        </w:rPr>
      </w:pPr>
      <w:r w:rsidRPr="00793CE9">
        <w:rPr>
          <w:bCs/>
          <w:iCs/>
          <w:szCs w:val="22"/>
          <w:lang w:val="el-GR"/>
        </w:rPr>
        <w:t>Υψηλή</w:t>
      </w:r>
      <w:r w:rsidRPr="00E56986">
        <w:rPr>
          <w:bCs/>
          <w:iCs/>
          <w:szCs w:val="22"/>
          <w:lang w:val="el-GR"/>
        </w:rPr>
        <w:t xml:space="preserve"> </w:t>
      </w:r>
      <w:r w:rsidRPr="00793CE9">
        <w:rPr>
          <w:bCs/>
          <w:iCs/>
          <w:szCs w:val="22"/>
          <w:lang w:val="el-GR"/>
        </w:rPr>
        <w:t>δόση</w:t>
      </w:r>
      <w:r w:rsidRPr="00E56986">
        <w:rPr>
          <w:bCs/>
          <w:iCs/>
          <w:szCs w:val="22"/>
          <w:lang w:val="el-GR"/>
        </w:rPr>
        <w:t xml:space="preserve"> </w:t>
      </w:r>
      <w:r w:rsidR="002B5A21">
        <w:rPr>
          <w:noProof/>
          <w:szCs w:val="22"/>
          <w:lang w:val="en-US"/>
        </w:rPr>
        <w:t>Melphalan</w:t>
      </w:r>
      <w:r w:rsidR="002B5A21" w:rsidRPr="00E56986">
        <w:rPr>
          <w:noProof/>
          <w:szCs w:val="22"/>
          <w:lang w:val="el-GR"/>
        </w:rPr>
        <w:t xml:space="preserve"> </w:t>
      </w:r>
      <w:r w:rsidR="002B5A21">
        <w:rPr>
          <w:noProof/>
          <w:szCs w:val="22"/>
          <w:lang w:val="en-US"/>
        </w:rPr>
        <w:t>Tillomed</w:t>
      </w:r>
      <w:r w:rsidR="002B5A21" w:rsidRPr="00E56986">
        <w:rPr>
          <w:noProof/>
          <w:szCs w:val="22"/>
          <w:lang w:val="el-GR"/>
        </w:rPr>
        <w:t xml:space="preserve"> </w:t>
      </w:r>
      <w:r w:rsidRPr="00793CE9">
        <w:rPr>
          <w:bCs/>
          <w:iCs/>
          <w:szCs w:val="22"/>
          <w:lang w:val="el-GR"/>
        </w:rPr>
        <w:t>με</w:t>
      </w:r>
      <w:r w:rsidRPr="00E56986">
        <w:rPr>
          <w:bCs/>
          <w:iCs/>
          <w:szCs w:val="22"/>
          <w:lang w:val="el-GR"/>
        </w:rPr>
        <w:t xml:space="preserve"> </w:t>
      </w:r>
      <w:r w:rsidRPr="007E3849">
        <w:rPr>
          <w:bCs/>
          <w:iCs/>
          <w:color w:val="000000" w:themeColor="text1"/>
          <w:szCs w:val="22"/>
          <w:lang w:val="el-GR"/>
        </w:rPr>
        <w:t xml:space="preserve">διάσωση αιμοποιητικών </w:t>
      </w:r>
      <w:proofErr w:type="spellStart"/>
      <w:r w:rsidRPr="007E3849">
        <w:rPr>
          <w:bCs/>
          <w:iCs/>
          <w:color w:val="000000" w:themeColor="text1"/>
          <w:szCs w:val="22"/>
          <w:lang w:val="el-GR"/>
        </w:rPr>
        <w:t>βλαστοκυττάρων</w:t>
      </w:r>
      <w:proofErr w:type="spellEnd"/>
      <w:r w:rsidRPr="007E3849">
        <w:rPr>
          <w:bCs/>
          <w:iCs/>
          <w:color w:val="000000" w:themeColor="text1"/>
          <w:szCs w:val="22"/>
          <w:lang w:val="el-GR"/>
        </w:rPr>
        <w:t xml:space="preserve"> έχει χρησιμοποιηθεί με επιτυχία ακόμα και σε ασθενείς </w:t>
      </w:r>
      <w:r w:rsidR="00B45DAB" w:rsidRPr="007E3849">
        <w:rPr>
          <w:bCs/>
          <w:iCs/>
          <w:color w:val="000000" w:themeColor="text1"/>
          <w:szCs w:val="22"/>
          <w:lang w:val="el-GR"/>
        </w:rPr>
        <w:t>σε</w:t>
      </w:r>
      <w:r w:rsidRPr="007E3849">
        <w:rPr>
          <w:bCs/>
          <w:iCs/>
          <w:color w:val="000000" w:themeColor="text1"/>
          <w:szCs w:val="22"/>
          <w:lang w:val="el-GR"/>
        </w:rPr>
        <w:t xml:space="preserve"> αιμοκάθαρση </w:t>
      </w:r>
      <w:r w:rsidR="002B5A21" w:rsidRPr="007E3849">
        <w:rPr>
          <w:bCs/>
          <w:iCs/>
          <w:color w:val="000000" w:themeColor="text1"/>
          <w:szCs w:val="22"/>
          <w:lang w:val="el-GR"/>
        </w:rPr>
        <w:t>σ</w:t>
      </w:r>
      <w:r w:rsidRPr="007E3849">
        <w:rPr>
          <w:bCs/>
          <w:iCs/>
          <w:color w:val="000000" w:themeColor="text1"/>
          <w:szCs w:val="22"/>
          <w:lang w:val="el-GR"/>
        </w:rPr>
        <w:t xml:space="preserve">ε τελικού σταδίου </w:t>
      </w:r>
      <w:r>
        <w:rPr>
          <w:bCs/>
          <w:iCs/>
          <w:szCs w:val="22"/>
          <w:lang w:val="el-GR"/>
        </w:rPr>
        <w:t>νεφρική</w:t>
      </w:r>
      <w:r w:rsidRPr="00E56986">
        <w:rPr>
          <w:bCs/>
          <w:iCs/>
          <w:szCs w:val="22"/>
          <w:lang w:val="el-GR"/>
        </w:rPr>
        <w:t xml:space="preserve"> </w:t>
      </w:r>
      <w:r w:rsidR="006E7875">
        <w:rPr>
          <w:bCs/>
          <w:iCs/>
          <w:szCs w:val="22"/>
          <w:lang w:val="el-GR"/>
        </w:rPr>
        <w:t>έκπτωση</w:t>
      </w:r>
      <w:r w:rsidRPr="00E56986">
        <w:rPr>
          <w:bCs/>
          <w:iCs/>
          <w:szCs w:val="22"/>
          <w:lang w:val="el-GR"/>
        </w:rPr>
        <w:t xml:space="preserve">. </w:t>
      </w:r>
      <w:r>
        <w:rPr>
          <w:bCs/>
          <w:iCs/>
          <w:szCs w:val="22"/>
          <w:lang w:val="el-GR"/>
        </w:rPr>
        <w:t xml:space="preserve">Θα </w:t>
      </w:r>
      <w:r w:rsidRPr="00793CE9">
        <w:rPr>
          <w:bCs/>
          <w:iCs/>
          <w:szCs w:val="22"/>
          <w:lang w:val="el-GR"/>
        </w:rPr>
        <w:t xml:space="preserve">πρέπει να </w:t>
      </w:r>
      <w:r w:rsidR="00B45DAB">
        <w:rPr>
          <w:bCs/>
          <w:iCs/>
          <w:szCs w:val="22"/>
          <w:lang w:val="el-GR"/>
        </w:rPr>
        <w:t>γίνεται αναφορά στη</w:t>
      </w:r>
      <w:r w:rsidRPr="00793CE9">
        <w:rPr>
          <w:bCs/>
          <w:iCs/>
          <w:szCs w:val="22"/>
          <w:lang w:val="el-GR"/>
        </w:rPr>
        <w:t xml:space="preserve"> σχετική βιβλιογραφία για λεπτομέρειες.</w:t>
      </w:r>
    </w:p>
    <w:p w14:paraId="5510734B" w14:textId="77777777" w:rsidR="003D682F" w:rsidRPr="00793CE9" w:rsidRDefault="00793CE9" w:rsidP="00793CE9">
      <w:pPr>
        <w:rPr>
          <w:bCs/>
          <w:iCs/>
          <w:szCs w:val="22"/>
          <w:lang w:val="el-GR"/>
        </w:rPr>
      </w:pPr>
      <w:r w:rsidRPr="00793CE9">
        <w:rPr>
          <w:bCs/>
          <w:iCs/>
          <w:szCs w:val="22"/>
          <w:u w:val="single"/>
          <w:lang w:val="el-GR"/>
        </w:rPr>
        <w:t>Τρόπος Χορήγησης</w:t>
      </w:r>
    </w:p>
    <w:p w14:paraId="7323EC18" w14:textId="6B904ABC" w:rsidR="002105EB" w:rsidRDefault="00793CE9" w:rsidP="002105EB">
      <w:pPr>
        <w:rPr>
          <w:szCs w:val="22"/>
          <w:lang w:val="el-GR"/>
        </w:rPr>
      </w:pPr>
      <w:r w:rsidRPr="00793CE9">
        <w:rPr>
          <w:szCs w:val="22"/>
          <w:lang w:val="el-GR"/>
        </w:rPr>
        <w:t xml:space="preserve">Για </w:t>
      </w:r>
      <w:r w:rsidR="002105EB">
        <w:rPr>
          <w:szCs w:val="22"/>
          <w:lang w:val="el-GR"/>
        </w:rPr>
        <w:t xml:space="preserve">ενδοφλέβια χορήγηση, συνιστάται το </w:t>
      </w:r>
      <w:r w:rsidR="009E3C64">
        <w:rPr>
          <w:noProof/>
          <w:szCs w:val="22"/>
          <w:lang w:val="en-US"/>
        </w:rPr>
        <w:t>Melphalan</w:t>
      </w:r>
      <w:r w:rsidR="009E3C64" w:rsidRPr="00E56986">
        <w:rPr>
          <w:noProof/>
          <w:szCs w:val="22"/>
          <w:lang w:val="el-GR"/>
        </w:rPr>
        <w:t xml:space="preserve"> </w:t>
      </w:r>
      <w:r w:rsidR="009E3C64">
        <w:rPr>
          <w:noProof/>
          <w:szCs w:val="22"/>
          <w:lang w:val="en-US"/>
        </w:rPr>
        <w:t>Tillomed</w:t>
      </w:r>
      <w:r w:rsidR="009E3C64" w:rsidRPr="00E56986">
        <w:rPr>
          <w:noProof/>
          <w:szCs w:val="22"/>
          <w:lang w:val="el-GR"/>
        </w:rPr>
        <w:t xml:space="preserve"> </w:t>
      </w:r>
      <w:r w:rsidR="002105EB">
        <w:rPr>
          <w:szCs w:val="22"/>
          <w:lang w:val="el-GR"/>
        </w:rPr>
        <w:t xml:space="preserve">να </w:t>
      </w:r>
      <w:proofErr w:type="spellStart"/>
      <w:r w:rsidR="00B45DAB">
        <w:rPr>
          <w:szCs w:val="22"/>
          <w:lang w:val="el-GR"/>
        </w:rPr>
        <w:t>ενίεται</w:t>
      </w:r>
      <w:proofErr w:type="spellEnd"/>
      <w:r w:rsidR="00B45DAB">
        <w:rPr>
          <w:szCs w:val="22"/>
          <w:lang w:val="el-GR"/>
        </w:rPr>
        <w:t xml:space="preserve"> </w:t>
      </w:r>
      <w:r w:rsidR="002105EB">
        <w:rPr>
          <w:szCs w:val="22"/>
          <w:lang w:val="el-GR"/>
        </w:rPr>
        <w:t xml:space="preserve">αργά σε ένα ταχέως τρεχούμενο διάλυμα </w:t>
      </w:r>
      <w:r w:rsidR="007E3849">
        <w:rPr>
          <w:szCs w:val="22"/>
          <w:lang w:val="el-GR"/>
        </w:rPr>
        <w:t>έγχυσης</w:t>
      </w:r>
      <w:r w:rsidR="00B45DAB">
        <w:rPr>
          <w:szCs w:val="22"/>
          <w:lang w:val="el-GR"/>
        </w:rPr>
        <w:t xml:space="preserve"> </w:t>
      </w:r>
      <w:r w:rsidR="002105EB">
        <w:rPr>
          <w:szCs w:val="22"/>
          <w:lang w:val="el-GR"/>
        </w:rPr>
        <w:t xml:space="preserve">μέσω μιας </w:t>
      </w:r>
      <w:r w:rsidRPr="00793CE9">
        <w:rPr>
          <w:szCs w:val="22"/>
          <w:lang w:val="el-GR"/>
        </w:rPr>
        <w:t>θυρίδας έγχυσης.</w:t>
      </w:r>
    </w:p>
    <w:p w14:paraId="44254B7B" w14:textId="0DB205A8" w:rsidR="002105EB" w:rsidRDefault="00B45DAB" w:rsidP="003D682F">
      <w:pPr>
        <w:rPr>
          <w:szCs w:val="22"/>
          <w:lang w:val="el-GR"/>
        </w:rPr>
      </w:pPr>
      <w:r>
        <w:rPr>
          <w:szCs w:val="22"/>
          <w:lang w:val="el-GR"/>
        </w:rPr>
        <w:t>Το</w:t>
      </w:r>
      <w:r w:rsidRPr="002105EB">
        <w:rPr>
          <w:szCs w:val="22"/>
          <w:lang w:val="el-GR"/>
        </w:rPr>
        <w:t xml:space="preserve"> </w:t>
      </w:r>
      <w:r w:rsidR="009E3C64">
        <w:rPr>
          <w:noProof/>
          <w:szCs w:val="22"/>
          <w:lang w:val="en-US"/>
        </w:rPr>
        <w:t>Melphalan</w:t>
      </w:r>
      <w:r w:rsidR="009E3C64" w:rsidRPr="00E56986">
        <w:rPr>
          <w:noProof/>
          <w:szCs w:val="22"/>
          <w:lang w:val="el-GR"/>
        </w:rPr>
        <w:t xml:space="preserve"> </w:t>
      </w:r>
      <w:r w:rsidR="009E3C64">
        <w:rPr>
          <w:noProof/>
          <w:szCs w:val="22"/>
          <w:lang w:val="en-US"/>
        </w:rPr>
        <w:t>Tillomed</w:t>
      </w:r>
      <w:r w:rsidR="009E3C64" w:rsidRPr="00E56986">
        <w:rPr>
          <w:noProof/>
          <w:szCs w:val="22"/>
          <w:lang w:val="el-GR"/>
        </w:rPr>
        <w:t xml:space="preserve"> </w:t>
      </w:r>
      <w:r w:rsidR="002105EB">
        <w:rPr>
          <w:szCs w:val="22"/>
          <w:lang w:val="el-GR"/>
        </w:rPr>
        <w:t xml:space="preserve">δεν είναι </w:t>
      </w:r>
      <w:r>
        <w:rPr>
          <w:szCs w:val="22"/>
          <w:lang w:val="el-GR"/>
        </w:rPr>
        <w:t>συμβατό</w:t>
      </w:r>
      <w:r w:rsidRPr="002105EB">
        <w:rPr>
          <w:szCs w:val="22"/>
          <w:lang w:val="el-GR"/>
        </w:rPr>
        <w:t xml:space="preserve"> </w:t>
      </w:r>
      <w:r w:rsidR="002105EB" w:rsidRPr="002105EB">
        <w:rPr>
          <w:szCs w:val="22"/>
          <w:lang w:val="el-GR"/>
        </w:rPr>
        <w:t xml:space="preserve">με διαλύματα έγχυσης που περιέχουν </w:t>
      </w:r>
      <w:proofErr w:type="spellStart"/>
      <w:r w:rsidR="002105EB" w:rsidRPr="002105EB">
        <w:rPr>
          <w:szCs w:val="22"/>
          <w:lang w:val="el-GR"/>
        </w:rPr>
        <w:t>δεξ</w:t>
      </w:r>
      <w:r w:rsidR="002105EB">
        <w:rPr>
          <w:szCs w:val="22"/>
          <w:lang w:val="el-GR"/>
        </w:rPr>
        <w:t>τρόζη</w:t>
      </w:r>
      <w:proofErr w:type="spellEnd"/>
      <w:r w:rsidR="002105EB">
        <w:rPr>
          <w:szCs w:val="22"/>
          <w:lang w:val="el-GR"/>
        </w:rPr>
        <w:t xml:space="preserve"> και συνίστα</w:t>
      </w:r>
      <w:r w:rsidR="002105EB" w:rsidRPr="002105EB">
        <w:rPr>
          <w:szCs w:val="22"/>
          <w:lang w:val="el-GR"/>
        </w:rPr>
        <w:t xml:space="preserve">ται μόνο </w:t>
      </w:r>
      <w:r>
        <w:rPr>
          <w:szCs w:val="22"/>
          <w:lang w:val="el-GR"/>
        </w:rPr>
        <w:t>διάλυμα</w:t>
      </w:r>
      <w:r w:rsidRPr="002105EB">
        <w:rPr>
          <w:szCs w:val="22"/>
          <w:lang w:val="el-GR"/>
        </w:rPr>
        <w:t xml:space="preserve"> </w:t>
      </w:r>
      <w:r w:rsidR="002105EB" w:rsidRPr="002105EB">
        <w:rPr>
          <w:szCs w:val="22"/>
          <w:lang w:val="el-GR"/>
        </w:rPr>
        <w:t>χλωριούχο</w:t>
      </w:r>
      <w:r>
        <w:rPr>
          <w:szCs w:val="22"/>
          <w:lang w:val="el-GR"/>
        </w:rPr>
        <w:t>υ</w:t>
      </w:r>
      <w:r w:rsidR="002105EB" w:rsidRPr="002105EB">
        <w:rPr>
          <w:szCs w:val="22"/>
          <w:lang w:val="el-GR"/>
        </w:rPr>
        <w:t xml:space="preserve"> </w:t>
      </w:r>
      <w:r w:rsidR="009E3C64" w:rsidRPr="002105EB">
        <w:rPr>
          <w:szCs w:val="22"/>
          <w:lang w:val="el-GR"/>
        </w:rPr>
        <w:t>νατρίο</w:t>
      </w:r>
      <w:r w:rsidR="009E3C64">
        <w:rPr>
          <w:szCs w:val="22"/>
          <w:lang w:val="el-GR"/>
        </w:rPr>
        <w:t>υ</w:t>
      </w:r>
      <w:r w:rsidR="002105EB" w:rsidRPr="002105EB">
        <w:rPr>
          <w:szCs w:val="22"/>
          <w:lang w:val="el-GR"/>
        </w:rPr>
        <w:t xml:space="preserve"> 9 </w:t>
      </w:r>
      <w:r w:rsidR="002105EB" w:rsidRPr="002105EB">
        <w:rPr>
          <w:szCs w:val="22"/>
          <w:lang w:val="en-US"/>
        </w:rPr>
        <w:t>mg</w:t>
      </w:r>
      <w:r w:rsidR="002105EB" w:rsidRPr="002105EB">
        <w:rPr>
          <w:szCs w:val="22"/>
          <w:lang w:val="el-GR"/>
        </w:rPr>
        <w:t xml:space="preserve"> / </w:t>
      </w:r>
      <w:r w:rsidR="002105EB" w:rsidRPr="002105EB">
        <w:rPr>
          <w:szCs w:val="22"/>
          <w:lang w:val="en-US"/>
        </w:rPr>
        <w:t>ml</w:t>
      </w:r>
      <w:r w:rsidR="002105EB">
        <w:rPr>
          <w:szCs w:val="22"/>
          <w:lang w:val="el-GR"/>
        </w:rPr>
        <w:t xml:space="preserve"> (0,9%) </w:t>
      </w:r>
      <w:r>
        <w:rPr>
          <w:szCs w:val="22"/>
          <w:lang w:val="el-GR"/>
        </w:rPr>
        <w:t xml:space="preserve">να </w:t>
      </w:r>
      <w:r w:rsidR="002105EB">
        <w:rPr>
          <w:szCs w:val="22"/>
          <w:lang w:val="el-GR"/>
        </w:rPr>
        <w:t xml:space="preserve">χρησιμοποιείται </w:t>
      </w:r>
      <w:r w:rsidR="002105EB" w:rsidRPr="002105EB">
        <w:rPr>
          <w:szCs w:val="22"/>
          <w:lang w:val="el-GR"/>
        </w:rPr>
        <w:t>για έγχυση. Για οδηγίες σχετικά με την αραίωση πριν από τη χορήγηση, βλέπε παράγραφο 6.6</w:t>
      </w:r>
      <w:r w:rsidR="002105EB">
        <w:rPr>
          <w:szCs w:val="22"/>
          <w:lang w:val="el-GR"/>
        </w:rPr>
        <w:t>.</w:t>
      </w:r>
      <w:r w:rsidR="009E3C64">
        <w:rPr>
          <w:szCs w:val="22"/>
          <w:lang w:val="el-GR"/>
        </w:rPr>
        <w:t xml:space="preserve"> </w:t>
      </w:r>
    </w:p>
    <w:p w14:paraId="65CD83C6" w14:textId="0A734E6E" w:rsidR="002105EB" w:rsidRDefault="002105EB" w:rsidP="003D682F">
      <w:pPr>
        <w:rPr>
          <w:szCs w:val="22"/>
          <w:lang w:val="el-GR"/>
        </w:rPr>
      </w:pPr>
      <w:r w:rsidRPr="002105EB">
        <w:rPr>
          <w:szCs w:val="22"/>
          <w:lang w:val="el-GR"/>
        </w:rPr>
        <w:t>Όταν αραιώνεται πε</w:t>
      </w:r>
      <w:r>
        <w:rPr>
          <w:szCs w:val="22"/>
          <w:lang w:val="el-GR"/>
        </w:rPr>
        <w:t xml:space="preserve">ραιτέρω σε ένα διάλυμα έγχυσης, </w:t>
      </w:r>
      <w:r w:rsidR="00246F25">
        <w:rPr>
          <w:szCs w:val="22"/>
          <w:lang w:val="el-GR"/>
        </w:rPr>
        <w:t xml:space="preserve">το </w:t>
      </w:r>
      <w:r w:rsidR="009E3C64">
        <w:rPr>
          <w:noProof/>
          <w:szCs w:val="22"/>
          <w:lang w:val="en-US"/>
        </w:rPr>
        <w:t>Melphalan</w:t>
      </w:r>
      <w:r w:rsidR="009E3C64" w:rsidRPr="00E56986">
        <w:rPr>
          <w:noProof/>
          <w:szCs w:val="22"/>
          <w:lang w:val="el-GR"/>
        </w:rPr>
        <w:t xml:space="preserve"> </w:t>
      </w:r>
      <w:r w:rsidR="009E3C64">
        <w:rPr>
          <w:noProof/>
          <w:szCs w:val="22"/>
          <w:lang w:val="en-US"/>
        </w:rPr>
        <w:t>Tillomed</w:t>
      </w:r>
      <w:r w:rsidR="009E3C64" w:rsidRPr="00E56986">
        <w:rPr>
          <w:noProof/>
          <w:szCs w:val="22"/>
          <w:lang w:val="el-GR"/>
        </w:rPr>
        <w:t xml:space="preserve"> </w:t>
      </w:r>
      <w:r w:rsidRPr="002105EB">
        <w:rPr>
          <w:szCs w:val="22"/>
          <w:lang w:val="el-GR"/>
        </w:rPr>
        <w:t xml:space="preserve">έχει </w:t>
      </w:r>
      <w:r w:rsidR="00246F25">
        <w:rPr>
          <w:szCs w:val="22"/>
          <w:lang w:val="el-GR"/>
        </w:rPr>
        <w:t>μειωμένη</w:t>
      </w:r>
      <w:r w:rsidRPr="002105EB">
        <w:rPr>
          <w:szCs w:val="22"/>
          <w:lang w:val="el-GR"/>
        </w:rPr>
        <w:t xml:space="preserve"> σταθερότητα και </w:t>
      </w:r>
      <w:r w:rsidR="00246F25">
        <w:rPr>
          <w:szCs w:val="22"/>
          <w:lang w:val="el-GR"/>
        </w:rPr>
        <w:t xml:space="preserve">ο </w:t>
      </w:r>
      <w:r w:rsidRPr="002105EB">
        <w:rPr>
          <w:szCs w:val="22"/>
          <w:lang w:val="el-GR"/>
        </w:rPr>
        <w:t>ρυθμό</w:t>
      </w:r>
      <w:r w:rsidR="00246F25">
        <w:rPr>
          <w:szCs w:val="22"/>
          <w:lang w:val="el-GR"/>
        </w:rPr>
        <w:t>ς</w:t>
      </w:r>
      <w:r w:rsidRPr="002105EB">
        <w:rPr>
          <w:szCs w:val="22"/>
          <w:lang w:val="el-GR"/>
        </w:rPr>
        <w:t xml:space="preserve"> </w:t>
      </w:r>
      <w:r w:rsidR="00246F25">
        <w:rPr>
          <w:szCs w:val="22"/>
          <w:lang w:val="el-GR"/>
        </w:rPr>
        <w:t>αποδόμησης</w:t>
      </w:r>
      <w:r w:rsidRPr="002105EB">
        <w:rPr>
          <w:szCs w:val="22"/>
          <w:lang w:val="el-GR"/>
        </w:rPr>
        <w:t xml:space="preserve"> </w:t>
      </w:r>
      <w:r w:rsidR="00246F25">
        <w:rPr>
          <w:szCs w:val="22"/>
          <w:lang w:val="el-GR"/>
        </w:rPr>
        <w:t xml:space="preserve">αυξάνεται </w:t>
      </w:r>
      <w:r w:rsidR="00E10F62">
        <w:rPr>
          <w:szCs w:val="22"/>
          <w:lang w:val="el-GR"/>
        </w:rPr>
        <w:t xml:space="preserve">ραγδαία </w:t>
      </w:r>
      <w:r w:rsidR="00246F25">
        <w:rPr>
          <w:szCs w:val="22"/>
          <w:lang w:val="el-GR"/>
        </w:rPr>
        <w:t>με την άνοδο</w:t>
      </w:r>
      <w:r w:rsidRPr="002105EB">
        <w:rPr>
          <w:szCs w:val="22"/>
          <w:lang w:val="el-GR"/>
        </w:rPr>
        <w:t xml:space="preserve"> της θερμοκρασίας. Εάν </w:t>
      </w:r>
      <w:r w:rsidR="00E10F62">
        <w:rPr>
          <w:szCs w:val="22"/>
          <w:lang w:val="el-GR"/>
        </w:rPr>
        <w:t>εγχέεται</w:t>
      </w:r>
      <w:r w:rsidR="00246F25">
        <w:rPr>
          <w:szCs w:val="22"/>
          <w:lang w:val="el-GR"/>
        </w:rPr>
        <w:t xml:space="preserve"> </w:t>
      </w:r>
      <w:r w:rsidR="00E10F62">
        <w:rPr>
          <w:szCs w:val="22"/>
          <w:lang w:val="el-GR"/>
        </w:rPr>
        <w:t xml:space="preserve">το </w:t>
      </w:r>
      <w:r w:rsidR="009E3C64">
        <w:rPr>
          <w:noProof/>
          <w:szCs w:val="22"/>
          <w:lang w:val="en-US"/>
        </w:rPr>
        <w:t>Melphalan</w:t>
      </w:r>
      <w:r w:rsidR="009E3C64" w:rsidRPr="00E56986">
        <w:rPr>
          <w:noProof/>
          <w:szCs w:val="22"/>
          <w:lang w:val="el-GR"/>
        </w:rPr>
        <w:t xml:space="preserve"> </w:t>
      </w:r>
      <w:r w:rsidR="009E3C64">
        <w:rPr>
          <w:noProof/>
          <w:szCs w:val="22"/>
          <w:lang w:val="en-US"/>
        </w:rPr>
        <w:t>Tillomed</w:t>
      </w:r>
      <w:r w:rsidR="009E3C64" w:rsidRPr="00E56986">
        <w:rPr>
          <w:noProof/>
          <w:szCs w:val="22"/>
          <w:lang w:val="el-GR"/>
        </w:rPr>
        <w:t xml:space="preserve"> </w:t>
      </w:r>
      <w:r w:rsidRPr="002105EB">
        <w:rPr>
          <w:szCs w:val="22"/>
          <w:lang w:val="el-GR"/>
        </w:rPr>
        <w:t xml:space="preserve">σε </w:t>
      </w:r>
      <w:r w:rsidR="009E3C64">
        <w:rPr>
          <w:szCs w:val="22"/>
          <w:lang w:val="el-GR"/>
        </w:rPr>
        <w:t>θερμοκρασία δωματίου περίπου 25</w:t>
      </w:r>
      <w:r w:rsidRPr="002105EB">
        <w:rPr>
          <w:szCs w:val="22"/>
          <w:lang w:val="el-GR"/>
        </w:rPr>
        <w:t>°</w:t>
      </w:r>
      <w:r w:rsidRPr="002105EB">
        <w:rPr>
          <w:szCs w:val="22"/>
          <w:lang w:val="en-US"/>
        </w:rPr>
        <w:t>C</w:t>
      </w:r>
      <w:r w:rsidRPr="002105EB">
        <w:rPr>
          <w:szCs w:val="22"/>
          <w:lang w:val="el-GR"/>
        </w:rPr>
        <w:t xml:space="preserve">, ο συνολικός χρόνος από την παρασκευή του </w:t>
      </w:r>
      <w:r w:rsidR="006E7875">
        <w:rPr>
          <w:szCs w:val="22"/>
          <w:lang w:val="el-GR"/>
        </w:rPr>
        <w:t xml:space="preserve">ενέσιμου </w:t>
      </w:r>
      <w:r w:rsidRPr="002105EB">
        <w:rPr>
          <w:szCs w:val="22"/>
          <w:lang w:val="el-GR"/>
        </w:rPr>
        <w:t xml:space="preserve">διαλύματος </w:t>
      </w:r>
      <w:r w:rsidR="00246F25">
        <w:rPr>
          <w:szCs w:val="22"/>
          <w:lang w:val="el-GR"/>
        </w:rPr>
        <w:t>μέχρι</w:t>
      </w:r>
      <w:r w:rsidR="00246F25" w:rsidRPr="002105EB">
        <w:rPr>
          <w:szCs w:val="22"/>
          <w:lang w:val="el-GR"/>
        </w:rPr>
        <w:t xml:space="preserve"> </w:t>
      </w:r>
      <w:r w:rsidRPr="002105EB">
        <w:rPr>
          <w:szCs w:val="22"/>
          <w:lang w:val="el-GR"/>
        </w:rPr>
        <w:t xml:space="preserve">την ολοκλήρωση της έγχυσης δεν θα πρέπει να υπερβαίνει </w:t>
      </w:r>
      <w:r w:rsidR="00246F25">
        <w:rPr>
          <w:szCs w:val="22"/>
          <w:lang w:val="el-GR"/>
        </w:rPr>
        <w:t xml:space="preserve">τις </w:t>
      </w:r>
      <w:r w:rsidRPr="002105EB">
        <w:rPr>
          <w:szCs w:val="22"/>
          <w:lang w:val="el-GR"/>
        </w:rPr>
        <w:t>1,5 ώρες.</w:t>
      </w:r>
    </w:p>
    <w:p w14:paraId="184537D2" w14:textId="0E332706" w:rsidR="00B64B70" w:rsidRDefault="002105EB" w:rsidP="003D682F">
      <w:pPr>
        <w:rPr>
          <w:szCs w:val="22"/>
          <w:lang w:val="el-GR"/>
        </w:rPr>
      </w:pPr>
      <w:r w:rsidRPr="002105EB">
        <w:rPr>
          <w:szCs w:val="22"/>
          <w:lang w:val="el-GR"/>
        </w:rPr>
        <w:t xml:space="preserve">Σε περίπτωση που </w:t>
      </w:r>
      <w:r w:rsidR="00246F25">
        <w:rPr>
          <w:szCs w:val="22"/>
          <w:lang w:val="el-GR"/>
        </w:rPr>
        <w:t xml:space="preserve">τα </w:t>
      </w:r>
      <w:r w:rsidRPr="002105EB">
        <w:rPr>
          <w:szCs w:val="22"/>
          <w:lang w:val="el-GR"/>
        </w:rPr>
        <w:t>ανασυσταθέντα ή αραιωμένα διαλύματα</w:t>
      </w:r>
      <w:r w:rsidR="00246F25">
        <w:rPr>
          <w:szCs w:val="22"/>
          <w:lang w:val="el-GR"/>
        </w:rPr>
        <w:t xml:space="preserve"> είναι θολά ή παρουσιάζουν κρυστάλλους θα πρέπει να απορρίπτονται</w:t>
      </w:r>
    </w:p>
    <w:p w14:paraId="327B348E" w14:textId="62D0B702" w:rsidR="00B64B70" w:rsidRDefault="006E7875" w:rsidP="00B64B70">
      <w:pPr>
        <w:rPr>
          <w:szCs w:val="22"/>
          <w:lang w:val="el-GR"/>
        </w:rPr>
      </w:pPr>
      <w:r>
        <w:rPr>
          <w:lang w:val="el-GR"/>
        </w:rPr>
        <w:t>Απαιτείται προσοχή</w:t>
      </w:r>
      <w:r w:rsidR="002105EB" w:rsidRPr="002105EB">
        <w:rPr>
          <w:lang w:val="el-GR"/>
        </w:rPr>
        <w:t xml:space="preserve"> ώστε </w:t>
      </w:r>
      <w:r w:rsidR="00B64B70">
        <w:rPr>
          <w:lang w:val="el-GR"/>
        </w:rPr>
        <w:t xml:space="preserve">να αποφευχθεί πιθανή </w:t>
      </w:r>
      <w:proofErr w:type="spellStart"/>
      <w:r w:rsidR="00B64B70">
        <w:rPr>
          <w:lang w:val="el-GR"/>
        </w:rPr>
        <w:t>εξαγγείωση</w:t>
      </w:r>
      <w:proofErr w:type="spellEnd"/>
      <w:r w:rsidR="00B64B70">
        <w:rPr>
          <w:lang w:val="el-GR"/>
        </w:rPr>
        <w:t xml:space="preserve"> </w:t>
      </w:r>
      <w:r w:rsidR="00246F25">
        <w:rPr>
          <w:lang w:val="el-GR"/>
        </w:rPr>
        <w:t>του</w:t>
      </w:r>
      <w:r w:rsidR="009E3C64">
        <w:rPr>
          <w:lang w:val="el-GR"/>
        </w:rPr>
        <w:t xml:space="preserve"> </w:t>
      </w:r>
      <w:r w:rsidR="009E3C64">
        <w:rPr>
          <w:noProof/>
          <w:szCs w:val="22"/>
          <w:lang w:val="en-US"/>
        </w:rPr>
        <w:t>Melphalan</w:t>
      </w:r>
      <w:r w:rsidR="009E3C64" w:rsidRPr="00E56986">
        <w:rPr>
          <w:noProof/>
          <w:szCs w:val="22"/>
          <w:lang w:val="el-GR"/>
        </w:rPr>
        <w:t xml:space="preserve"> </w:t>
      </w:r>
      <w:r w:rsidR="009E3C64">
        <w:rPr>
          <w:noProof/>
          <w:szCs w:val="22"/>
          <w:lang w:val="en-US"/>
        </w:rPr>
        <w:t>Tillomed</w:t>
      </w:r>
      <w:r w:rsidR="009E3C64" w:rsidRPr="00E56986">
        <w:rPr>
          <w:noProof/>
          <w:szCs w:val="22"/>
          <w:lang w:val="el-GR"/>
        </w:rPr>
        <w:t xml:space="preserve"> </w:t>
      </w:r>
      <w:r w:rsidR="002105EB" w:rsidRPr="002105EB">
        <w:rPr>
          <w:lang w:val="el-GR"/>
        </w:rPr>
        <w:t>και σε περιπτώσεις κακής περιφερική</w:t>
      </w:r>
      <w:r w:rsidR="00B64B70">
        <w:rPr>
          <w:lang w:val="el-GR"/>
        </w:rPr>
        <w:t>ς</w:t>
      </w:r>
      <w:r w:rsidR="002105EB" w:rsidRPr="002105EB">
        <w:rPr>
          <w:lang w:val="el-GR"/>
        </w:rPr>
        <w:t xml:space="preserve"> φλεβική</w:t>
      </w:r>
      <w:r w:rsidR="00B64B70">
        <w:rPr>
          <w:lang w:val="el-GR"/>
        </w:rPr>
        <w:t>ς</w:t>
      </w:r>
      <w:r w:rsidR="002105EB" w:rsidRPr="002105EB">
        <w:rPr>
          <w:lang w:val="el-GR"/>
        </w:rPr>
        <w:t xml:space="preserve"> πρόσβαση</w:t>
      </w:r>
      <w:r w:rsidR="00B64B70">
        <w:rPr>
          <w:lang w:val="el-GR"/>
        </w:rPr>
        <w:t xml:space="preserve">ς, </w:t>
      </w:r>
      <w:r w:rsidR="002105EB" w:rsidRPr="002105EB">
        <w:rPr>
          <w:lang w:val="el-GR"/>
        </w:rPr>
        <w:t xml:space="preserve">θα πρέπει να </w:t>
      </w:r>
      <w:r w:rsidR="00246F25">
        <w:rPr>
          <w:lang w:val="el-GR"/>
        </w:rPr>
        <w:t>χορηγηθεί μέσω</w:t>
      </w:r>
      <w:r w:rsidR="002105EB" w:rsidRPr="002105EB">
        <w:rPr>
          <w:lang w:val="el-GR"/>
        </w:rPr>
        <w:t xml:space="preserve"> κεντρικής φλεβικής γραμμής.</w:t>
      </w:r>
    </w:p>
    <w:p w14:paraId="3B9BE714" w14:textId="497D4B92" w:rsidR="003D682F" w:rsidRDefault="00B64B70" w:rsidP="00B64B70">
      <w:pPr>
        <w:rPr>
          <w:lang w:val="el-GR"/>
        </w:rPr>
      </w:pPr>
      <w:r w:rsidRPr="00B64B70">
        <w:rPr>
          <w:lang w:val="el-GR"/>
        </w:rPr>
        <w:lastRenderedPageBreak/>
        <w:t>Εάν υψηλή δόση</w:t>
      </w:r>
      <w:r w:rsidR="00246F25">
        <w:rPr>
          <w:lang w:val="el-GR"/>
        </w:rPr>
        <w:t xml:space="preserve"> του </w:t>
      </w:r>
      <w:r w:rsidR="009E3C64">
        <w:rPr>
          <w:noProof/>
          <w:szCs w:val="22"/>
          <w:lang w:val="en-US"/>
        </w:rPr>
        <w:t>Melphalan</w:t>
      </w:r>
      <w:r w:rsidR="009E3C64" w:rsidRPr="00E56986">
        <w:rPr>
          <w:noProof/>
          <w:szCs w:val="22"/>
          <w:lang w:val="el-GR"/>
        </w:rPr>
        <w:t xml:space="preserve"> </w:t>
      </w:r>
      <w:r w:rsidR="009E3C64">
        <w:rPr>
          <w:noProof/>
          <w:szCs w:val="22"/>
          <w:lang w:val="en-US"/>
        </w:rPr>
        <w:t>Tillomed</w:t>
      </w:r>
      <w:r w:rsidR="009E3C64" w:rsidRPr="00E56986">
        <w:rPr>
          <w:noProof/>
          <w:szCs w:val="22"/>
          <w:lang w:val="el-GR"/>
        </w:rPr>
        <w:t xml:space="preserve"> </w:t>
      </w:r>
      <w:r w:rsidRPr="00B64B70">
        <w:rPr>
          <w:lang w:val="el-GR"/>
        </w:rPr>
        <w:t xml:space="preserve">χορηγείται </w:t>
      </w:r>
      <w:r w:rsidR="00246F25">
        <w:rPr>
          <w:lang w:val="el-GR"/>
        </w:rPr>
        <w:t xml:space="preserve">σε </w:t>
      </w:r>
      <w:proofErr w:type="spellStart"/>
      <w:r w:rsidR="00246F25">
        <w:rPr>
          <w:lang w:val="el-GR"/>
        </w:rPr>
        <w:t>αυτόλογη</w:t>
      </w:r>
      <w:proofErr w:type="spellEnd"/>
      <w:r w:rsidR="00246F25">
        <w:rPr>
          <w:lang w:val="el-GR"/>
        </w:rPr>
        <w:t xml:space="preserve"> ή </w:t>
      </w:r>
      <w:r w:rsidR="00F05E7A">
        <w:rPr>
          <w:lang w:val="el-GR"/>
        </w:rPr>
        <w:t>μη</w:t>
      </w:r>
      <w:r w:rsidR="00246F25">
        <w:rPr>
          <w:lang w:val="el-GR"/>
        </w:rPr>
        <w:t xml:space="preserve"> </w:t>
      </w:r>
      <w:r w:rsidRPr="00B64B70">
        <w:rPr>
          <w:lang w:val="el-GR"/>
        </w:rPr>
        <w:t>μεταμόσχε</w:t>
      </w:r>
      <w:r>
        <w:rPr>
          <w:lang w:val="el-GR"/>
        </w:rPr>
        <w:t xml:space="preserve">υση μυελού των οστών, συνίσταται </w:t>
      </w:r>
      <w:r w:rsidRPr="00B64B70">
        <w:rPr>
          <w:lang w:val="el-GR"/>
        </w:rPr>
        <w:t>η χορήγηση μέσω κεντρι</w:t>
      </w:r>
      <w:r>
        <w:rPr>
          <w:lang w:val="el-GR"/>
        </w:rPr>
        <w:t>κής φλεβικής γραμμής.</w:t>
      </w:r>
    </w:p>
    <w:p w14:paraId="51238027" w14:textId="07C2FAFD" w:rsidR="00871491" w:rsidRPr="001968D1" w:rsidRDefault="00871491" w:rsidP="00B64B70">
      <w:pPr>
        <w:rPr>
          <w:szCs w:val="22"/>
          <w:lang w:val="el-GR"/>
        </w:rPr>
      </w:pPr>
    </w:p>
    <w:p w14:paraId="48FC2BD6" w14:textId="0EEE0C3A" w:rsidR="00AB50D7" w:rsidRPr="00AB50D7" w:rsidRDefault="00AB50D7" w:rsidP="00B64B70">
      <w:pPr>
        <w:rPr>
          <w:szCs w:val="22"/>
          <w:lang w:val="el-GR"/>
        </w:rPr>
      </w:pPr>
      <w:r w:rsidRPr="001968D1">
        <w:rPr>
          <w:szCs w:val="22"/>
          <w:lang w:val="el-GR"/>
        </w:rPr>
        <w:t xml:space="preserve">Για την περιφερειακή αρτηριακή έγχυση, θα πρέπει </w:t>
      </w:r>
      <w:r w:rsidR="00246F25">
        <w:rPr>
          <w:szCs w:val="22"/>
          <w:lang w:val="el-GR"/>
        </w:rPr>
        <w:t>να γίνεται αναφορά στη</w:t>
      </w:r>
      <w:r w:rsidRPr="001968D1">
        <w:rPr>
          <w:szCs w:val="22"/>
          <w:lang w:val="el-GR"/>
        </w:rPr>
        <w:t xml:space="preserve"> βιβλιογραφία για την αναλυτική μεθοδολογία.</w:t>
      </w:r>
    </w:p>
    <w:p w14:paraId="66FCCCA5" w14:textId="77777777" w:rsidR="00B64B70" w:rsidRPr="0034458B" w:rsidRDefault="00B64B70" w:rsidP="003D682F">
      <w:pPr>
        <w:rPr>
          <w:lang w:val="el-GR"/>
        </w:rPr>
      </w:pPr>
    </w:p>
    <w:p w14:paraId="0B43C2BE" w14:textId="77777777" w:rsidR="009E0FD0" w:rsidRDefault="00B64B70" w:rsidP="009E0FD0">
      <w:pPr>
        <w:pStyle w:val="2"/>
      </w:pPr>
      <w:r>
        <w:rPr>
          <w:lang w:val="el-GR"/>
        </w:rPr>
        <w:t>Αντενδείξεις</w:t>
      </w:r>
    </w:p>
    <w:p w14:paraId="41929C9C" w14:textId="77777777" w:rsidR="00B64B70" w:rsidRDefault="00B64B70" w:rsidP="00B64B70">
      <w:pPr>
        <w:pStyle w:val="a8"/>
        <w:numPr>
          <w:ilvl w:val="0"/>
          <w:numId w:val="47"/>
        </w:numPr>
        <w:rPr>
          <w:lang w:val="el-GR"/>
        </w:rPr>
      </w:pPr>
      <w:r w:rsidRPr="00B64B70">
        <w:rPr>
          <w:lang w:val="el-GR"/>
        </w:rPr>
        <w:t>Υπερευαισθησία στη δραστική ουσία ή σε κάποιο από τα έκδοχα που αναφέρονται στην παράγραφο 6.1</w:t>
      </w:r>
    </w:p>
    <w:p w14:paraId="308EDF3E" w14:textId="77777777" w:rsidR="00B64B70" w:rsidRPr="00B64B70" w:rsidRDefault="00B64B70" w:rsidP="00B64B70">
      <w:pPr>
        <w:pStyle w:val="a8"/>
        <w:numPr>
          <w:ilvl w:val="0"/>
          <w:numId w:val="47"/>
        </w:numPr>
        <w:rPr>
          <w:lang w:val="el-GR"/>
        </w:rPr>
      </w:pPr>
      <w:r w:rsidRPr="00B64B70">
        <w:rPr>
          <w:lang w:val="el-GR"/>
        </w:rPr>
        <w:t xml:space="preserve">Σοβαρή </w:t>
      </w:r>
      <w:proofErr w:type="spellStart"/>
      <w:r w:rsidRPr="00B64B70">
        <w:rPr>
          <w:lang w:val="el-GR"/>
        </w:rPr>
        <w:t>μυελοκαταστολή</w:t>
      </w:r>
      <w:proofErr w:type="spellEnd"/>
      <w:r w:rsidRPr="00B64B70">
        <w:rPr>
          <w:lang w:val="el-GR"/>
        </w:rPr>
        <w:t xml:space="preserve"> (λευκοκύτταρα &lt;2000 / </w:t>
      </w:r>
      <w:r>
        <w:t>mm</w:t>
      </w:r>
      <w:r w:rsidRPr="00B64B70">
        <w:rPr>
          <w:lang w:val="el-GR"/>
        </w:rPr>
        <w:t xml:space="preserve">³, </w:t>
      </w:r>
      <w:proofErr w:type="spellStart"/>
      <w:r w:rsidRPr="00B64B70">
        <w:rPr>
          <w:lang w:val="el-GR"/>
        </w:rPr>
        <w:t>θρομβοκύτταρα</w:t>
      </w:r>
      <w:proofErr w:type="spellEnd"/>
      <w:r w:rsidRPr="00B64B70">
        <w:rPr>
          <w:lang w:val="el-GR"/>
        </w:rPr>
        <w:t xml:space="preserve"> &lt;50.000 / </w:t>
      </w:r>
      <w:r>
        <w:t>mm</w:t>
      </w:r>
      <w:r w:rsidRPr="00B64B70">
        <w:rPr>
          <w:lang w:val="el-GR"/>
        </w:rPr>
        <w:t>³).</w:t>
      </w:r>
    </w:p>
    <w:p w14:paraId="74172DCE" w14:textId="66C8FDD9" w:rsidR="00B64B70" w:rsidRPr="00F05E7A" w:rsidRDefault="00246F25" w:rsidP="00B64B70">
      <w:pPr>
        <w:pStyle w:val="a8"/>
        <w:numPr>
          <w:ilvl w:val="0"/>
          <w:numId w:val="47"/>
        </w:numPr>
        <w:rPr>
          <w:u w:val="single"/>
          <w:lang w:val="el-GR"/>
        </w:rPr>
      </w:pPr>
      <w:r w:rsidRPr="00F05E7A">
        <w:rPr>
          <w:u w:val="single"/>
          <w:lang w:val="el-GR"/>
        </w:rPr>
        <w:t xml:space="preserve">Το </w:t>
      </w:r>
      <w:r w:rsidR="009E3C64" w:rsidRPr="00F05E7A">
        <w:rPr>
          <w:noProof/>
          <w:szCs w:val="22"/>
          <w:u w:val="single"/>
          <w:lang w:val="en-US"/>
        </w:rPr>
        <w:t>Melphalan</w:t>
      </w:r>
      <w:r w:rsidR="009E3C64" w:rsidRPr="00F05E7A">
        <w:rPr>
          <w:noProof/>
          <w:szCs w:val="22"/>
          <w:u w:val="single"/>
          <w:lang w:val="el-GR"/>
        </w:rPr>
        <w:t xml:space="preserve"> </w:t>
      </w:r>
      <w:r w:rsidR="009E3C64" w:rsidRPr="00F05E7A">
        <w:rPr>
          <w:noProof/>
          <w:szCs w:val="22"/>
          <w:u w:val="single"/>
          <w:lang w:val="en-US"/>
        </w:rPr>
        <w:t>Tillomed</w:t>
      </w:r>
      <w:r w:rsidR="009E3C64" w:rsidRPr="00F05E7A">
        <w:rPr>
          <w:noProof/>
          <w:szCs w:val="22"/>
          <w:u w:val="single"/>
          <w:lang w:val="el-GR"/>
        </w:rPr>
        <w:t xml:space="preserve"> </w:t>
      </w:r>
      <w:r w:rsidR="00B64B70" w:rsidRPr="00F05E7A">
        <w:rPr>
          <w:u w:val="single"/>
          <w:lang w:val="el-GR"/>
        </w:rPr>
        <w:t>δεν πρέπει να χρησιμοποιείται κατά τη διάρκεια της εγκυμοσύνης, ιδιαίτερα κατά τη διάρκεια του πρώτου τριμήνου (βλέπε παράγραφο 4.6).</w:t>
      </w:r>
    </w:p>
    <w:p w14:paraId="38452156" w14:textId="77777777" w:rsidR="00B64B70" w:rsidRPr="00B64B70" w:rsidRDefault="00B64B70" w:rsidP="00B64B70">
      <w:pPr>
        <w:pStyle w:val="a8"/>
        <w:numPr>
          <w:ilvl w:val="0"/>
          <w:numId w:val="47"/>
        </w:numPr>
        <w:rPr>
          <w:lang w:val="el-GR"/>
        </w:rPr>
      </w:pPr>
      <w:proofErr w:type="spellStart"/>
      <w:r>
        <w:t>Θηλ</w:t>
      </w:r>
      <w:proofErr w:type="spellEnd"/>
      <w:r>
        <w:t>ασμός (β</w:t>
      </w:r>
      <w:proofErr w:type="spellStart"/>
      <w:r>
        <w:t>λέ</w:t>
      </w:r>
      <w:proofErr w:type="spellEnd"/>
      <w:r>
        <w:t>πε πα</w:t>
      </w:r>
      <w:proofErr w:type="spellStart"/>
      <w:r>
        <w:t>ράγρ</w:t>
      </w:r>
      <w:proofErr w:type="spellEnd"/>
      <w:r>
        <w:t>αφο 4.6)</w:t>
      </w:r>
    </w:p>
    <w:p w14:paraId="4F1CB07D" w14:textId="77777777" w:rsidR="009E0FD0" w:rsidRPr="00B64B70" w:rsidRDefault="00B64B70" w:rsidP="00B64B70">
      <w:pPr>
        <w:pStyle w:val="2"/>
        <w:rPr>
          <w:lang w:val="el-GR"/>
        </w:rPr>
      </w:pPr>
      <w:r w:rsidRPr="00B64B70">
        <w:rPr>
          <w:lang w:val="el-GR"/>
        </w:rPr>
        <w:t>Ειδικές προειδοποιήσεις και προφυλάξεις κατά τη χρήση</w:t>
      </w:r>
    </w:p>
    <w:p w14:paraId="23241E79" w14:textId="4012AC69" w:rsidR="00E50F3B" w:rsidRPr="004D4277" w:rsidRDefault="00CC7262" w:rsidP="00B64B70">
      <w:pPr>
        <w:rPr>
          <w:noProof/>
          <w:lang w:val="el-GR"/>
        </w:rPr>
      </w:pPr>
      <w:r>
        <w:rPr>
          <w:noProof/>
          <w:lang w:val="el-GR"/>
        </w:rPr>
        <w:t>Το</w:t>
      </w:r>
      <w:r w:rsidRPr="003E4140">
        <w:rPr>
          <w:noProof/>
          <w:lang w:val="el-GR"/>
        </w:rPr>
        <w:t xml:space="preserve"> </w:t>
      </w:r>
      <w:r>
        <w:rPr>
          <w:noProof/>
          <w:szCs w:val="22"/>
          <w:lang w:val="en-US"/>
        </w:rPr>
        <w:t>Melphalan</w:t>
      </w:r>
      <w:r w:rsidRPr="003E4140">
        <w:rPr>
          <w:noProof/>
          <w:szCs w:val="22"/>
          <w:lang w:val="el-GR"/>
        </w:rPr>
        <w:t xml:space="preserve"> </w:t>
      </w:r>
      <w:r>
        <w:rPr>
          <w:noProof/>
          <w:szCs w:val="22"/>
          <w:lang w:val="en-US"/>
        </w:rPr>
        <w:t>Tillomed</w:t>
      </w:r>
      <w:r w:rsidRPr="003E4140">
        <w:rPr>
          <w:noProof/>
          <w:szCs w:val="22"/>
          <w:lang w:val="el-GR"/>
        </w:rPr>
        <w:t xml:space="preserve"> </w:t>
      </w:r>
      <w:r>
        <w:rPr>
          <w:noProof/>
          <w:szCs w:val="22"/>
          <w:lang w:val="el-GR"/>
        </w:rPr>
        <w:t>είναι</w:t>
      </w:r>
      <w:r w:rsidRPr="003E4140">
        <w:rPr>
          <w:noProof/>
          <w:szCs w:val="22"/>
          <w:lang w:val="el-GR"/>
        </w:rPr>
        <w:t xml:space="preserve"> </w:t>
      </w:r>
      <w:r>
        <w:rPr>
          <w:noProof/>
          <w:szCs w:val="22"/>
          <w:lang w:val="el-GR"/>
        </w:rPr>
        <w:t>ένα</w:t>
      </w:r>
      <w:r w:rsidRPr="003E4140">
        <w:rPr>
          <w:noProof/>
          <w:szCs w:val="22"/>
          <w:lang w:val="el-GR"/>
        </w:rPr>
        <w:t xml:space="preserve"> </w:t>
      </w:r>
      <w:r>
        <w:rPr>
          <w:noProof/>
          <w:szCs w:val="22"/>
          <w:lang w:val="el-GR"/>
        </w:rPr>
        <w:t>κυτταροτοξικό</w:t>
      </w:r>
      <w:r w:rsidRPr="003E4140">
        <w:rPr>
          <w:noProof/>
          <w:szCs w:val="22"/>
          <w:lang w:val="el-GR"/>
        </w:rPr>
        <w:t xml:space="preserve"> </w:t>
      </w:r>
      <w:r>
        <w:rPr>
          <w:noProof/>
          <w:szCs w:val="22"/>
          <w:lang w:val="el-GR"/>
        </w:rPr>
        <w:t>φάρμακο</w:t>
      </w:r>
      <w:r w:rsidRPr="003E4140">
        <w:rPr>
          <w:noProof/>
          <w:szCs w:val="22"/>
          <w:lang w:val="el-GR"/>
        </w:rPr>
        <w:t xml:space="preserve"> </w:t>
      </w:r>
      <w:r>
        <w:rPr>
          <w:noProof/>
          <w:szCs w:val="22"/>
          <w:lang w:val="el-GR"/>
        </w:rPr>
        <w:t>που</w:t>
      </w:r>
      <w:r w:rsidRPr="003E4140">
        <w:rPr>
          <w:noProof/>
          <w:szCs w:val="22"/>
          <w:lang w:val="el-GR"/>
        </w:rPr>
        <w:t xml:space="preserve"> </w:t>
      </w:r>
      <w:r>
        <w:rPr>
          <w:noProof/>
          <w:szCs w:val="22"/>
          <w:lang w:val="el-GR"/>
        </w:rPr>
        <w:t>εμπίπτει</w:t>
      </w:r>
      <w:r w:rsidRPr="003E4140">
        <w:rPr>
          <w:noProof/>
          <w:szCs w:val="22"/>
          <w:lang w:val="el-GR"/>
        </w:rPr>
        <w:t xml:space="preserve"> </w:t>
      </w:r>
      <w:r>
        <w:rPr>
          <w:noProof/>
          <w:szCs w:val="22"/>
          <w:lang w:val="el-GR"/>
        </w:rPr>
        <w:t>στη</w:t>
      </w:r>
      <w:r w:rsidRPr="003E4140">
        <w:rPr>
          <w:noProof/>
          <w:szCs w:val="22"/>
          <w:lang w:val="el-GR"/>
        </w:rPr>
        <w:t xml:space="preserve"> </w:t>
      </w:r>
      <w:r>
        <w:rPr>
          <w:noProof/>
          <w:szCs w:val="22"/>
          <w:lang w:val="el-GR"/>
        </w:rPr>
        <w:t>γενική</w:t>
      </w:r>
      <w:r w:rsidRPr="003E4140">
        <w:rPr>
          <w:noProof/>
          <w:szCs w:val="22"/>
          <w:lang w:val="el-GR"/>
        </w:rPr>
        <w:t xml:space="preserve"> </w:t>
      </w:r>
      <w:r>
        <w:rPr>
          <w:noProof/>
          <w:szCs w:val="22"/>
          <w:lang w:val="el-GR"/>
        </w:rPr>
        <w:t>κλάση των αλκυλιωτικών πραγόντων. Θα</w:t>
      </w:r>
      <w:r w:rsidRPr="003E4140">
        <w:rPr>
          <w:noProof/>
          <w:szCs w:val="22"/>
          <w:lang w:val="el-GR"/>
        </w:rPr>
        <w:t xml:space="preserve"> </w:t>
      </w:r>
      <w:r>
        <w:rPr>
          <w:noProof/>
          <w:szCs w:val="22"/>
          <w:lang w:val="el-GR"/>
        </w:rPr>
        <w:t>πρέπει</w:t>
      </w:r>
      <w:r w:rsidRPr="003E4140">
        <w:rPr>
          <w:noProof/>
          <w:szCs w:val="22"/>
          <w:lang w:val="el-GR"/>
        </w:rPr>
        <w:t xml:space="preserve"> </w:t>
      </w:r>
      <w:r>
        <w:rPr>
          <w:noProof/>
          <w:szCs w:val="22"/>
          <w:lang w:val="el-GR"/>
        </w:rPr>
        <w:t>να</w:t>
      </w:r>
      <w:r w:rsidRPr="003E4140">
        <w:rPr>
          <w:noProof/>
          <w:szCs w:val="22"/>
          <w:lang w:val="el-GR"/>
        </w:rPr>
        <w:t xml:space="preserve"> </w:t>
      </w:r>
      <w:r>
        <w:rPr>
          <w:noProof/>
          <w:szCs w:val="22"/>
          <w:lang w:val="el-GR"/>
        </w:rPr>
        <w:t>συνταγογραφείται</w:t>
      </w:r>
      <w:r w:rsidRPr="003E4140">
        <w:rPr>
          <w:noProof/>
          <w:szCs w:val="22"/>
          <w:lang w:val="el-GR"/>
        </w:rPr>
        <w:t xml:space="preserve"> </w:t>
      </w:r>
      <w:r>
        <w:rPr>
          <w:noProof/>
          <w:szCs w:val="22"/>
          <w:lang w:val="el-GR"/>
        </w:rPr>
        <w:t>μόνο</w:t>
      </w:r>
      <w:r w:rsidRPr="003E4140">
        <w:rPr>
          <w:noProof/>
          <w:szCs w:val="22"/>
          <w:lang w:val="el-GR"/>
        </w:rPr>
        <w:t xml:space="preserve"> </w:t>
      </w:r>
      <w:r>
        <w:rPr>
          <w:noProof/>
          <w:szCs w:val="22"/>
          <w:lang w:val="el-GR"/>
        </w:rPr>
        <w:t>από</w:t>
      </w:r>
      <w:r w:rsidRPr="003E4140">
        <w:rPr>
          <w:noProof/>
          <w:szCs w:val="22"/>
          <w:lang w:val="el-GR"/>
        </w:rPr>
        <w:t xml:space="preserve"> </w:t>
      </w:r>
      <w:r>
        <w:rPr>
          <w:noProof/>
          <w:szCs w:val="22"/>
          <w:lang w:val="el-GR"/>
        </w:rPr>
        <w:t>ιατρούς</w:t>
      </w:r>
      <w:r w:rsidRPr="003E4140">
        <w:rPr>
          <w:noProof/>
          <w:szCs w:val="22"/>
          <w:lang w:val="el-GR"/>
        </w:rPr>
        <w:t xml:space="preserve"> </w:t>
      </w:r>
      <w:r>
        <w:rPr>
          <w:noProof/>
          <w:szCs w:val="22"/>
          <w:lang w:val="el-GR"/>
        </w:rPr>
        <w:t>με</w:t>
      </w:r>
      <w:r w:rsidRPr="003E4140">
        <w:rPr>
          <w:noProof/>
          <w:szCs w:val="22"/>
          <w:lang w:val="el-GR"/>
        </w:rPr>
        <w:t xml:space="preserve"> </w:t>
      </w:r>
      <w:r>
        <w:rPr>
          <w:noProof/>
          <w:szCs w:val="22"/>
          <w:lang w:val="el-GR"/>
        </w:rPr>
        <w:t>εμπειρία</w:t>
      </w:r>
      <w:r w:rsidRPr="003E4140">
        <w:rPr>
          <w:noProof/>
          <w:szCs w:val="22"/>
          <w:lang w:val="el-GR"/>
        </w:rPr>
        <w:t xml:space="preserve"> </w:t>
      </w:r>
      <w:r>
        <w:rPr>
          <w:noProof/>
          <w:szCs w:val="22"/>
          <w:lang w:val="el-GR"/>
        </w:rPr>
        <w:t>στη διαχείριση κακοήθους νόσου, με αυτούς τους παράγοντες. Όπως</w:t>
      </w:r>
      <w:r w:rsidRPr="003E4140">
        <w:rPr>
          <w:noProof/>
          <w:szCs w:val="22"/>
          <w:lang w:val="el-GR"/>
        </w:rPr>
        <w:t xml:space="preserve"> </w:t>
      </w:r>
      <w:r>
        <w:rPr>
          <w:noProof/>
          <w:szCs w:val="22"/>
          <w:lang w:val="el-GR"/>
        </w:rPr>
        <w:t>και</w:t>
      </w:r>
      <w:r w:rsidRPr="003E4140">
        <w:rPr>
          <w:noProof/>
          <w:szCs w:val="22"/>
          <w:lang w:val="el-GR"/>
        </w:rPr>
        <w:t xml:space="preserve"> </w:t>
      </w:r>
      <w:r>
        <w:rPr>
          <w:noProof/>
          <w:szCs w:val="22"/>
          <w:lang w:val="el-GR"/>
        </w:rPr>
        <w:t>με</w:t>
      </w:r>
      <w:r w:rsidRPr="003E4140">
        <w:rPr>
          <w:noProof/>
          <w:szCs w:val="22"/>
          <w:lang w:val="el-GR"/>
        </w:rPr>
        <w:t xml:space="preserve"> </w:t>
      </w:r>
      <w:r>
        <w:rPr>
          <w:noProof/>
          <w:szCs w:val="22"/>
          <w:lang w:val="el-GR"/>
        </w:rPr>
        <w:t>άλλους</w:t>
      </w:r>
      <w:r w:rsidRPr="003E4140">
        <w:rPr>
          <w:noProof/>
          <w:szCs w:val="22"/>
          <w:lang w:val="el-GR"/>
        </w:rPr>
        <w:t xml:space="preserve"> </w:t>
      </w:r>
      <w:r>
        <w:rPr>
          <w:noProof/>
          <w:szCs w:val="22"/>
          <w:lang w:val="el-GR"/>
        </w:rPr>
        <w:t>χημειοθεραπευτικούς</w:t>
      </w:r>
      <w:r w:rsidRPr="003E4140">
        <w:rPr>
          <w:noProof/>
          <w:szCs w:val="22"/>
          <w:lang w:val="el-GR"/>
        </w:rPr>
        <w:t xml:space="preserve"> </w:t>
      </w:r>
      <w:r>
        <w:rPr>
          <w:noProof/>
          <w:szCs w:val="22"/>
          <w:lang w:val="el-GR"/>
        </w:rPr>
        <w:t>παράγοντες</w:t>
      </w:r>
      <w:r w:rsidRPr="003E4140">
        <w:rPr>
          <w:noProof/>
          <w:szCs w:val="22"/>
          <w:lang w:val="el-GR"/>
        </w:rPr>
        <w:t xml:space="preserve"> </w:t>
      </w:r>
      <w:r>
        <w:rPr>
          <w:noProof/>
          <w:szCs w:val="22"/>
          <w:lang w:val="el-GR"/>
        </w:rPr>
        <w:t>υψηλών</w:t>
      </w:r>
      <w:r w:rsidRPr="003E4140">
        <w:rPr>
          <w:noProof/>
          <w:szCs w:val="22"/>
          <w:lang w:val="el-GR"/>
        </w:rPr>
        <w:t xml:space="preserve"> </w:t>
      </w:r>
      <w:r>
        <w:rPr>
          <w:noProof/>
          <w:szCs w:val="22"/>
          <w:lang w:val="el-GR"/>
        </w:rPr>
        <w:t xml:space="preserve">δόσεων, θα πρέπει να λαμβάνονται προφυλάξεις για την πρόληψη του συνδρόμου λύσης όγκου. </w:t>
      </w:r>
    </w:p>
    <w:p w14:paraId="2EFFC583" w14:textId="77777777" w:rsidR="00E50F3B" w:rsidRPr="004D4277" w:rsidRDefault="00E50F3B" w:rsidP="00B64B70">
      <w:pPr>
        <w:rPr>
          <w:noProof/>
          <w:lang w:val="el-GR"/>
        </w:rPr>
      </w:pPr>
    </w:p>
    <w:p w14:paraId="1AAB99DB" w14:textId="3BB1CC84" w:rsidR="00A72832" w:rsidRDefault="00B64B70" w:rsidP="00B64B70">
      <w:pPr>
        <w:rPr>
          <w:noProof/>
          <w:lang w:val="el-GR"/>
        </w:rPr>
      </w:pPr>
      <w:r>
        <w:rPr>
          <w:noProof/>
          <w:lang w:val="el-GR"/>
        </w:rPr>
        <w:t xml:space="preserve">Η ανοσοποίηση με εμβόλιο </w:t>
      </w:r>
      <w:r w:rsidR="005337EF">
        <w:rPr>
          <w:noProof/>
          <w:lang w:val="el-GR"/>
        </w:rPr>
        <w:t xml:space="preserve">ζώντος </w:t>
      </w:r>
      <w:r>
        <w:rPr>
          <w:noProof/>
          <w:lang w:val="el-GR"/>
        </w:rPr>
        <w:t xml:space="preserve">οργανισμού </w:t>
      </w:r>
      <w:r w:rsidRPr="00B64B70">
        <w:rPr>
          <w:noProof/>
          <w:lang w:val="el-GR"/>
        </w:rPr>
        <w:t>έχ</w:t>
      </w:r>
      <w:r>
        <w:rPr>
          <w:noProof/>
          <w:lang w:val="el-GR"/>
        </w:rPr>
        <w:t xml:space="preserve">ει την δυνατότητα να προκαλέσει </w:t>
      </w:r>
      <w:r w:rsidR="00791A86">
        <w:rPr>
          <w:noProof/>
          <w:lang w:val="el-GR"/>
        </w:rPr>
        <w:t>λοίμωξη</w:t>
      </w:r>
      <w:r w:rsidR="00791A86" w:rsidRPr="00B64B70">
        <w:rPr>
          <w:noProof/>
          <w:lang w:val="el-GR"/>
        </w:rPr>
        <w:t xml:space="preserve"> </w:t>
      </w:r>
      <w:r w:rsidRPr="00B64B70">
        <w:rPr>
          <w:noProof/>
          <w:lang w:val="el-GR"/>
        </w:rPr>
        <w:t>σε ανοσοκατεσταλμένους ξενιστές. Ως εκ τούτου, οι εμβολιασμοί με εμβόλια ζώντων οργανισμών δεν συνιστώνται.</w:t>
      </w:r>
    </w:p>
    <w:p w14:paraId="50CA8D18" w14:textId="1C579035" w:rsidR="003D37FF" w:rsidRPr="003D37FF" w:rsidRDefault="00CC7262" w:rsidP="003D37FF">
      <w:pPr>
        <w:rPr>
          <w:noProof/>
          <w:lang w:val="el-GR"/>
        </w:rPr>
      </w:pPr>
      <w:r>
        <w:rPr>
          <w:noProof/>
          <w:lang w:val="el-GR"/>
        </w:rPr>
        <w:t>Το</w:t>
      </w:r>
      <w:r w:rsidRPr="003E4140">
        <w:rPr>
          <w:noProof/>
          <w:lang w:val="el-GR"/>
        </w:rPr>
        <w:t xml:space="preserve"> </w:t>
      </w:r>
      <w:bookmarkStart w:id="2" w:name="_Hlk482636128"/>
      <w:r>
        <w:rPr>
          <w:noProof/>
          <w:lang w:val="el-GR"/>
        </w:rPr>
        <w:t>ενέσιμο</w:t>
      </w:r>
      <w:r w:rsidRPr="003E4140">
        <w:rPr>
          <w:noProof/>
          <w:lang w:val="el-GR"/>
        </w:rPr>
        <w:t xml:space="preserve"> </w:t>
      </w:r>
      <w:r>
        <w:rPr>
          <w:noProof/>
          <w:lang w:val="el-GR"/>
        </w:rPr>
        <w:t>διάλυμα</w:t>
      </w:r>
      <w:r w:rsidRPr="003E4140">
        <w:rPr>
          <w:noProof/>
          <w:lang w:val="el-GR"/>
        </w:rPr>
        <w:t xml:space="preserve"> </w:t>
      </w:r>
      <w:r>
        <w:rPr>
          <w:noProof/>
          <w:lang w:val="el-GR"/>
        </w:rPr>
        <w:t>του</w:t>
      </w:r>
      <w:r w:rsidRPr="003E4140">
        <w:rPr>
          <w:noProof/>
          <w:lang w:val="el-GR"/>
        </w:rPr>
        <w:t xml:space="preserve"> </w:t>
      </w:r>
      <w:r>
        <w:rPr>
          <w:noProof/>
          <w:szCs w:val="22"/>
          <w:lang w:val="en-US"/>
        </w:rPr>
        <w:t>Melphalan</w:t>
      </w:r>
      <w:r w:rsidRPr="003E4140">
        <w:rPr>
          <w:noProof/>
          <w:szCs w:val="22"/>
          <w:lang w:val="el-GR"/>
        </w:rPr>
        <w:t xml:space="preserve"> </w:t>
      </w:r>
      <w:r>
        <w:rPr>
          <w:noProof/>
          <w:szCs w:val="22"/>
          <w:lang w:val="en-US"/>
        </w:rPr>
        <w:t>Tillomed</w:t>
      </w:r>
      <w:r w:rsidRPr="003E4140">
        <w:rPr>
          <w:noProof/>
          <w:lang w:val="el-GR"/>
        </w:rPr>
        <w:t xml:space="preserve"> </w:t>
      </w:r>
      <w:bookmarkEnd w:id="2"/>
      <w:r>
        <w:rPr>
          <w:noProof/>
          <w:lang w:val="el-GR"/>
        </w:rPr>
        <w:t>μπορεί</w:t>
      </w:r>
      <w:r w:rsidRPr="003E4140">
        <w:rPr>
          <w:noProof/>
          <w:lang w:val="el-GR"/>
        </w:rPr>
        <w:t xml:space="preserve"> </w:t>
      </w:r>
      <w:r>
        <w:rPr>
          <w:noProof/>
          <w:lang w:val="el-GR"/>
        </w:rPr>
        <w:t>να</w:t>
      </w:r>
      <w:r w:rsidRPr="003E4140">
        <w:rPr>
          <w:noProof/>
          <w:lang w:val="el-GR"/>
        </w:rPr>
        <w:t xml:space="preserve"> </w:t>
      </w:r>
      <w:r>
        <w:rPr>
          <w:noProof/>
          <w:lang w:val="el-GR"/>
        </w:rPr>
        <w:t>προκαλέσει</w:t>
      </w:r>
      <w:r w:rsidRPr="003E4140">
        <w:rPr>
          <w:noProof/>
          <w:lang w:val="el-GR"/>
        </w:rPr>
        <w:t xml:space="preserve"> </w:t>
      </w:r>
      <w:r w:rsidR="00331A8A">
        <w:rPr>
          <w:noProof/>
          <w:lang w:val="el-GR"/>
        </w:rPr>
        <w:t>βλάβη</w:t>
      </w:r>
      <w:r w:rsidRPr="003E4140">
        <w:rPr>
          <w:noProof/>
          <w:lang w:val="el-GR"/>
        </w:rPr>
        <w:t xml:space="preserve"> </w:t>
      </w:r>
      <w:r>
        <w:rPr>
          <w:noProof/>
          <w:lang w:val="el-GR"/>
        </w:rPr>
        <w:t>του</w:t>
      </w:r>
      <w:r w:rsidRPr="003E4140">
        <w:rPr>
          <w:noProof/>
          <w:lang w:val="el-GR"/>
        </w:rPr>
        <w:t xml:space="preserve"> </w:t>
      </w:r>
      <w:r>
        <w:rPr>
          <w:noProof/>
          <w:lang w:val="el-GR"/>
        </w:rPr>
        <w:t>ιστού</w:t>
      </w:r>
      <w:r w:rsidRPr="003E4140">
        <w:rPr>
          <w:noProof/>
          <w:lang w:val="el-GR"/>
        </w:rPr>
        <w:t xml:space="preserve">, </w:t>
      </w:r>
      <w:r w:rsidR="00FE1D7F">
        <w:rPr>
          <w:noProof/>
          <w:lang w:val="el-GR"/>
        </w:rPr>
        <w:t>τοπικά</w:t>
      </w:r>
      <w:r>
        <w:rPr>
          <w:noProof/>
          <w:lang w:val="el-GR"/>
        </w:rPr>
        <w:t>,</w:t>
      </w:r>
      <w:r w:rsidR="005A7E70">
        <w:rPr>
          <w:noProof/>
          <w:lang w:val="el-GR"/>
        </w:rPr>
        <w:t xml:space="preserve"> </w:t>
      </w:r>
      <w:r>
        <w:rPr>
          <w:noProof/>
          <w:lang w:val="el-GR"/>
        </w:rPr>
        <w:t>αν συμβεί εξαγγείωση. Ως εκ τούτου, δεν πρέπει να ενίεται απευθείας σε περιφερειακή φλέβα. Συνιστάται</w:t>
      </w:r>
      <w:r w:rsidRPr="003E4140">
        <w:rPr>
          <w:noProof/>
          <w:lang w:val="el-GR"/>
        </w:rPr>
        <w:t xml:space="preserve">, </w:t>
      </w:r>
      <w:r w:rsidR="00A34926">
        <w:rPr>
          <w:noProof/>
          <w:lang w:val="el-GR"/>
        </w:rPr>
        <w:t>το</w:t>
      </w:r>
      <w:r w:rsidR="00A34926" w:rsidRPr="003E4140">
        <w:rPr>
          <w:noProof/>
          <w:lang w:val="el-GR"/>
        </w:rPr>
        <w:t xml:space="preserve"> </w:t>
      </w:r>
      <w:r w:rsidR="00A34926">
        <w:rPr>
          <w:noProof/>
          <w:lang w:val="el-GR"/>
        </w:rPr>
        <w:t>ενέσιμο</w:t>
      </w:r>
      <w:r w:rsidR="00A34926" w:rsidRPr="003E4140">
        <w:rPr>
          <w:noProof/>
          <w:lang w:val="el-GR"/>
        </w:rPr>
        <w:t xml:space="preserve"> </w:t>
      </w:r>
      <w:r w:rsidR="00A34926">
        <w:rPr>
          <w:noProof/>
          <w:lang w:val="el-GR"/>
        </w:rPr>
        <w:t>διάλυμα</w:t>
      </w:r>
      <w:r w:rsidR="00A34926" w:rsidRPr="003E4140">
        <w:rPr>
          <w:noProof/>
          <w:lang w:val="el-GR"/>
        </w:rPr>
        <w:t xml:space="preserve"> </w:t>
      </w:r>
      <w:r w:rsidR="00A34926">
        <w:rPr>
          <w:noProof/>
          <w:lang w:val="el-GR"/>
        </w:rPr>
        <w:t>του</w:t>
      </w:r>
      <w:r w:rsidR="00A34926" w:rsidRPr="003E4140">
        <w:rPr>
          <w:noProof/>
          <w:lang w:val="el-GR"/>
        </w:rPr>
        <w:t xml:space="preserve"> </w:t>
      </w:r>
      <w:r w:rsidR="00A34926">
        <w:rPr>
          <w:noProof/>
          <w:szCs w:val="22"/>
          <w:lang w:val="en-US"/>
        </w:rPr>
        <w:t>Melphalan</w:t>
      </w:r>
      <w:r w:rsidR="00A34926" w:rsidRPr="003E4140">
        <w:rPr>
          <w:noProof/>
          <w:szCs w:val="22"/>
          <w:lang w:val="el-GR"/>
        </w:rPr>
        <w:t xml:space="preserve"> </w:t>
      </w:r>
      <w:r w:rsidR="00A34926">
        <w:rPr>
          <w:noProof/>
          <w:szCs w:val="22"/>
          <w:lang w:val="en-US"/>
        </w:rPr>
        <w:t>Tillomed</w:t>
      </w:r>
      <w:r w:rsidR="00A34926" w:rsidRPr="003E4140">
        <w:rPr>
          <w:noProof/>
          <w:szCs w:val="22"/>
          <w:lang w:val="el-GR"/>
        </w:rPr>
        <w:t xml:space="preserve"> </w:t>
      </w:r>
      <w:r w:rsidR="003D37FF">
        <w:rPr>
          <w:noProof/>
          <w:szCs w:val="22"/>
          <w:lang w:val="el-GR"/>
        </w:rPr>
        <w:t xml:space="preserve">να </w:t>
      </w:r>
      <w:proofErr w:type="spellStart"/>
      <w:r w:rsidR="003D37FF">
        <w:rPr>
          <w:szCs w:val="22"/>
          <w:lang w:val="el-GR"/>
        </w:rPr>
        <w:t>ενίεται</w:t>
      </w:r>
      <w:proofErr w:type="spellEnd"/>
      <w:r w:rsidR="003D37FF">
        <w:rPr>
          <w:szCs w:val="22"/>
          <w:lang w:val="el-GR"/>
        </w:rPr>
        <w:t xml:space="preserve"> αργά σε μια ταχέως τρεχούμενη ενδοφλέβια έγχυση μέσω μιας </w:t>
      </w:r>
      <w:r w:rsidR="003D37FF" w:rsidRPr="00793CE9">
        <w:rPr>
          <w:szCs w:val="22"/>
          <w:lang w:val="el-GR"/>
        </w:rPr>
        <w:t>θυρίδας έγχυσης</w:t>
      </w:r>
      <w:r w:rsidR="003D37FF">
        <w:rPr>
          <w:szCs w:val="22"/>
          <w:lang w:val="el-GR"/>
        </w:rPr>
        <w:t xml:space="preserve"> </w:t>
      </w:r>
      <w:r w:rsidR="003D37FF">
        <w:rPr>
          <w:noProof/>
          <w:szCs w:val="22"/>
          <w:lang w:val="el-GR"/>
        </w:rPr>
        <w:t>ή</w:t>
      </w:r>
      <w:r w:rsidR="003D37FF" w:rsidRPr="003E4140">
        <w:rPr>
          <w:noProof/>
          <w:szCs w:val="22"/>
          <w:lang w:val="el-GR"/>
        </w:rPr>
        <w:t xml:space="preserve"> </w:t>
      </w:r>
      <w:r w:rsidR="003D37FF">
        <w:rPr>
          <w:noProof/>
          <w:szCs w:val="22"/>
          <w:lang w:val="el-GR"/>
        </w:rPr>
        <w:t>μέσω κεντρικής φλεβικής γραμμής.</w:t>
      </w:r>
    </w:p>
    <w:p w14:paraId="275F3412" w14:textId="231640DE" w:rsidR="001A4438" w:rsidRPr="004D4277" w:rsidRDefault="00A34926" w:rsidP="001A4438">
      <w:pPr>
        <w:rPr>
          <w:noProof/>
          <w:lang w:val="el-GR"/>
        </w:rPr>
      </w:pPr>
      <w:r>
        <w:rPr>
          <w:noProof/>
          <w:lang w:val="el-GR"/>
        </w:rPr>
        <w:t>Λόγω</w:t>
      </w:r>
      <w:r w:rsidRPr="003E4140">
        <w:rPr>
          <w:noProof/>
          <w:lang w:val="el-GR"/>
        </w:rPr>
        <w:t xml:space="preserve"> </w:t>
      </w:r>
      <w:r>
        <w:rPr>
          <w:noProof/>
          <w:lang w:val="el-GR"/>
        </w:rPr>
        <w:t>του</w:t>
      </w:r>
      <w:r w:rsidRPr="003E4140">
        <w:rPr>
          <w:noProof/>
          <w:lang w:val="el-GR"/>
        </w:rPr>
        <w:t xml:space="preserve"> </w:t>
      </w:r>
      <w:r>
        <w:rPr>
          <w:noProof/>
          <w:lang w:val="el-GR"/>
        </w:rPr>
        <w:t>πιθανού</w:t>
      </w:r>
      <w:r w:rsidRPr="003E4140">
        <w:rPr>
          <w:noProof/>
          <w:lang w:val="el-GR"/>
        </w:rPr>
        <w:t xml:space="preserve"> </w:t>
      </w:r>
      <w:r>
        <w:rPr>
          <w:noProof/>
          <w:lang w:val="el-GR"/>
        </w:rPr>
        <w:t>κινδύνου</w:t>
      </w:r>
      <w:r w:rsidRPr="003E4140">
        <w:rPr>
          <w:noProof/>
          <w:lang w:val="el-GR"/>
        </w:rPr>
        <w:t xml:space="preserve"> </w:t>
      </w:r>
      <w:r>
        <w:rPr>
          <w:noProof/>
          <w:lang w:val="el-GR"/>
        </w:rPr>
        <w:t>και</w:t>
      </w:r>
      <w:r w:rsidRPr="003E4140">
        <w:rPr>
          <w:noProof/>
          <w:lang w:val="el-GR"/>
        </w:rPr>
        <w:t xml:space="preserve"> </w:t>
      </w:r>
      <w:r>
        <w:rPr>
          <w:noProof/>
          <w:lang w:val="el-GR"/>
        </w:rPr>
        <w:t>της</w:t>
      </w:r>
      <w:r w:rsidRPr="003E4140">
        <w:rPr>
          <w:noProof/>
          <w:lang w:val="el-GR"/>
        </w:rPr>
        <w:t xml:space="preserve"> </w:t>
      </w:r>
      <w:r>
        <w:rPr>
          <w:noProof/>
          <w:lang w:val="el-GR"/>
        </w:rPr>
        <w:t>υποστηρικτικής</w:t>
      </w:r>
      <w:r w:rsidRPr="003E4140">
        <w:rPr>
          <w:noProof/>
          <w:lang w:val="el-GR"/>
        </w:rPr>
        <w:t xml:space="preserve"> </w:t>
      </w:r>
      <w:r>
        <w:rPr>
          <w:noProof/>
          <w:lang w:val="el-GR"/>
        </w:rPr>
        <w:t>φροντίδας</w:t>
      </w:r>
      <w:r w:rsidRPr="003E4140">
        <w:rPr>
          <w:noProof/>
          <w:lang w:val="el-GR"/>
        </w:rPr>
        <w:t xml:space="preserve"> </w:t>
      </w:r>
      <w:r>
        <w:rPr>
          <w:noProof/>
          <w:lang w:val="el-GR"/>
        </w:rPr>
        <w:t>που</w:t>
      </w:r>
      <w:r w:rsidRPr="003E4140">
        <w:rPr>
          <w:noProof/>
          <w:lang w:val="el-GR"/>
        </w:rPr>
        <w:t xml:space="preserve"> </w:t>
      </w:r>
      <w:r>
        <w:rPr>
          <w:noProof/>
          <w:lang w:val="el-GR"/>
        </w:rPr>
        <w:t>απαιτείται</w:t>
      </w:r>
      <w:r w:rsidRPr="003E4140">
        <w:rPr>
          <w:noProof/>
          <w:lang w:val="el-GR"/>
        </w:rPr>
        <w:t xml:space="preserve">, </w:t>
      </w:r>
      <w:r>
        <w:rPr>
          <w:noProof/>
          <w:lang w:val="el-GR"/>
        </w:rPr>
        <w:t>η</w:t>
      </w:r>
      <w:r w:rsidRPr="003E4140">
        <w:rPr>
          <w:noProof/>
          <w:lang w:val="el-GR"/>
        </w:rPr>
        <w:t xml:space="preserve"> </w:t>
      </w:r>
      <w:r>
        <w:rPr>
          <w:noProof/>
          <w:lang w:val="el-GR"/>
        </w:rPr>
        <w:t>χορήγηση</w:t>
      </w:r>
      <w:r w:rsidRPr="003E4140">
        <w:rPr>
          <w:noProof/>
          <w:lang w:val="el-GR"/>
        </w:rPr>
        <w:t xml:space="preserve"> </w:t>
      </w:r>
      <w:r>
        <w:rPr>
          <w:noProof/>
          <w:lang w:val="el-GR"/>
        </w:rPr>
        <w:t>υψηλών</w:t>
      </w:r>
      <w:r w:rsidRPr="003E4140">
        <w:rPr>
          <w:noProof/>
          <w:lang w:val="el-GR"/>
        </w:rPr>
        <w:t xml:space="preserve"> </w:t>
      </w:r>
      <w:r>
        <w:rPr>
          <w:noProof/>
          <w:lang w:val="el-GR"/>
        </w:rPr>
        <w:t>δόσεων</w:t>
      </w:r>
      <w:r w:rsidRPr="003E4140">
        <w:rPr>
          <w:noProof/>
          <w:lang w:val="el-GR"/>
        </w:rPr>
        <w:t xml:space="preserve"> </w:t>
      </w:r>
      <w:r>
        <w:rPr>
          <w:noProof/>
          <w:lang w:val="el-GR"/>
        </w:rPr>
        <w:t>του</w:t>
      </w:r>
      <w:r w:rsidRPr="003E4140">
        <w:rPr>
          <w:noProof/>
          <w:lang w:val="el-GR"/>
        </w:rPr>
        <w:t xml:space="preserve"> </w:t>
      </w:r>
      <w:r>
        <w:rPr>
          <w:noProof/>
          <w:lang w:val="el-GR"/>
        </w:rPr>
        <w:t>ενέσιμου</w:t>
      </w:r>
      <w:r w:rsidRPr="003E4140">
        <w:rPr>
          <w:noProof/>
          <w:lang w:val="el-GR"/>
        </w:rPr>
        <w:t xml:space="preserve"> </w:t>
      </w:r>
      <w:bookmarkStart w:id="3" w:name="_Hlk482636462"/>
      <w:r>
        <w:rPr>
          <w:noProof/>
          <w:szCs w:val="22"/>
          <w:lang w:val="en-US"/>
        </w:rPr>
        <w:t>Melphalan</w:t>
      </w:r>
      <w:r w:rsidRPr="003E4140">
        <w:rPr>
          <w:noProof/>
          <w:szCs w:val="22"/>
          <w:lang w:val="el-GR"/>
        </w:rPr>
        <w:t xml:space="preserve"> </w:t>
      </w:r>
      <w:r>
        <w:rPr>
          <w:noProof/>
          <w:szCs w:val="22"/>
          <w:lang w:val="en-US"/>
        </w:rPr>
        <w:t>Tillomed</w:t>
      </w:r>
      <w:r w:rsidRPr="003E4140">
        <w:rPr>
          <w:noProof/>
          <w:szCs w:val="22"/>
          <w:lang w:val="el-GR"/>
        </w:rPr>
        <w:t xml:space="preserve"> </w:t>
      </w:r>
      <w:bookmarkEnd w:id="3"/>
      <w:r>
        <w:rPr>
          <w:noProof/>
          <w:szCs w:val="22"/>
          <w:lang w:val="el-GR"/>
        </w:rPr>
        <w:t>θα</w:t>
      </w:r>
      <w:r w:rsidRPr="003E4140">
        <w:rPr>
          <w:noProof/>
          <w:szCs w:val="22"/>
          <w:lang w:val="el-GR"/>
        </w:rPr>
        <w:t xml:space="preserve"> </w:t>
      </w:r>
      <w:r>
        <w:rPr>
          <w:noProof/>
          <w:szCs w:val="22"/>
          <w:lang w:val="el-GR"/>
        </w:rPr>
        <w:t>πρέπει</w:t>
      </w:r>
      <w:r w:rsidRPr="003E4140">
        <w:rPr>
          <w:noProof/>
          <w:szCs w:val="22"/>
          <w:lang w:val="el-GR"/>
        </w:rPr>
        <w:t xml:space="preserve"> </w:t>
      </w:r>
      <w:r>
        <w:rPr>
          <w:noProof/>
          <w:szCs w:val="22"/>
          <w:lang w:val="el-GR"/>
        </w:rPr>
        <w:t>να</w:t>
      </w:r>
      <w:r w:rsidRPr="003E4140">
        <w:rPr>
          <w:noProof/>
          <w:szCs w:val="22"/>
          <w:lang w:val="el-GR"/>
        </w:rPr>
        <w:t xml:space="preserve"> </w:t>
      </w:r>
      <w:r>
        <w:rPr>
          <w:noProof/>
          <w:szCs w:val="22"/>
          <w:lang w:val="el-GR"/>
        </w:rPr>
        <w:t>διεξάγεται</w:t>
      </w:r>
      <w:r w:rsidRPr="003E4140">
        <w:rPr>
          <w:noProof/>
          <w:szCs w:val="22"/>
          <w:lang w:val="el-GR"/>
        </w:rPr>
        <w:t xml:space="preserve"> </w:t>
      </w:r>
      <w:r>
        <w:rPr>
          <w:noProof/>
          <w:szCs w:val="22"/>
          <w:lang w:val="el-GR"/>
        </w:rPr>
        <w:t>σε</w:t>
      </w:r>
      <w:r w:rsidRPr="003E4140">
        <w:rPr>
          <w:noProof/>
          <w:szCs w:val="22"/>
          <w:lang w:val="el-GR"/>
        </w:rPr>
        <w:t xml:space="preserve"> </w:t>
      </w:r>
      <w:r>
        <w:rPr>
          <w:noProof/>
          <w:szCs w:val="22"/>
          <w:lang w:val="el-GR"/>
        </w:rPr>
        <w:t>ειδικά</w:t>
      </w:r>
      <w:r w:rsidRPr="003E4140">
        <w:rPr>
          <w:noProof/>
          <w:szCs w:val="22"/>
          <w:lang w:val="el-GR"/>
        </w:rPr>
        <w:t xml:space="preserve"> </w:t>
      </w:r>
      <w:r>
        <w:rPr>
          <w:noProof/>
          <w:szCs w:val="22"/>
          <w:lang w:val="el-GR"/>
        </w:rPr>
        <w:t>κέντρα</w:t>
      </w:r>
      <w:r w:rsidRPr="003E4140">
        <w:rPr>
          <w:noProof/>
          <w:szCs w:val="22"/>
          <w:lang w:val="el-GR"/>
        </w:rPr>
        <w:t xml:space="preserve"> </w:t>
      </w:r>
      <w:r>
        <w:rPr>
          <w:noProof/>
          <w:szCs w:val="22"/>
          <w:lang w:val="el-GR"/>
        </w:rPr>
        <w:t>με</w:t>
      </w:r>
      <w:r w:rsidRPr="003E4140">
        <w:rPr>
          <w:noProof/>
          <w:szCs w:val="22"/>
          <w:lang w:val="el-GR"/>
        </w:rPr>
        <w:t xml:space="preserve"> </w:t>
      </w:r>
      <w:r>
        <w:rPr>
          <w:noProof/>
          <w:szCs w:val="22"/>
          <w:lang w:val="el-GR"/>
        </w:rPr>
        <w:t>τον</w:t>
      </w:r>
      <w:r w:rsidRPr="003E4140">
        <w:rPr>
          <w:noProof/>
          <w:szCs w:val="22"/>
          <w:lang w:val="el-GR"/>
        </w:rPr>
        <w:t xml:space="preserve"> </w:t>
      </w:r>
      <w:r>
        <w:rPr>
          <w:noProof/>
          <w:szCs w:val="22"/>
          <w:lang w:val="el-GR"/>
        </w:rPr>
        <w:t>κατάλληλο</w:t>
      </w:r>
      <w:r w:rsidRPr="003E4140">
        <w:rPr>
          <w:noProof/>
          <w:szCs w:val="22"/>
          <w:lang w:val="el-GR"/>
        </w:rPr>
        <w:t xml:space="preserve"> </w:t>
      </w:r>
      <w:r>
        <w:rPr>
          <w:noProof/>
          <w:szCs w:val="22"/>
          <w:lang w:val="el-GR"/>
        </w:rPr>
        <w:t>εξοπλισμό</w:t>
      </w:r>
      <w:r w:rsidRPr="003E4140">
        <w:rPr>
          <w:noProof/>
          <w:szCs w:val="22"/>
          <w:lang w:val="el-GR"/>
        </w:rPr>
        <w:t xml:space="preserve"> </w:t>
      </w:r>
      <w:r>
        <w:rPr>
          <w:noProof/>
          <w:szCs w:val="22"/>
          <w:lang w:val="el-GR"/>
        </w:rPr>
        <w:t>και</w:t>
      </w:r>
      <w:r w:rsidRPr="003E4140">
        <w:rPr>
          <w:noProof/>
          <w:szCs w:val="22"/>
          <w:lang w:val="el-GR"/>
        </w:rPr>
        <w:t xml:space="preserve"> </w:t>
      </w:r>
      <w:r>
        <w:rPr>
          <w:noProof/>
          <w:szCs w:val="22"/>
          <w:lang w:val="el-GR"/>
        </w:rPr>
        <w:t>από</w:t>
      </w:r>
      <w:r w:rsidRPr="003E4140">
        <w:rPr>
          <w:noProof/>
          <w:szCs w:val="22"/>
          <w:lang w:val="el-GR"/>
        </w:rPr>
        <w:t xml:space="preserve"> </w:t>
      </w:r>
      <w:r>
        <w:rPr>
          <w:noProof/>
          <w:szCs w:val="22"/>
          <w:lang w:val="el-GR"/>
        </w:rPr>
        <w:t>έμπειρους</w:t>
      </w:r>
      <w:r w:rsidRPr="003E4140">
        <w:rPr>
          <w:noProof/>
          <w:szCs w:val="22"/>
          <w:lang w:val="el-GR"/>
        </w:rPr>
        <w:t xml:space="preserve"> </w:t>
      </w:r>
      <w:r>
        <w:rPr>
          <w:noProof/>
          <w:szCs w:val="22"/>
          <w:lang w:val="el-GR"/>
        </w:rPr>
        <w:t>κλινικούς</w:t>
      </w:r>
      <w:r w:rsidRPr="003E4140">
        <w:rPr>
          <w:noProof/>
          <w:szCs w:val="22"/>
          <w:lang w:val="el-GR"/>
        </w:rPr>
        <w:t xml:space="preserve"> </w:t>
      </w:r>
      <w:r>
        <w:rPr>
          <w:noProof/>
          <w:szCs w:val="22"/>
          <w:lang w:val="el-GR"/>
        </w:rPr>
        <w:t>ιατρούς.</w:t>
      </w:r>
      <w:r w:rsidRPr="003E4140">
        <w:rPr>
          <w:noProof/>
          <w:lang w:val="el-GR"/>
        </w:rPr>
        <w:t xml:space="preserve"> </w:t>
      </w:r>
    </w:p>
    <w:p w14:paraId="0A5D5E8C" w14:textId="57FC3CD1" w:rsidR="001A4438" w:rsidRPr="008B25FF" w:rsidRDefault="00A34926" w:rsidP="001A4438">
      <w:pPr>
        <w:rPr>
          <w:noProof/>
          <w:lang w:val="el-GR"/>
        </w:rPr>
      </w:pPr>
      <w:r>
        <w:rPr>
          <w:noProof/>
          <w:lang w:val="el-GR"/>
        </w:rPr>
        <w:t>Σε</w:t>
      </w:r>
      <w:r w:rsidRPr="008B25FF">
        <w:rPr>
          <w:noProof/>
          <w:lang w:val="el-GR"/>
        </w:rPr>
        <w:t xml:space="preserve"> </w:t>
      </w:r>
      <w:r>
        <w:rPr>
          <w:noProof/>
          <w:lang w:val="el-GR"/>
        </w:rPr>
        <w:t>ασθενείς</w:t>
      </w:r>
      <w:r w:rsidRPr="008B25FF">
        <w:rPr>
          <w:noProof/>
          <w:lang w:val="el-GR"/>
        </w:rPr>
        <w:t xml:space="preserve"> </w:t>
      </w:r>
      <w:r>
        <w:rPr>
          <w:noProof/>
          <w:lang w:val="el-GR"/>
        </w:rPr>
        <w:t>που</w:t>
      </w:r>
      <w:r w:rsidRPr="008B25FF">
        <w:rPr>
          <w:noProof/>
          <w:lang w:val="el-GR"/>
        </w:rPr>
        <w:t xml:space="preserve"> </w:t>
      </w:r>
      <w:r>
        <w:rPr>
          <w:noProof/>
          <w:lang w:val="el-GR"/>
        </w:rPr>
        <w:t>λαμβάνουν</w:t>
      </w:r>
      <w:r w:rsidRPr="008B25FF">
        <w:rPr>
          <w:noProof/>
          <w:lang w:val="el-GR"/>
        </w:rPr>
        <w:t xml:space="preserve"> </w:t>
      </w:r>
      <w:r>
        <w:rPr>
          <w:noProof/>
          <w:lang w:val="el-GR"/>
        </w:rPr>
        <w:t>υψηλή</w:t>
      </w:r>
      <w:r w:rsidRPr="008B25FF">
        <w:rPr>
          <w:noProof/>
          <w:lang w:val="el-GR"/>
        </w:rPr>
        <w:t xml:space="preserve"> </w:t>
      </w:r>
      <w:r>
        <w:rPr>
          <w:noProof/>
          <w:lang w:val="el-GR"/>
        </w:rPr>
        <w:t>δόση</w:t>
      </w:r>
      <w:r w:rsidRPr="008B25FF">
        <w:rPr>
          <w:noProof/>
          <w:lang w:val="el-GR"/>
        </w:rPr>
        <w:t xml:space="preserve"> </w:t>
      </w:r>
      <w:r>
        <w:rPr>
          <w:noProof/>
          <w:szCs w:val="22"/>
          <w:lang w:val="en-US"/>
        </w:rPr>
        <w:t>Melphalan</w:t>
      </w:r>
      <w:r w:rsidRPr="008B25FF">
        <w:rPr>
          <w:noProof/>
          <w:szCs w:val="22"/>
          <w:lang w:val="el-GR"/>
        </w:rPr>
        <w:t xml:space="preserve"> </w:t>
      </w:r>
      <w:r>
        <w:rPr>
          <w:noProof/>
          <w:szCs w:val="22"/>
          <w:lang w:val="en-US"/>
        </w:rPr>
        <w:t>Tillomed</w:t>
      </w:r>
      <w:r w:rsidRPr="008B25FF">
        <w:rPr>
          <w:noProof/>
          <w:szCs w:val="22"/>
          <w:lang w:val="el-GR"/>
        </w:rPr>
        <w:t xml:space="preserve"> </w:t>
      </w:r>
      <w:r>
        <w:rPr>
          <w:noProof/>
          <w:szCs w:val="22"/>
          <w:lang w:val="el-GR"/>
        </w:rPr>
        <w:t>θα</w:t>
      </w:r>
      <w:r w:rsidRPr="008B25FF">
        <w:rPr>
          <w:noProof/>
          <w:szCs w:val="22"/>
          <w:lang w:val="el-GR"/>
        </w:rPr>
        <w:t xml:space="preserve"> </w:t>
      </w:r>
      <w:r>
        <w:rPr>
          <w:noProof/>
          <w:szCs w:val="22"/>
          <w:lang w:val="el-GR"/>
        </w:rPr>
        <w:t>πρέπει</w:t>
      </w:r>
      <w:r w:rsidRPr="008B25FF">
        <w:rPr>
          <w:noProof/>
          <w:szCs w:val="22"/>
          <w:lang w:val="el-GR"/>
        </w:rPr>
        <w:t xml:space="preserve"> </w:t>
      </w:r>
      <w:r>
        <w:rPr>
          <w:noProof/>
          <w:szCs w:val="22"/>
          <w:lang w:val="el-GR"/>
        </w:rPr>
        <w:t>να</w:t>
      </w:r>
      <w:r w:rsidRPr="008B25FF">
        <w:rPr>
          <w:noProof/>
          <w:szCs w:val="22"/>
          <w:lang w:val="el-GR"/>
        </w:rPr>
        <w:t xml:space="preserve"> </w:t>
      </w:r>
      <w:r>
        <w:rPr>
          <w:noProof/>
          <w:szCs w:val="22"/>
          <w:lang w:val="el-GR"/>
        </w:rPr>
        <w:t>λαμβάνεται</w:t>
      </w:r>
      <w:r w:rsidRPr="008B25FF">
        <w:rPr>
          <w:noProof/>
          <w:szCs w:val="22"/>
          <w:lang w:val="el-GR"/>
        </w:rPr>
        <w:t xml:space="preserve"> </w:t>
      </w:r>
      <w:r>
        <w:rPr>
          <w:noProof/>
          <w:szCs w:val="22"/>
          <w:lang w:val="el-GR"/>
        </w:rPr>
        <w:t>υπόψη</w:t>
      </w:r>
      <w:r w:rsidRPr="008B25FF">
        <w:rPr>
          <w:noProof/>
          <w:szCs w:val="22"/>
          <w:lang w:val="el-GR"/>
        </w:rPr>
        <w:t xml:space="preserve"> </w:t>
      </w:r>
      <w:r>
        <w:rPr>
          <w:noProof/>
          <w:szCs w:val="22"/>
          <w:lang w:val="el-GR"/>
        </w:rPr>
        <w:t>η</w:t>
      </w:r>
      <w:r w:rsidRPr="008B25FF">
        <w:rPr>
          <w:noProof/>
          <w:szCs w:val="22"/>
          <w:lang w:val="el-GR"/>
        </w:rPr>
        <w:t xml:space="preserve"> </w:t>
      </w:r>
      <w:r>
        <w:rPr>
          <w:noProof/>
          <w:szCs w:val="22"/>
          <w:lang w:val="el-GR"/>
        </w:rPr>
        <w:t>προφυλακτική</w:t>
      </w:r>
      <w:r w:rsidRPr="008B25FF">
        <w:rPr>
          <w:noProof/>
          <w:szCs w:val="22"/>
          <w:lang w:val="el-GR"/>
        </w:rPr>
        <w:t xml:space="preserve"> </w:t>
      </w:r>
      <w:r>
        <w:rPr>
          <w:noProof/>
          <w:szCs w:val="22"/>
          <w:lang w:val="el-GR"/>
        </w:rPr>
        <w:t>χορήγηση</w:t>
      </w:r>
      <w:r w:rsidRPr="008B25FF">
        <w:rPr>
          <w:noProof/>
          <w:szCs w:val="22"/>
          <w:lang w:val="el-GR"/>
        </w:rPr>
        <w:t xml:space="preserve"> </w:t>
      </w:r>
      <w:r w:rsidR="008B25FF">
        <w:rPr>
          <w:noProof/>
          <w:szCs w:val="22"/>
          <w:lang w:val="el-GR"/>
        </w:rPr>
        <w:t>αντιμικροβιακών</w:t>
      </w:r>
      <w:r w:rsidRPr="008B25FF">
        <w:rPr>
          <w:noProof/>
          <w:szCs w:val="22"/>
          <w:lang w:val="el-GR"/>
        </w:rPr>
        <w:t xml:space="preserve"> </w:t>
      </w:r>
      <w:r>
        <w:rPr>
          <w:noProof/>
          <w:szCs w:val="22"/>
          <w:lang w:val="el-GR"/>
        </w:rPr>
        <w:t>παραγόντων</w:t>
      </w:r>
      <w:r w:rsidRPr="008B25FF">
        <w:rPr>
          <w:noProof/>
          <w:szCs w:val="22"/>
          <w:lang w:val="el-GR"/>
        </w:rPr>
        <w:t xml:space="preserve"> </w:t>
      </w:r>
      <w:r>
        <w:rPr>
          <w:noProof/>
          <w:szCs w:val="22"/>
          <w:lang w:val="el-GR"/>
        </w:rPr>
        <w:t>και</w:t>
      </w:r>
      <w:r w:rsidRPr="008B25FF">
        <w:rPr>
          <w:noProof/>
          <w:szCs w:val="22"/>
          <w:lang w:val="el-GR"/>
        </w:rPr>
        <w:t xml:space="preserve"> </w:t>
      </w:r>
      <w:r>
        <w:rPr>
          <w:noProof/>
          <w:szCs w:val="22"/>
          <w:lang w:val="el-GR"/>
        </w:rPr>
        <w:t>προϊόντων</w:t>
      </w:r>
      <w:r w:rsidRPr="008B25FF">
        <w:rPr>
          <w:noProof/>
          <w:szCs w:val="22"/>
          <w:lang w:val="el-GR"/>
        </w:rPr>
        <w:t xml:space="preserve"> </w:t>
      </w:r>
      <w:r>
        <w:rPr>
          <w:noProof/>
          <w:szCs w:val="22"/>
          <w:lang w:val="el-GR"/>
        </w:rPr>
        <w:t>αίματος</w:t>
      </w:r>
      <w:r w:rsidR="008B25FF">
        <w:rPr>
          <w:noProof/>
          <w:szCs w:val="22"/>
          <w:lang w:val="el-GR"/>
        </w:rPr>
        <w:t>, όπως απαιτείται.</w:t>
      </w:r>
    </w:p>
    <w:p w14:paraId="5D73C08F" w14:textId="28B77AEE" w:rsidR="00871491" w:rsidRPr="004707B7" w:rsidRDefault="003E4140" w:rsidP="001A4438">
      <w:pPr>
        <w:rPr>
          <w:noProof/>
          <w:lang w:val="el-GR"/>
        </w:rPr>
      </w:pPr>
      <w:r>
        <w:rPr>
          <w:noProof/>
          <w:lang w:val="el-GR"/>
        </w:rPr>
        <w:t>Θα</w:t>
      </w:r>
      <w:r w:rsidRPr="003E4140">
        <w:rPr>
          <w:noProof/>
          <w:lang w:val="el-GR"/>
        </w:rPr>
        <w:t xml:space="preserve"> </w:t>
      </w:r>
      <w:r>
        <w:rPr>
          <w:noProof/>
          <w:lang w:val="el-GR"/>
        </w:rPr>
        <w:t>πρέπει</w:t>
      </w:r>
      <w:r w:rsidRPr="003E4140">
        <w:rPr>
          <w:noProof/>
          <w:lang w:val="el-GR"/>
        </w:rPr>
        <w:t xml:space="preserve"> </w:t>
      </w:r>
      <w:r>
        <w:rPr>
          <w:noProof/>
          <w:lang w:val="el-GR"/>
        </w:rPr>
        <w:t>να</w:t>
      </w:r>
      <w:r w:rsidRPr="003E4140">
        <w:rPr>
          <w:noProof/>
          <w:lang w:val="el-GR"/>
        </w:rPr>
        <w:t xml:space="preserve"> </w:t>
      </w:r>
      <w:r>
        <w:rPr>
          <w:noProof/>
          <w:lang w:val="el-GR"/>
        </w:rPr>
        <w:t>λαμβάνεται</w:t>
      </w:r>
      <w:r w:rsidRPr="003E4140">
        <w:rPr>
          <w:noProof/>
          <w:lang w:val="el-GR"/>
        </w:rPr>
        <w:t xml:space="preserve"> </w:t>
      </w:r>
      <w:r>
        <w:rPr>
          <w:noProof/>
          <w:lang w:val="el-GR"/>
        </w:rPr>
        <w:t>υπόψη</w:t>
      </w:r>
      <w:r w:rsidRPr="003E4140">
        <w:rPr>
          <w:noProof/>
          <w:lang w:val="el-GR"/>
        </w:rPr>
        <w:t xml:space="preserve"> </w:t>
      </w:r>
      <w:r>
        <w:rPr>
          <w:noProof/>
          <w:lang w:val="el-GR"/>
        </w:rPr>
        <w:t>η</w:t>
      </w:r>
      <w:r w:rsidRPr="003E4140">
        <w:rPr>
          <w:noProof/>
          <w:lang w:val="el-GR"/>
        </w:rPr>
        <w:t xml:space="preserve"> </w:t>
      </w:r>
      <w:r>
        <w:rPr>
          <w:noProof/>
          <w:lang w:val="el-GR"/>
        </w:rPr>
        <w:t>διασφάλιση</w:t>
      </w:r>
      <w:r w:rsidRPr="003E4140">
        <w:rPr>
          <w:noProof/>
          <w:lang w:val="el-GR"/>
        </w:rPr>
        <w:t xml:space="preserve"> </w:t>
      </w:r>
      <w:r>
        <w:rPr>
          <w:noProof/>
          <w:lang w:val="el-GR"/>
        </w:rPr>
        <w:t>ικανοποιητικής</w:t>
      </w:r>
      <w:r w:rsidRPr="003E4140">
        <w:rPr>
          <w:noProof/>
          <w:lang w:val="el-GR"/>
        </w:rPr>
        <w:t xml:space="preserve"> </w:t>
      </w:r>
      <w:r>
        <w:rPr>
          <w:noProof/>
          <w:lang w:val="el-GR"/>
        </w:rPr>
        <w:t>κατάστασης</w:t>
      </w:r>
      <w:r w:rsidRPr="003E4140">
        <w:rPr>
          <w:noProof/>
          <w:lang w:val="el-GR"/>
        </w:rPr>
        <w:t xml:space="preserve"> </w:t>
      </w:r>
      <w:r>
        <w:rPr>
          <w:noProof/>
          <w:lang w:val="el-GR"/>
        </w:rPr>
        <w:t>του</w:t>
      </w:r>
      <w:r w:rsidRPr="003E4140">
        <w:rPr>
          <w:noProof/>
          <w:lang w:val="el-GR"/>
        </w:rPr>
        <w:t xml:space="preserve"> </w:t>
      </w:r>
      <w:r>
        <w:rPr>
          <w:noProof/>
          <w:lang w:val="el-GR"/>
        </w:rPr>
        <w:t>οργανισμού</w:t>
      </w:r>
      <w:r w:rsidRPr="003E4140">
        <w:rPr>
          <w:noProof/>
          <w:lang w:val="el-GR"/>
        </w:rPr>
        <w:t xml:space="preserve"> </w:t>
      </w:r>
      <w:r>
        <w:rPr>
          <w:noProof/>
          <w:lang w:val="el-GR"/>
        </w:rPr>
        <w:t>και</w:t>
      </w:r>
      <w:r w:rsidRPr="003E4140">
        <w:rPr>
          <w:noProof/>
          <w:lang w:val="el-GR"/>
        </w:rPr>
        <w:t xml:space="preserve"> </w:t>
      </w:r>
      <w:r>
        <w:rPr>
          <w:noProof/>
          <w:lang w:val="el-GR"/>
        </w:rPr>
        <w:t>λειτουργίας</w:t>
      </w:r>
      <w:r w:rsidRPr="003E4140">
        <w:rPr>
          <w:noProof/>
          <w:lang w:val="el-GR"/>
        </w:rPr>
        <w:t xml:space="preserve"> </w:t>
      </w:r>
      <w:r>
        <w:rPr>
          <w:noProof/>
          <w:lang w:val="el-GR"/>
        </w:rPr>
        <w:t>των</w:t>
      </w:r>
      <w:r w:rsidRPr="003E4140">
        <w:rPr>
          <w:noProof/>
          <w:lang w:val="el-GR"/>
        </w:rPr>
        <w:t xml:space="preserve"> </w:t>
      </w:r>
      <w:r>
        <w:rPr>
          <w:noProof/>
          <w:lang w:val="el-GR"/>
        </w:rPr>
        <w:t>οργάνων</w:t>
      </w:r>
      <w:r w:rsidRPr="003E4140">
        <w:rPr>
          <w:noProof/>
          <w:lang w:val="el-GR"/>
        </w:rPr>
        <w:t xml:space="preserve"> </w:t>
      </w:r>
      <w:r>
        <w:rPr>
          <w:noProof/>
          <w:lang w:val="el-GR"/>
        </w:rPr>
        <w:t>πριν</w:t>
      </w:r>
      <w:r w:rsidRPr="003E4140">
        <w:rPr>
          <w:noProof/>
          <w:lang w:val="el-GR"/>
        </w:rPr>
        <w:t xml:space="preserve"> </w:t>
      </w:r>
      <w:r>
        <w:rPr>
          <w:noProof/>
          <w:lang w:val="el-GR"/>
        </w:rPr>
        <w:t>τη</w:t>
      </w:r>
      <w:r w:rsidRPr="003E4140">
        <w:rPr>
          <w:noProof/>
          <w:lang w:val="el-GR"/>
        </w:rPr>
        <w:t xml:space="preserve"> </w:t>
      </w:r>
      <w:r>
        <w:rPr>
          <w:noProof/>
          <w:lang w:val="el-GR"/>
        </w:rPr>
        <w:t>χορήγηση</w:t>
      </w:r>
      <w:r w:rsidRPr="003E4140">
        <w:rPr>
          <w:noProof/>
          <w:lang w:val="el-GR"/>
        </w:rPr>
        <w:t xml:space="preserve"> </w:t>
      </w:r>
      <w:r>
        <w:rPr>
          <w:noProof/>
          <w:lang w:val="el-GR"/>
        </w:rPr>
        <w:t>υψηλών</w:t>
      </w:r>
      <w:r w:rsidRPr="003E4140">
        <w:rPr>
          <w:noProof/>
          <w:lang w:val="el-GR"/>
        </w:rPr>
        <w:t xml:space="preserve"> </w:t>
      </w:r>
      <w:r>
        <w:rPr>
          <w:noProof/>
          <w:lang w:val="el-GR"/>
        </w:rPr>
        <w:t>δόσεων</w:t>
      </w:r>
      <w:r w:rsidRPr="003E4140">
        <w:rPr>
          <w:noProof/>
          <w:lang w:val="el-GR"/>
        </w:rPr>
        <w:t xml:space="preserve"> </w:t>
      </w:r>
      <w:r>
        <w:rPr>
          <w:noProof/>
          <w:lang w:val="el-GR"/>
        </w:rPr>
        <w:t>ενέσιμου</w:t>
      </w:r>
      <w:r w:rsidRPr="003E4140">
        <w:rPr>
          <w:noProof/>
          <w:lang w:val="el-GR"/>
        </w:rPr>
        <w:t xml:space="preserve"> </w:t>
      </w:r>
      <w:r>
        <w:rPr>
          <w:noProof/>
          <w:szCs w:val="22"/>
          <w:lang w:val="en-US"/>
        </w:rPr>
        <w:t>Melphalan</w:t>
      </w:r>
      <w:r w:rsidRPr="003E4140">
        <w:rPr>
          <w:noProof/>
          <w:szCs w:val="22"/>
          <w:lang w:val="el-GR"/>
        </w:rPr>
        <w:t xml:space="preserve"> </w:t>
      </w:r>
      <w:r>
        <w:rPr>
          <w:noProof/>
          <w:szCs w:val="22"/>
          <w:lang w:val="en-US"/>
        </w:rPr>
        <w:t>Tillomed</w:t>
      </w:r>
      <w:r w:rsidRPr="003E4140">
        <w:rPr>
          <w:bCs/>
          <w:iCs/>
          <w:szCs w:val="22"/>
          <w:lang w:val="el-GR"/>
        </w:rPr>
        <w:t xml:space="preserve"> </w:t>
      </w:r>
      <w:r>
        <w:rPr>
          <w:bCs/>
          <w:iCs/>
          <w:szCs w:val="22"/>
          <w:lang w:val="el-GR"/>
        </w:rPr>
        <w:t xml:space="preserve">Το </w:t>
      </w:r>
      <w:r w:rsidR="004707B7">
        <w:rPr>
          <w:bCs/>
          <w:iCs/>
          <w:szCs w:val="22"/>
          <w:lang w:val="el-GR"/>
        </w:rPr>
        <w:t xml:space="preserve">ενέσιμο </w:t>
      </w:r>
      <w:r>
        <w:rPr>
          <w:noProof/>
          <w:szCs w:val="22"/>
          <w:lang w:val="en-US"/>
        </w:rPr>
        <w:t>Melphalan</w:t>
      </w:r>
      <w:r w:rsidRPr="00E56986">
        <w:rPr>
          <w:noProof/>
          <w:szCs w:val="22"/>
          <w:lang w:val="el-GR"/>
        </w:rPr>
        <w:t xml:space="preserve"> </w:t>
      </w:r>
      <w:r>
        <w:rPr>
          <w:noProof/>
          <w:szCs w:val="22"/>
          <w:lang w:val="en-US"/>
        </w:rPr>
        <w:t>Tillomed</w:t>
      </w:r>
      <w:r w:rsidRPr="00E56986">
        <w:rPr>
          <w:noProof/>
          <w:szCs w:val="22"/>
          <w:lang w:val="el-GR"/>
        </w:rPr>
        <w:t xml:space="preserve"> </w:t>
      </w:r>
      <w:r w:rsidRPr="00793CE9">
        <w:rPr>
          <w:bCs/>
          <w:iCs/>
          <w:szCs w:val="22"/>
          <w:lang w:val="el-GR"/>
        </w:rPr>
        <w:t>δεν</w:t>
      </w:r>
      <w:r w:rsidRPr="00E56986">
        <w:rPr>
          <w:bCs/>
          <w:iCs/>
          <w:szCs w:val="22"/>
          <w:lang w:val="el-GR"/>
        </w:rPr>
        <w:t xml:space="preserve"> </w:t>
      </w:r>
      <w:r w:rsidRPr="00793CE9">
        <w:rPr>
          <w:bCs/>
          <w:iCs/>
          <w:szCs w:val="22"/>
          <w:lang w:val="el-GR"/>
        </w:rPr>
        <w:t>πρέπει</w:t>
      </w:r>
      <w:r w:rsidRPr="00E56986">
        <w:rPr>
          <w:bCs/>
          <w:iCs/>
          <w:szCs w:val="22"/>
          <w:lang w:val="el-GR"/>
        </w:rPr>
        <w:t xml:space="preserve"> </w:t>
      </w:r>
      <w:r w:rsidRPr="00793CE9">
        <w:rPr>
          <w:bCs/>
          <w:iCs/>
          <w:szCs w:val="22"/>
          <w:lang w:val="el-GR"/>
        </w:rPr>
        <w:t>να</w:t>
      </w:r>
      <w:r w:rsidRPr="00E56986">
        <w:rPr>
          <w:bCs/>
          <w:iCs/>
          <w:szCs w:val="22"/>
          <w:lang w:val="el-GR"/>
        </w:rPr>
        <w:t xml:space="preserve"> </w:t>
      </w:r>
      <w:r w:rsidRPr="00793CE9">
        <w:rPr>
          <w:bCs/>
          <w:iCs/>
          <w:szCs w:val="22"/>
          <w:lang w:val="el-GR"/>
        </w:rPr>
        <w:t>χορηγείται</w:t>
      </w:r>
      <w:r w:rsidRPr="00E56986">
        <w:rPr>
          <w:bCs/>
          <w:iCs/>
          <w:szCs w:val="22"/>
          <w:lang w:val="el-GR"/>
        </w:rPr>
        <w:t xml:space="preserve"> </w:t>
      </w:r>
      <w:r w:rsidRPr="00793CE9">
        <w:rPr>
          <w:bCs/>
          <w:iCs/>
          <w:szCs w:val="22"/>
          <w:lang w:val="el-GR"/>
        </w:rPr>
        <w:t>χωρίς</w:t>
      </w:r>
      <w:r w:rsidRPr="00E56986">
        <w:rPr>
          <w:bCs/>
          <w:iCs/>
          <w:szCs w:val="22"/>
          <w:lang w:val="el-GR"/>
        </w:rPr>
        <w:t xml:space="preserve"> </w:t>
      </w:r>
      <w:r w:rsidRPr="007E3849">
        <w:rPr>
          <w:bCs/>
          <w:iCs/>
          <w:color w:val="000000" w:themeColor="text1"/>
          <w:szCs w:val="22"/>
          <w:lang w:val="el-GR"/>
        </w:rPr>
        <w:t xml:space="preserve">διάσωση αιμοποιητικών αρχέγονων κυττάρων σε δόσεις άνω των 140 </w:t>
      </w:r>
      <w:r w:rsidRPr="007E3849">
        <w:rPr>
          <w:bCs/>
          <w:iCs/>
          <w:color w:val="000000" w:themeColor="text1"/>
          <w:szCs w:val="22"/>
          <w:lang w:val="en-US"/>
        </w:rPr>
        <w:t>mg</w:t>
      </w:r>
      <w:r w:rsidRPr="007E3849">
        <w:rPr>
          <w:bCs/>
          <w:iCs/>
          <w:color w:val="000000" w:themeColor="text1"/>
          <w:szCs w:val="22"/>
          <w:lang w:val="el-GR"/>
        </w:rPr>
        <w:t xml:space="preserve"> / </w:t>
      </w:r>
      <w:r w:rsidRPr="007E3849">
        <w:rPr>
          <w:bCs/>
          <w:iCs/>
          <w:color w:val="000000" w:themeColor="text1"/>
          <w:szCs w:val="22"/>
          <w:lang w:val="en-US"/>
        </w:rPr>
        <w:t>m</w:t>
      </w:r>
      <w:r w:rsidRPr="007E3849">
        <w:rPr>
          <w:bCs/>
          <w:iCs/>
          <w:color w:val="000000" w:themeColor="text1"/>
          <w:szCs w:val="22"/>
          <w:vertAlign w:val="superscript"/>
          <w:lang w:val="el-GR"/>
        </w:rPr>
        <w:t>2</w:t>
      </w:r>
      <w:r>
        <w:rPr>
          <w:noProof/>
          <w:szCs w:val="22"/>
          <w:lang w:val="el-GR"/>
        </w:rPr>
        <w:t xml:space="preserve">. </w:t>
      </w:r>
      <w:r w:rsidRPr="003E4140">
        <w:rPr>
          <w:noProof/>
          <w:lang w:val="el-GR"/>
        </w:rPr>
        <w:t xml:space="preserve"> </w:t>
      </w:r>
    </w:p>
    <w:p w14:paraId="443A365B" w14:textId="77777777" w:rsidR="00B64B70" w:rsidRPr="00A72832" w:rsidRDefault="00B64B70" w:rsidP="00B64B70">
      <w:pPr>
        <w:rPr>
          <w:noProof/>
          <w:lang w:val="el-GR"/>
        </w:rPr>
      </w:pPr>
      <w:r w:rsidRPr="00B64B70">
        <w:rPr>
          <w:noProof/>
          <w:szCs w:val="22"/>
          <w:u w:val="single"/>
          <w:lang w:val="el-GR"/>
        </w:rPr>
        <w:t>Αιματολογικές διαταραχές</w:t>
      </w:r>
    </w:p>
    <w:p w14:paraId="08442C0F" w14:textId="4EBA5636" w:rsidR="00A72832" w:rsidRDefault="00791A86" w:rsidP="00A72832">
      <w:pPr>
        <w:rPr>
          <w:noProof/>
          <w:szCs w:val="22"/>
          <w:lang w:val="el-GR"/>
        </w:rPr>
      </w:pPr>
      <w:r>
        <w:rPr>
          <w:noProof/>
          <w:szCs w:val="22"/>
          <w:lang w:val="el-GR"/>
        </w:rPr>
        <w:t>Εφόσον το</w:t>
      </w:r>
      <w:r w:rsidR="00B64B70">
        <w:rPr>
          <w:noProof/>
          <w:szCs w:val="22"/>
          <w:lang w:val="el-GR"/>
        </w:rPr>
        <w:t xml:space="preserve"> </w:t>
      </w:r>
      <w:bookmarkStart w:id="4" w:name="_Hlk482636834"/>
      <w:r w:rsidR="009E3C64">
        <w:rPr>
          <w:noProof/>
          <w:szCs w:val="22"/>
          <w:lang w:val="en-US"/>
        </w:rPr>
        <w:t>Melphalan</w:t>
      </w:r>
      <w:r w:rsidR="009E3C64" w:rsidRPr="00E56986">
        <w:rPr>
          <w:noProof/>
          <w:szCs w:val="22"/>
          <w:lang w:val="el-GR"/>
        </w:rPr>
        <w:t xml:space="preserve"> </w:t>
      </w:r>
      <w:r w:rsidR="009E3C64">
        <w:rPr>
          <w:noProof/>
          <w:szCs w:val="22"/>
          <w:lang w:val="en-US"/>
        </w:rPr>
        <w:t>Tillomed</w:t>
      </w:r>
      <w:r w:rsidR="009E3C64" w:rsidRPr="00E56986">
        <w:rPr>
          <w:noProof/>
          <w:szCs w:val="22"/>
          <w:lang w:val="el-GR"/>
        </w:rPr>
        <w:t xml:space="preserve"> </w:t>
      </w:r>
      <w:bookmarkEnd w:id="4"/>
      <w:r w:rsidR="00B64B70">
        <w:rPr>
          <w:noProof/>
          <w:szCs w:val="22"/>
          <w:lang w:val="el-GR"/>
        </w:rPr>
        <w:t xml:space="preserve">είναι ένας ισχυρός </w:t>
      </w:r>
      <w:r w:rsidR="00B64B70" w:rsidRPr="00B64B70">
        <w:rPr>
          <w:noProof/>
          <w:szCs w:val="22"/>
          <w:lang w:val="el-GR"/>
        </w:rPr>
        <w:t>μυελοκατασταλτικό</w:t>
      </w:r>
      <w:r w:rsidR="00B64B70">
        <w:rPr>
          <w:noProof/>
          <w:szCs w:val="22"/>
          <w:lang w:val="el-GR"/>
        </w:rPr>
        <w:t xml:space="preserve">ς παράγοντας, </w:t>
      </w:r>
      <w:r w:rsidR="00B64B70" w:rsidRPr="00B64B70">
        <w:rPr>
          <w:noProof/>
          <w:szCs w:val="22"/>
          <w:lang w:val="el-GR"/>
        </w:rPr>
        <w:t xml:space="preserve">είναι </w:t>
      </w:r>
      <w:r>
        <w:rPr>
          <w:noProof/>
          <w:szCs w:val="22"/>
          <w:lang w:val="el-GR"/>
        </w:rPr>
        <w:t>σημαντικό</w:t>
      </w:r>
      <w:r w:rsidR="00B64B70" w:rsidRPr="00B64B70">
        <w:rPr>
          <w:noProof/>
          <w:szCs w:val="22"/>
          <w:lang w:val="el-GR"/>
        </w:rPr>
        <w:t xml:space="preserve"> να δοθεί ιδιαίτερη προσοχή στην παρακολούθηση των γενικών εξε</w:t>
      </w:r>
      <w:r w:rsidR="00B64B70">
        <w:rPr>
          <w:noProof/>
          <w:szCs w:val="22"/>
          <w:lang w:val="el-GR"/>
        </w:rPr>
        <w:t xml:space="preserve">τάσεων αίματος, για να αποφευχθεί η </w:t>
      </w:r>
      <w:r w:rsidR="00B64B70" w:rsidRPr="00B64B70">
        <w:rPr>
          <w:noProof/>
          <w:szCs w:val="22"/>
          <w:lang w:val="el-GR"/>
        </w:rPr>
        <w:t>πιθανότητα υπε</w:t>
      </w:r>
      <w:r w:rsidR="00B64B70">
        <w:rPr>
          <w:noProof/>
          <w:szCs w:val="22"/>
          <w:lang w:val="el-GR"/>
        </w:rPr>
        <w:t>ρβολικής μυελοκαταστολή</w:t>
      </w:r>
      <w:r>
        <w:rPr>
          <w:noProof/>
          <w:szCs w:val="22"/>
          <w:lang w:val="el-GR"/>
        </w:rPr>
        <w:t>ς</w:t>
      </w:r>
      <w:r w:rsidR="00B64B70">
        <w:rPr>
          <w:noProof/>
          <w:szCs w:val="22"/>
          <w:lang w:val="el-GR"/>
        </w:rPr>
        <w:t xml:space="preserve"> και ο </w:t>
      </w:r>
      <w:r w:rsidR="00B64B70" w:rsidRPr="00B64B70">
        <w:rPr>
          <w:noProof/>
          <w:szCs w:val="22"/>
          <w:lang w:val="el-GR"/>
        </w:rPr>
        <w:t>κίνδυνο</w:t>
      </w:r>
      <w:r w:rsidR="00B64B70">
        <w:rPr>
          <w:noProof/>
          <w:szCs w:val="22"/>
          <w:lang w:val="el-GR"/>
        </w:rPr>
        <w:t>ς</w:t>
      </w:r>
      <w:r w:rsidR="00B64B70" w:rsidRPr="00B64B70">
        <w:rPr>
          <w:noProof/>
          <w:szCs w:val="22"/>
          <w:lang w:val="el-GR"/>
        </w:rPr>
        <w:t xml:space="preserve"> μη αναστρέψιμης απλασί</w:t>
      </w:r>
      <w:r w:rsidR="00B64B70">
        <w:rPr>
          <w:noProof/>
          <w:szCs w:val="22"/>
          <w:lang w:val="el-GR"/>
        </w:rPr>
        <w:t xml:space="preserve">ας του μυελού των οστών. </w:t>
      </w:r>
      <w:r>
        <w:rPr>
          <w:noProof/>
          <w:szCs w:val="22"/>
          <w:lang w:val="el-GR"/>
        </w:rPr>
        <w:t xml:space="preserve">Οι </w:t>
      </w:r>
      <w:r w:rsidR="009E3C64">
        <w:rPr>
          <w:noProof/>
          <w:szCs w:val="22"/>
          <w:lang w:val="el-GR"/>
        </w:rPr>
        <w:t>τιμές των μετρήσεων</w:t>
      </w:r>
      <w:r>
        <w:rPr>
          <w:noProof/>
          <w:szCs w:val="22"/>
          <w:lang w:val="el-GR"/>
        </w:rPr>
        <w:t xml:space="preserve"> </w:t>
      </w:r>
      <w:r w:rsidR="009E3C64">
        <w:rPr>
          <w:noProof/>
          <w:szCs w:val="22"/>
          <w:lang w:val="el-GR"/>
        </w:rPr>
        <w:t>του αίματος</w:t>
      </w:r>
      <w:r w:rsidR="00B64B70" w:rsidRPr="00B64B70">
        <w:rPr>
          <w:noProof/>
          <w:szCs w:val="22"/>
          <w:lang w:val="el-GR"/>
        </w:rPr>
        <w:t xml:space="preserve"> μπορεί να συνεχίσ</w:t>
      </w:r>
      <w:r w:rsidR="00B64B70">
        <w:rPr>
          <w:noProof/>
          <w:szCs w:val="22"/>
          <w:lang w:val="el-GR"/>
        </w:rPr>
        <w:t>ουν</w:t>
      </w:r>
      <w:r w:rsidR="00A72832">
        <w:rPr>
          <w:noProof/>
          <w:szCs w:val="22"/>
          <w:lang w:val="el-GR"/>
        </w:rPr>
        <w:t xml:space="preserve"> να μειώνονται </w:t>
      </w:r>
      <w:r>
        <w:rPr>
          <w:noProof/>
          <w:szCs w:val="22"/>
          <w:lang w:val="el-GR"/>
        </w:rPr>
        <w:t>μετά τη διακοπή της</w:t>
      </w:r>
      <w:r w:rsidR="00A72832">
        <w:rPr>
          <w:noProof/>
          <w:szCs w:val="22"/>
          <w:lang w:val="el-GR"/>
        </w:rPr>
        <w:t xml:space="preserve"> </w:t>
      </w:r>
      <w:r w:rsidR="00B64B70" w:rsidRPr="00B64B70">
        <w:rPr>
          <w:noProof/>
          <w:szCs w:val="22"/>
          <w:lang w:val="el-GR"/>
        </w:rPr>
        <w:t>θεραπεία</w:t>
      </w:r>
      <w:r>
        <w:rPr>
          <w:noProof/>
          <w:szCs w:val="22"/>
          <w:lang w:val="el-GR"/>
        </w:rPr>
        <w:t>ς</w:t>
      </w:r>
      <w:r w:rsidR="00B64B70" w:rsidRPr="00B64B70">
        <w:rPr>
          <w:noProof/>
          <w:szCs w:val="22"/>
          <w:lang w:val="el-GR"/>
        </w:rPr>
        <w:t xml:space="preserve">, </w:t>
      </w:r>
      <w:r w:rsidR="00F05E7A">
        <w:rPr>
          <w:noProof/>
          <w:szCs w:val="22"/>
          <w:lang w:val="el-GR"/>
        </w:rPr>
        <w:t>έτσι</w:t>
      </w:r>
      <w:r w:rsidR="00B64B70" w:rsidRPr="00B64B70">
        <w:rPr>
          <w:noProof/>
          <w:szCs w:val="22"/>
          <w:lang w:val="el-GR"/>
        </w:rPr>
        <w:t xml:space="preserve"> με την πρώτη ένδειξη μιας </w:t>
      </w:r>
      <w:r w:rsidR="00B64B70" w:rsidRPr="00B64B70">
        <w:rPr>
          <w:noProof/>
          <w:szCs w:val="22"/>
          <w:lang w:val="el-GR"/>
        </w:rPr>
        <w:lastRenderedPageBreak/>
        <w:t>ασυνήθιστα μεγάλης πτώσης των λευκοκυττάρων ή των αιμοπεταλίων, η θεραπεία θα πρέπ</w:t>
      </w:r>
      <w:r w:rsidR="00A72832">
        <w:rPr>
          <w:noProof/>
          <w:szCs w:val="22"/>
          <w:lang w:val="el-GR"/>
        </w:rPr>
        <w:t xml:space="preserve">ει να διακοπεί προσωρινά. </w:t>
      </w:r>
      <w:r>
        <w:rPr>
          <w:noProof/>
          <w:szCs w:val="22"/>
          <w:lang w:val="el-GR"/>
        </w:rPr>
        <w:t>Το</w:t>
      </w:r>
      <w:r w:rsidR="009E3C64">
        <w:rPr>
          <w:noProof/>
          <w:szCs w:val="22"/>
          <w:lang w:val="el-GR"/>
        </w:rPr>
        <w:t xml:space="preserve"> </w:t>
      </w:r>
      <w:r w:rsidR="009E3C64">
        <w:rPr>
          <w:noProof/>
          <w:szCs w:val="22"/>
          <w:lang w:val="en-US"/>
        </w:rPr>
        <w:t>Melphalan</w:t>
      </w:r>
      <w:r w:rsidR="009E3C64" w:rsidRPr="00E56986">
        <w:rPr>
          <w:noProof/>
          <w:szCs w:val="22"/>
          <w:lang w:val="el-GR"/>
        </w:rPr>
        <w:t xml:space="preserve"> </w:t>
      </w:r>
      <w:r w:rsidR="009E3C64">
        <w:rPr>
          <w:noProof/>
          <w:szCs w:val="22"/>
          <w:lang w:val="en-US"/>
        </w:rPr>
        <w:t>Tillomed</w:t>
      </w:r>
      <w:r w:rsidR="009E3C64" w:rsidRPr="00E56986">
        <w:rPr>
          <w:noProof/>
          <w:szCs w:val="22"/>
          <w:lang w:val="el-GR"/>
        </w:rPr>
        <w:t xml:space="preserve"> </w:t>
      </w:r>
      <w:r w:rsidR="00B64B70" w:rsidRPr="00B64B70">
        <w:rPr>
          <w:noProof/>
          <w:szCs w:val="22"/>
          <w:lang w:val="el-GR"/>
        </w:rPr>
        <w:t xml:space="preserve">πρέπει να χρησιμοποιείται με προσοχή σε ασθενείς που έχουν υποβληθεί σε πρόσφατη ακτινοθεραπεία ή χημειοθεραπεία </w:t>
      </w:r>
      <w:r>
        <w:rPr>
          <w:noProof/>
          <w:szCs w:val="22"/>
          <w:lang w:val="el-GR"/>
        </w:rPr>
        <w:t>λόγω</w:t>
      </w:r>
      <w:r w:rsidRPr="00B64B70">
        <w:rPr>
          <w:noProof/>
          <w:szCs w:val="22"/>
          <w:lang w:val="el-GR"/>
        </w:rPr>
        <w:t xml:space="preserve"> </w:t>
      </w:r>
      <w:r w:rsidR="00B64B70" w:rsidRPr="00B64B70">
        <w:rPr>
          <w:noProof/>
          <w:szCs w:val="22"/>
          <w:lang w:val="el-GR"/>
        </w:rPr>
        <w:t xml:space="preserve">της αυξημένης τοξικότητας </w:t>
      </w:r>
      <w:r w:rsidR="00F05E7A">
        <w:rPr>
          <w:noProof/>
          <w:szCs w:val="22"/>
          <w:lang w:val="el-GR"/>
        </w:rPr>
        <w:t>στο</w:t>
      </w:r>
      <w:r w:rsidR="00B64B70" w:rsidRPr="00B64B70">
        <w:rPr>
          <w:noProof/>
          <w:szCs w:val="22"/>
          <w:lang w:val="el-GR"/>
        </w:rPr>
        <w:t xml:space="preserve"> μυελ</w:t>
      </w:r>
      <w:r w:rsidR="00F05E7A">
        <w:rPr>
          <w:noProof/>
          <w:szCs w:val="22"/>
          <w:lang w:val="el-GR"/>
        </w:rPr>
        <w:t>ό</w:t>
      </w:r>
      <w:r w:rsidR="00B64B70" w:rsidRPr="00B64B70">
        <w:rPr>
          <w:noProof/>
          <w:szCs w:val="22"/>
          <w:lang w:val="el-GR"/>
        </w:rPr>
        <w:t xml:space="preserve"> των οστών.</w:t>
      </w:r>
    </w:p>
    <w:p w14:paraId="3A5AFD9D" w14:textId="53C5A9AF" w:rsidR="00A72832" w:rsidRPr="004D4277" w:rsidRDefault="00A72832" w:rsidP="00A72832">
      <w:pPr>
        <w:rPr>
          <w:noProof/>
          <w:szCs w:val="22"/>
          <w:lang w:val="el-GR"/>
        </w:rPr>
      </w:pPr>
      <w:r w:rsidRPr="00A72832">
        <w:rPr>
          <w:noProof/>
          <w:szCs w:val="22"/>
          <w:u w:val="single"/>
          <w:lang w:val="el-GR"/>
        </w:rPr>
        <w:t>Νεφρική</w:t>
      </w:r>
      <w:r w:rsidRPr="004D4277">
        <w:rPr>
          <w:noProof/>
          <w:szCs w:val="22"/>
          <w:u w:val="single"/>
          <w:lang w:val="el-GR"/>
        </w:rPr>
        <w:t xml:space="preserve"> </w:t>
      </w:r>
      <w:r w:rsidR="00F05E7A">
        <w:rPr>
          <w:noProof/>
          <w:szCs w:val="22"/>
          <w:u w:val="single"/>
          <w:lang w:val="el-GR"/>
        </w:rPr>
        <w:t>δυσλειτουργία</w:t>
      </w:r>
      <w:r w:rsidR="00791A86" w:rsidRPr="004D4277">
        <w:rPr>
          <w:noProof/>
          <w:szCs w:val="22"/>
          <w:u w:val="single"/>
          <w:lang w:val="el-GR"/>
        </w:rPr>
        <w:t xml:space="preserve"> </w:t>
      </w:r>
    </w:p>
    <w:p w14:paraId="4B80B311" w14:textId="0C91B1C8" w:rsidR="00E4372D" w:rsidRPr="004D4277" w:rsidRDefault="003E4140" w:rsidP="00A72832">
      <w:pPr>
        <w:rPr>
          <w:noProof/>
          <w:szCs w:val="22"/>
          <w:lang w:val="el-GR"/>
        </w:rPr>
      </w:pPr>
      <w:r>
        <w:rPr>
          <w:noProof/>
          <w:szCs w:val="22"/>
          <w:lang w:val="el-GR"/>
        </w:rPr>
        <w:t>Η</w:t>
      </w:r>
      <w:r w:rsidRPr="003E4140">
        <w:rPr>
          <w:noProof/>
          <w:szCs w:val="22"/>
          <w:lang w:val="el-GR"/>
        </w:rPr>
        <w:t xml:space="preserve"> </w:t>
      </w:r>
      <w:r>
        <w:rPr>
          <w:noProof/>
          <w:szCs w:val="22"/>
          <w:lang w:val="el-GR"/>
        </w:rPr>
        <w:t>κάθαρση</w:t>
      </w:r>
      <w:r w:rsidRPr="003E4140">
        <w:rPr>
          <w:noProof/>
          <w:szCs w:val="22"/>
          <w:lang w:val="el-GR"/>
        </w:rPr>
        <w:t xml:space="preserve"> </w:t>
      </w:r>
      <w:r>
        <w:rPr>
          <w:noProof/>
          <w:szCs w:val="22"/>
          <w:lang w:val="el-GR"/>
        </w:rPr>
        <w:t>του</w:t>
      </w:r>
      <w:r w:rsidRPr="003E4140">
        <w:rPr>
          <w:noProof/>
          <w:szCs w:val="22"/>
          <w:lang w:val="el-GR"/>
        </w:rPr>
        <w:t xml:space="preserve"> </w:t>
      </w:r>
      <w:r>
        <w:rPr>
          <w:noProof/>
          <w:szCs w:val="22"/>
          <w:lang w:val="en-US"/>
        </w:rPr>
        <w:t>Melphalan</w:t>
      </w:r>
      <w:r w:rsidRPr="003E4140">
        <w:rPr>
          <w:noProof/>
          <w:szCs w:val="22"/>
          <w:lang w:val="el-GR"/>
        </w:rPr>
        <w:t xml:space="preserve"> </w:t>
      </w:r>
      <w:r>
        <w:rPr>
          <w:noProof/>
          <w:szCs w:val="22"/>
          <w:lang w:val="en-US"/>
        </w:rPr>
        <w:t>Tillomed</w:t>
      </w:r>
      <w:r w:rsidRPr="003E4140">
        <w:rPr>
          <w:noProof/>
          <w:szCs w:val="22"/>
          <w:lang w:val="el-GR"/>
        </w:rPr>
        <w:t xml:space="preserve"> </w:t>
      </w:r>
      <w:r>
        <w:rPr>
          <w:noProof/>
          <w:szCs w:val="22"/>
          <w:lang w:val="el-GR"/>
        </w:rPr>
        <w:t>μπορεί</w:t>
      </w:r>
      <w:r w:rsidRPr="003E4140">
        <w:rPr>
          <w:noProof/>
          <w:szCs w:val="22"/>
          <w:lang w:val="el-GR"/>
        </w:rPr>
        <w:t xml:space="preserve"> </w:t>
      </w:r>
      <w:r>
        <w:rPr>
          <w:noProof/>
          <w:szCs w:val="22"/>
          <w:lang w:val="el-GR"/>
        </w:rPr>
        <w:t>να</w:t>
      </w:r>
      <w:r w:rsidRPr="003E4140">
        <w:rPr>
          <w:noProof/>
          <w:szCs w:val="22"/>
          <w:lang w:val="el-GR"/>
        </w:rPr>
        <w:t xml:space="preserve"> </w:t>
      </w:r>
      <w:r>
        <w:rPr>
          <w:noProof/>
          <w:szCs w:val="22"/>
          <w:lang w:val="el-GR"/>
        </w:rPr>
        <w:t>είναι</w:t>
      </w:r>
      <w:r w:rsidRPr="003E4140">
        <w:rPr>
          <w:noProof/>
          <w:szCs w:val="22"/>
          <w:lang w:val="el-GR"/>
        </w:rPr>
        <w:t xml:space="preserve"> </w:t>
      </w:r>
      <w:r>
        <w:rPr>
          <w:noProof/>
          <w:szCs w:val="22"/>
          <w:lang w:val="el-GR"/>
        </w:rPr>
        <w:t>μειωμένη</w:t>
      </w:r>
      <w:r w:rsidRPr="003E4140">
        <w:rPr>
          <w:noProof/>
          <w:szCs w:val="22"/>
          <w:lang w:val="el-GR"/>
        </w:rPr>
        <w:t xml:space="preserve"> </w:t>
      </w:r>
      <w:r>
        <w:rPr>
          <w:noProof/>
          <w:szCs w:val="22"/>
          <w:lang w:val="el-GR"/>
        </w:rPr>
        <w:t>σε</w:t>
      </w:r>
      <w:r w:rsidRPr="003E4140">
        <w:rPr>
          <w:noProof/>
          <w:szCs w:val="22"/>
          <w:lang w:val="el-GR"/>
        </w:rPr>
        <w:t xml:space="preserve"> </w:t>
      </w:r>
      <w:r>
        <w:rPr>
          <w:noProof/>
          <w:szCs w:val="22"/>
          <w:lang w:val="el-GR"/>
        </w:rPr>
        <w:t>αθενείς</w:t>
      </w:r>
      <w:r w:rsidRPr="003E4140">
        <w:rPr>
          <w:noProof/>
          <w:szCs w:val="22"/>
          <w:lang w:val="el-GR"/>
        </w:rPr>
        <w:t xml:space="preserve"> </w:t>
      </w:r>
      <w:r>
        <w:rPr>
          <w:noProof/>
          <w:szCs w:val="22"/>
          <w:lang w:val="el-GR"/>
        </w:rPr>
        <w:t>με</w:t>
      </w:r>
      <w:r w:rsidRPr="003E4140">
        <w:rPr>
          <w:noProof/>
          <w:szCs w:val="22"/>
          <w:lang w:val="el-GR"/>
        </w:rPr>
        <w:t xml:space="preserve"> </w:t>
      </w:r>
      <w:r>
        <w:rPr>
          <w:noProof/>
          <w:szCs w:val="22"/>
          <w:lang w:val="el-GR"/>
        </w:rPr>
        <w:t>νεφρική</w:t>
      </w:r>
      <w:r w:rsidRPr="003E4140">
        <w:rPr>
          <w:noProof/>
          <w:szCs w:val="22"/>
          <w:lang w:val="el-GR"/>
        </w:rPr>
        <w:t xml:space="preserve"> </w:t>
      </w:r>
      <w:r>
        <w:rPr>
          <w:noProof/>
          <w:szCs w:val="22"/>
          <w:lang w:val="el-GR"/>
        </w:rPr>
        <w:t>δυσλειτουργία</w:t>
      </w:r>
      <w:r w:rsidRPr="003E4140">
        <w:rPr>
          <w:noProof/>
          <w:szCs w:val="22"/>
          <w:lang w:val="el-GR"/>
        </w:rPr>
        <w:t xml:space="preserve"> </w:t>
      </w:r>
      <w:r>
        <w:rPr>
          <w:noProof/>
          <w:szCs w:val="22"/>
          <w:lang w:val="el-GR"/>
        </w:rPr>
        <w:t>που</w:t>
      </w:r>
      <w:r w:rsidRPr="003E4140">
        <w:rPr>
          <w:noProof/>
          <w:szCs w:val="22"/>
          <w:lang w:val="el-GR"/>
        </w:rPr>
        <w:t xml:space="preserve"> </w:t>
      </w:r>
      <w:r>
        <w:rPr>
          <w:noProof/>
          <w:szCs w:val="22"/>
          <w:lang w:val="el-GR"/>
        </w:rPr>
        <w:t>επίσης</w:t>
      </w:r>
      <w:r w:rsidRPr="003E4140">
        <w:rPr>
          <w:noProof/>
          <w:szCs w:val="22"/>
          <w:lang w:val="el-GR"/>
        </w:rPr>
        <w:t xml:space="preserve"> </w:t>
      </w:r>
      <w:r>
        <w:rPr>
          <w:noProof/>
          <w:szCs w:val="22"/>
          <w:lang w:val="el-GR"/>
        </w:rPr>
        <w:t>παρουσιάζουν</w:t>
      </w:r>
      <w:r w:rsidRPr="003E4140">
        <w:rPr>
          <w:noProof/>
          <w:szCs w:val="22"/>
          <w:lang w:val="el-GR"/>
        </w:rPr>
        <w:t xml:space="preserve"> </w:t>
      </w:r>
      <w:r>
        <w:rPr>
          <w:noProof/>
          <w:szCs w:val="22"/>
          <w:lang w:val="el-GR"/>
        </w:rPr>
        <w:t>ουραιμική</w:t>
      </w:r>
      <w:r w:rsidRPr="003E4140">
        <w:rPr>
          <w:noProof/>
          <w:szCs w:val="22"/>
          <w:lang w:val="el-GR"/>
        </w:rPr>
        <w:t xml:space="preserve"> </w:t>
      </w:r>
      <w:r>
        <w:rPr>
          <w:noProof/>
          <w:szCs w:val="22"/>
          <w:lang w:val="el-GR"/>
        </w:rPr>
        <w:t>καταστολή</w:t>
      </w:r>
      <w:r w:rsidRPr="003E4140">
        <w:rPr>
          <w:noProof/>
          <w:szCs w:val="22"/>
          <w:lang w:val="el-GR"/>
        </w:rPr>
        <w:t xml:space="preserve"> </w:t>
      </w:r>
      <w:r>
        <w:rPr>
          <w:noProof/>
          <w:szCs w:val="22"/>
          <w:lang w:val="el-GR"/>
        </w:rPr>
        <w:t>του</w:t>
      </w:r>
      <w:r w:rsidRPr="003E4140">
        <w:rPr>
          <w:noProof/>
          <w:szCs w:val="22"/>
          <w:lang w:val="el-GR"/>
        </w:rPr>
        <w:t xml:space="preserve"> </w:t>
      </w:r>
      <w:r>
        <w:rPr>
          <w:noProof/>
          <w:szCs w:val="22"/>
          <w:lang w:val="el-GR"/>
        </w:rPr>
        <w:t>μυελού. Μείωση</w:t>
      </w:r>
      <w:r w:rsidRPr="004D4277">
        <w:rPr>
          <w:noProof/>
          <w:szCs w:val="22"/>
          <w:lang w:val="el-GR"/>
        </w:rPr>
        <w:t xml:space="preserve"> </w:t>
      </w:r>
      <w:r>
        <w:rPr>
          <w:noProof/>
          <w:szCs w:val="22"/>
          <w:lang w:val="el-GR"/>
        </w:rPr>
        <w:t>της</w:t>
      </w:r>
      <w:r w:rsidRPr="004D4277">
        <w:rPr>
          <w:noProof/>
          <w:szCs w:val="22"/>
          <w:lang w:val="el-GR"/>
        </w:rPr>
        <w:t xml:space="preserve"> </w:t>
      </w:r>
      <w:r>
        <w:rPr>
          <w:noProof/>
          <w:szCs w:val="22"/>
          <w:lang w:val="el-GR"/>
        </w:rPr>
        <w:t>δόσης</w:t>
      </w:r>
      <w:r w:rsidRPr="004D4277">
        <w:rPr>
          <w:noProof/>
          <w:szCs w:val="22"/>
          <w:lang w:val="el-GR"/>
        </w:rPr>
        <w:t xml:space="preserve"> </w:t>
      </w:r>
      <w:r>
        <w:rPr>
          <w:noProof/>
          <w:szCs w:val="22"/>
          <w:lang w:val="el-GR"/>
        </w:rPr>
        <w:t>μπορεί</w:t>
      </w:r>
      <w:r w:rsidRPr="004D4277">
        <w:rPr>
          <w:noProof/>
          <w:szCs w:val="22"/>
          <w:lang w:val="el-GR"/>
        </w:rPr>
        <w:t xml:space="preserve"> </w:t>
      </w:r>
      <w:r>
        <w:rPr>
          <w:noProof/>
          <w:szCs w:val="22"/>
          <w:lang w:val="el-GR"/>
        </w:rPr>
        <w:t>να</w:t>
      </w:r>
      <w:r w:rsidRPr="004D4277">
        <w:rPr>
          <w:noProof/>
          <w:szCs w:val="22"/>
          <w:lang w:val="el-GR"/>
        </w:rPr>
        <w:t xml:space="preserve"> </w:t>
      </w:r>
      <w:r>
        <w:rPr>
          <w:noProof/>
          <w:szCs w:val="22"/>
          <w:lang w:val="el-GR"/>
        </w:rPr>
        <w:t>είναι</w:t>
      </w:r>
      <w:r w:rsidRPr="004D4277">
        <w:rPr>
          <w:noProof/>
          <w:szCs w:val="22"/>
          <w:lang w:val="el-GR"/>
        </w:rPr>
        <w:t xml:space="preserve"> </w:t>
      </w:r>
      <w:r>
        <w:rPr>
          <w:noProof/>
          <w:szCs w:val="22"/>
          <w:lang w:val="el-GR"/>
        </w:rPr>
        <w:t>απαραίτητη</w:t>
      </w:r>
      <w:r w:rsidRPr="004D4277">
        <w:rPr>
          <w:noProof/>
          <w:szCs w:val="22"/>
          <w:lang w:val="el-GR"/>
        </w:rPr>
        <w:t xml:space="preserve">  (</w:t>
      </w:r>
      <w:r>
        <w:rPr>
          <w:noProof/>
          <w:szCs w:val="22"/>
          <w:lang w:val="el-GR"/>
        </w:rPr>
        <w:t>βλ</w:t>
      </w:r>
      <w:r w:rsidRPr="004D4277">
        <w:rPr>
          <w:noProof/>
          <w:szCs w:val="22"/>
          <w:lang w:val="el-GR"/>
        </w:rPr>
        <w:t xml:space="preserve">. </w:t>
      </w:r>
      <w:r>
        <w:rPr>
          <w:noProof/>
          <w:szCs w:val="22"/>
          <w:lang w:val="el-GR"/>
        </w:rPr>
        <w:t>Παράγραφο</w:t>
      </w:r>
      <w:r w:rsidRPr="004D4277">
        <w:rPr>
          <w:noProof/>
          <w:szCs w:val="22"/>
          <w:lang w:val="el-GR"/>
        </w:rPr>
        <w:t xml:space="preserve"> 4.2). </w:t>
      </w:r>
      <w:r>
        <w:rPr>
          <w:noProof/>
          <w:szCs w:val="22"/>
          <w:lang w:val="el-GR"/>
        </w:rPr>
        <w:t>Βλέπε</w:t>
      </w:r>
      <w:r w:rsidRPr="004D4277">
        <w:rPr>
          <w:noProof/>
          <w:szCs w:val="22"/>
          <w:lang w:val="el-GR"/>
        </w:rPr>
        <w:t xml:space="preserve"> </w:t>
      </w:r>
      <w:r>
        <w:rPr>
          <w:noProof/>
          <w:szCs w:val="22"/>
          <w:lang w:val="el-GR"/>
        </w:rPr>
        <w:t>παράγραφο</w:t>
      </w:r>
      <w:r w:rsidRPr="004D4277">
        <w:rPr>
          <w:noProof/>
          <w:szCs w:val="22"/>
          <w:lang w:val="el-GR"/>
        </w:rPr>
        <w:t xml:space="preserve"> 4.8 </w:t>
      </w:r>
      <w:r>
        <w:rPr>
          <w:noProof/>
          <w:szCs w:val="22"/>
          <w:lang w:val="el-GR"/>
        </w:rPr>
        <w:t>για</w:t>
      </w:r>
      <w:r w:rsidRPr="004D4277">
        <w:rPr>
          <w:noProof/>
          <w:szCs w:val="22"/>
          <w:lang w:val="el-GR"/>
        </w:rPr>
        <w:t xml:space="preserve"> </w:t>
      </w:r>
      <w:r>
        <w:rPr>
          <w:noProof/>
          <w:szCs w:val="22"/>
          <w:lang w:val="el-GR"/>
        </w:rPr>
        <w:t>την</w:t>
      </w:r>
      <w:r w:rsidRPr="004D4277">
        <w:rPr>
          <w:noProof/>
          <w:szCs w:val="22"/>
          <w:lang w:val="el-GR"/>
        </w:rPr>
        <w:t xml:space="preserve"> </w:t>
      </w:r>
      <w:r>
        <w:rPr>
          <w:noProof/>
          <w:szCs w:val="22"/>
          <w:lang w:val="el-GR"/>
        </w:rPr>
        <w:t>αύξηση</w:t>
      </w:r>
      <w:r w:rsidRPr="004D4277">
        <w:rPr>
          <w:noProof/>
          <w:szCs w:val="22"/>
          <w:lang w:val="el-GR"/>
        </w:rPr>
        <w:t xml:space="preserve"> </w:t>
      </w:r>
      <w:r>
        <w:rPr>
          <w:noProof/>
          <w:szCs w:val="22"/>
          <w:lang w:val="el-GR"/>
        </w:rPr>
        <w:t>της</w:t>
      </w:r>
      <w:r w:rsidRPr="004D4277">
        <w:rPr>
          <w:noProof/>
          <w:szCs w:val="22"/>
          <w:lang w:val="el-GR"/>
        </w:rPr>
        <w:t xml:space="preserve"> </w:t>
      </w:r>
      <w:r>
        <w:rPr>
          <w:noProof/>
          <w:szCs w:val="22"/>
          <w:lang w:val="el-GR"/>
        </w:rPr>
        <w:t>ουρίας</w:t>
      </w:r>
      <w:r w:rsidRPr="004D4277">
        <w:rPr>
          <w:noProof/>
          <w:szCs w:val="22"/>
          <w:lang w:val="el-GR"/>
        </w:rPr>
        <w:t xml:space="preserve"> </w:t>
      </w:r>
      <w:r>
        <w:rPr>
          <w:noProof/>
          <w:szCs w:val="22"/>
          <w:lang w:val="el-GR"/>
        </w:rPr>
        <w:t>στο</w:t>
      </w:r>
      <w:r w:rsidRPr="004D4277">
        <w:rPr>
          <w:noProof/>
          <w:szCs w:val="22"/>
          <w:lang w:val="el-GR"/>
        </w:rPr>
        <w:t xml:space="preserve"> </w:t>
      </w:r>
      <w:r>
        <w:rPr>
          <w:noProof/>
          <w:szCs w:val="22"/>
          <w:lang w:val="el-GR"/>
        </w:rPr>
        <w:t>αίμα</w:t>
      </w:r>
      <w:r w:rsidRPr="004D4277">
        <w:rPr>
          <w:noProof/>
          <w:szCs w:val="22"/>
          <w:lang w:val="el-GR"/>
        </w:rPr>
        <w:t xml:space="preserve">. </w:t>
      </w:r>
    </w:p>
    <w:p w14:paraId="4FC0326C" w14:textId="4DD04F58" w:rsidR="00A72832" w:rsidRPr="00A72832" w:rsidRDefault="00A72832" w:rsidP="00A72832">
      <w:pPr>
        <w:rPr>
          <w:noProof/>
          <w:szCs w:val="22"/>
          <w:lang w:val="el-GR"/>
        </w:rPr>
      </w:pPr>
      <w:r w:rsidRPr="00A72832">
        <w:rPr>
          <w:noProof/>
          <w:szCs w:val="22"/>
          <w:lang w:val="el-GR"/>
        </w:rPr>
        <w:t>Σε ασθενείς με νεφρική δυσλειτουργία, οι τιμές γλουταμικ</w:t>
      </w:r>
      <w:r>
        <w:rPr>
          <w:noProof/>
          <w:szCs w:val="22"/>
          <w:lang w:val="el-GR"/>
        </w:rPr>
        <w:t xml:space="preserve">ού </w:t>
      </w:r>
      <w:r w:rsidR="00C062E4">
        <w:rPr>
          <w:noProof/>
          <w:szCs w:val="22"/>
          <w:lang w:val="el-GR"/>
        </w:rPr>
        <w:t xml:space="preserve">στο </w:t>
      </w:r>
      <w:r>
        <w:rPr>
          <w:noProof/>
          <w:szCs w:val="22"/>
          <w:lang w:val="el-GR"/>
        </w:rPr>
        <w:t>αίμα μπορεί να αυξηθούν</w:t>
      </w:r>
      <w:r w:rsidRPr="00A72832">
        <w:rPr>
          <w:noProof/>
          <w:szCs w:val="22"/>
          <w:lang w:val="el-GR"/>
        </w:rPr>
        <w:t xml:space="preserve"> προσωρινά υπό </w:t>
      </w:r>
      <w:r w:rsidR="00C062E4" w:rsidRPr="00A72832">
        <w:rPr>
          <w:noProof/>
          <w:szCs w:val="22"/>
          <w:lang w:val="el-GR"/>
        </w:rPr>
        <w:t xml:space="preserve">θεραπεία </w:t>
      </w:r>
      <w:r w:rsidRPr="00A72832">
        <w:rPr>
          <w:noProof/>
          <w:szCs w:val="22"/>
          <w:lang w:val="el-GR"/>
        </w:rPr>
        <w:t>μελφαλάνη</w:t>
      </w:r>
      <w:r w:rsidR="00C062E4">
        <w:rPr>
          <w:noProof/>
          <w:szCs w:val="22"/>
          <w:lang w:val="el-GR"/>
        </w:rPr>
        <w:t>ς</w:t>
      </w:r>
      <w:r w:rsidRPr="00A72832">
        <w:rPr>
          <w:noProof/>
          <w:szCs w:val="22"/>
          <w:lang w:val="el-GR"/>
        </w:rPr>
        <w:t xml:space="preserve"> και ενδεχομένως να προκαλέσει </w:t>
      </w:r>
      <w:r w:rsidR="00C062E4">
        <w:rPr>
          <w:noProof/>
          <w:szCs w:val="22"/>
          <w:lang w:val="el-GR"/>
        </w:rPr>
        <w:t>καταστολή</w:t>
      </w:r>
      <w:r w:rsidR="00C062E4" w:rsidRPr="00A72832">
        <w:rPr>
          <w:noProof/>
          <w:szCs w:val="22"/>
          <w:lang w:val="el-GR"/>
        </w:rPr>
        <w:t xml:space="preserve"> </w:t>
      </w:r>
      <w:r w:rsidRPr="00A72832">
        <w:rPr>
          <w:noProof/>
          <w:szCs w:val="22"/>
          <w:lang w:val="el-GR"/>
        </w:rPr>
        <w:t>του μυελού των οστών. Ως εκ τούτου, σε αυτούς τους ασθενείς, τα επίπεδα σακχάρου του αίματος θα πρέπει να παρακολουθούν</w:t>
      </w:r>
      <w:bookmarkStart w:id="5" w:name="_GoBack"/>
      <w:bookmarkEnd w:id="5"/>
      <w:r w:rsidRPr="00A72832">
        <w:rPr>
          <w:noProof/>
          <w:szCs w:val="22"/>
          <w:lang w:val="el-GR"/>
        </w:rPr>
        <w:t>ται προσεκτικά.</w:t>
      </w:r>
    </w:p>
    <w:p w14:paraId="1B5B3087" w14:textId="77777777" w:rsidR="00A72832" w:rsidRPr="00A72832" w:rsidRDefault="00A72832" w:rsidP="00A72832">
      <w:pPr>
        <w:rPr>
          <w:noProof/>
          <w:szCs w:val="22"/>
          <w:u w:val="single"/>
          <w:lang w:val="el-GR"/>
        </w:rPr>
      </w:pPr>
      <w:r w:rsidRPr="001968D1">
        <w:rPr>
          <w:noProof/>
          <w:szCs w:val="22"/>
          <w:u w:val="single"/>
          <w:lang w:val="el-GR"/>
        </w:rPr>
        <w:t>Παιδιατρικό</w:t>
      </w:r>
      <w:r w:rsidRPr="00A72832">
        <w:rPr>
          <w:noProof/>
          <w:szCs w:val="22"/>
          <w:u w:val="single"/>
          <w:lang w:val="el-GR"/>
        </w:rPr>
        <w:t>ς</w:t>
      </w:r>
      <w:r w:rsidRPr="001968D1">
        <w:rPr>
          <w:noProof/>
          <w:szCs w:val="22"/>
          <w:u w:val="single"/>
          <w:lang w:val="el-GR"/>
        </w:rPr>
        <w:t xml:space="preserve"> πληθυσμό</w:t>
      </w:r>
      <w:r w:rsidRPr="00A72832">
        <w:rPr>
          <w:noProof/>
          <w:szCs w:val="22"/>
          <w:u w:val="single"/>
          <w:lang w:val="el-GR"/>
        </w:rPr>
        <w:t>ς</w:t>
      </w:r>
    </w:p>
    <w:p w14:paraId="146175F9" w14:textId="399D865F" w:rsidR="00A72832" w:rsidRPr="00A72832" w:rsidRDefault="00A72832" w:rsidP="00A72832">
      <w:pPr>
        <w:rPr>
          <w:noProof/>
          <w:szCs w:val="22"/>
          <w:lang w:val="el-GR"/>
        </w:rPr>
      </w:pPr>
      <w:r w:rsidRPr="00A72832">
        <w:rPr>
          <w:noProof/>
          <w:szCs w:val="22"/>
          <w:lang w:val="el-GR"/>
        </w:rPr>
        <w:t xml:space="preserve">Δεν υπάρχει επαρκής εμπειρία για τα παιδιά. </w:t>
      </w:r>
      <w:r w:rsidR="00C062E4">
        <w:rPr>
          <w:noProof/>
          <w:szCs w:val="22"/>
          <w:lang w:val="el-GR"/>
        </w:rPr>
        <w:t>Δ</w:t>
      </w:r>
      <w:r w:rsidR="00C062E4" w:rsidRPr="00A72832">
        <w:rPr>
          <w:noProof/>
          <w:szCs w:val="22"/>
          <w:lang w:val="el-GR"/>
        </w:rPr>
        <w:t xml:space="preserve">οσολογικές συστάσεις </w:t>
      </w:r>
      <w:r w:rsidRPr="00A72832">
        <w:rPr>
          <w:noProof/>
          <w:szCs w:val="22"/>
          <w:lang w:val="el-GR"/>
        </w:rPr>
        <w:t>δεν μπορούν να δοθούν (βλέπε παράγραφο 4.2).</w:t>
      </w:r>
    </w:p>
    <w:p w14:paraId="79F79D82" w14:textId="77777777" w:rsidR="009A50C1" w:rsidRPr="00F05E7A" w:rsidRDefault="009A50C1" w:rsidP="009A50C1">
      <w:pPr>
        <w:rPr>
          <w:noProof/>
          <w:u w:val="single"/>
          <w:lang w:val="el-GR"/>
        </w:rPr>
      </w:pPr>
      <w:r w:rsidRPr="00F05E7A">
        <w:rPr>
          <w:noProof/>
          <w:u w:val="single"/>
          <w:lang w:val="el-GR"/>
        </w:rPr>
        <w:t>Οξεία μυελογενή λευχαιμία (</w:t>
      </w:r>
      <w:r w:rsidRPr="00F05E7A">
        <w:rPr>
          <w:noProof/>
          <w:u w:val="single"/>
          <w:lang w:val="en-US"/>
        </w:rPr>
        <w:t>AML</w:t>
      </w:r>
      <w:r w:rsidRPr="00F05E7A">
        <w:rPr>
          <w:noProof/>
          <w:u w:val="single"/>
          <w:lang w:val="el-GR"/>
        </w:rPr>
        <w:t>) και μυελοδυσπλαστικά σύνδρομα (</w:t>
      </w:r>
      <w:r w:rsidRPr="00F05E7A">
        <w:rPr>
          <w:noProof/>
          <w:u w:val="single"/>
          <w:lang w:val="en-US"/>
        </w:rPr>
        <w:t>MDS</w:t>
      </w:r>
      <w:r w:rsidRPr="00F05E7A">
        <w:rPr>
          <w:noProof/>
          <w:u w:val="single"/>
          <w:lang w:val="el-GR"/>
        </w:rPr>
        <w:t>)</w:t>
      </w:r>
    </w:p>
    <w:p w14:paraId="2B626C14" w14:textId="610B8A78" w:rsidR="009A50C1" w:rsidRPr="009A50C1" w:rsidRDefault="00C062E4" w:rsidP="009A50C1">
      <w:pPr>
        <w:rPr>
          <w:noProof/>
          <w:lang w:val="el-GR"/>
        </w:rPr>
      </w:pPr>
      <w:r>
        <w:rPr>
          <w:noProof/>
          <w:lang w:val="el-GR"/>
        </w:rPr>
        <w:t xml:space="preserve">Το </w:t>
      </w:r>
      <w:r w:rsidR="009E3C64">
        <w:rPr>
          <w:noProof/>
          <w:szCs w:val="22"/>
          <w:lang w:val="en-US"/>
        </w:rPr>
        <w:t>Melphalan</w:t>
      </w:r>
      <w:r w:rsidR="009E3C64" w:rsidRPr="00E56986">
        <w:rPr>
          <w:noProof/>
          <w:szCs w:val="22"/>
          <w:lang w:val="el-GR"/>
        </w:rPr>
        <w:t xml:space="preserve"> </w:t>
      </w:r>
      <w:r w:rsidR="009E3C64">
        <w:rPr>
          <w:noProof/>
          <w:szCs w:val="22"/>
          <w:lang w:val="en-US"/>
        </w:rPr>
        <w:t>Tillomed</w:t>
      </w:r>
      <w:r w:rsidR="009E3C64" w:rsidRPr="00E56986">
        <w:rPr>
          <w:noProof/>
          <w:szCs w:val="22"/>
          <w:lang w:val="el-GR"/>
        </w:rPr>
        <w:t xml:space="preserve"> </w:t>
      </w:r>
      <w:r w:rsidR="009A50C1" w:rsidRPr="009A50C1">
        <w:rPr>
          <w:noProof/>
          <w:lang w:val="el-GR"/>
        </w:rPr>
        <w:t xml:space="preserve">μπορεί να προκαλέσει λευχαιμία ιδιαίτερα σε ηλικιωμένους ασθενείς μετά από μακρά θεραπεία συνδυασμού </w:t>
      </w:r>
      <w:r>
        <w:rPr>
          <w:noProof/>
          <w:lang w:val="el-GR"/>
        </w:rPr>
        <w:t>με</w:t>
      </w:r>
      <w:r w:rsidRPr="009A50C1">
        <w:rPr>
          <w:noProof/>
          <w:lang w:val="el-GR"/>
        </w:rPr>
        <w:t xml:space="preserve"> </w:t>
      </w:r>
      <w:r w:rsidR="009A50C1" w:rsidRPr="009A50C1">
        <w:rPr>
          <w:noProof/>
          <w:lang w:val="el-GR"/>
        </w:rPr>
        <w:t>ακτινοθεραπεία.</w:t>
      </w:r>
    </w:p>
    <w:p w14:paraId="79D90BCF" w14:textId="0BB94398" w:rsidR="009A50C1" w:rsidRPr="009A50C1" w:rsidRDefault="009A50C1" w:rsidP="009A50C1">
      <w:pPr>
        <w:rPr>
          <w:noProof/>
          <w:lang w:val="el-GR"/>
        </w:rPr>
      </w:pPr>
      <w:r w:rsidRPr="009A50C1">
        <w:rPr>
          <w:noProof/>
          <w:lang w:val="el-GR"/>
        </w:rPr>
        <w:t>Π</w:t>
      </w:r>
      <w:r>
        <w:rPr>
          <w:noProof/>
          <w:lang w:val="el-GR"/>
        </w:rPr>
        <w:t xml:space="preserve">ριν την έναρξη της θεραπείας, ο κίνδυνος λευχαιμίας </w:t>
      </w:r>
      <w:r w:rsidRPr="009A50C1">
        <w:rPr>
          <w:noProof/>
          <w:lang w:val="el-GR"/>
        </w:rPr>
        <w:t>(</w:t>
      </w:r>
      <w:r w:rsidRPr="009A50C1">
        <w:rPr>
          <w:noProof/>
          <w:lang w:val="en-US"/>
        </w:rPr>
        <w:t>AML</w:t>
      </w:r>
      <w:r w:rsidRPr="009A50C1">
        <w:rPr>
          <w:noProof/>
          <w:lang w:val="el-GR"/>
        </w:rPr>
        <w:t xml:space="preserve"> και </w:t>
      </w:r>
      <w:r w:rsidRPr="009A50C1">
        <w:rPr>
          <w:noProof/>
          <w:lang w:val="en-US"/>
        </w:rPr>
        <w:t>MDS</w:t>
      </w:r>
      <w:r>
        <w:rPr>
          <w:noProof/>
          <w:lang w:val="el-GR"/>
        </w:rPr>
        <w:t>) θα πρέπει να σταθμίζε</w:t>
      </w:r>
      <w:r w:rsidRPr="009A50C1">
        <w:rPr>
          <w:noProof/>
          <w:lang w:val="el-GR"/>
        </w:rPr>
        <w:t>ται έν</w:t>
      </w:r>
      <w:r>
        <w:rPr>
          <w:noProof/>
          <w:lang w:val="el-GR"/>
        </w:rPr>
        <w:t xml:space="preserve">αντι του ενδεχόμενου θεραπευτικού οφέλους όταν γίνεται χρήση </w:t>
      </w:r>
      <w:r w:rsidR="00F05E7A">
        <w:rPr>
          <w:noProof/>
          <w:lang w:val="el-GR"/>
        </w:rPr>
        <w:t>της</w:t>
      </w:r>
      <w:r w:rsidR="00C062E4">
        <w:rPr>
          <w:noProof/>
          <w:lang w:val="el-GR"/>
        </w:rPr>
        <w:t xml:space="preserve"> </w:t>
      </w:r>
      <w:r w:rsidR="00F05E7A">
        <w:rPr>
          <w:noProof/>
          <w:szCs w:val="22"/>
          <w:lang w:val="el-GR"/>
        </w:rPr>
        <w:t>μελφαλάνης</w:t>
      </w:r>
      <w:r w:rsidR="009E3C64" w:rsidRPr="00E56986">
        <w:rPr>
          <w:noProof/>
          <w:szCs w:val="22"/>
          <w:lang w:val="el-GR"/>
        </w:rPr>
        <w:t xml:space="preserve"> </w:t>
      </w:r>
      <w:r w:rsidRPr="009A50C1">
        <w:rPr>
          <w:noProof/>
          <w:lang w:val="el-GR"/>
        </w:rPr>
        <w:t>σε συνδυασμό με θαλιδομίδη και πρεδνιζόνη (βλέπε παράγραφο 5.3).</w:t>
      </w:r>
    </w:p>
    <w:p w14:paraId="16A70E85" w14:textId="77777777" w:rsidR="009A50C1" w:rsidRPr="009A50C1" w:rsidRDefault="009A50C1" w:rsidP="009A50C1">
      <w:pPr>
        <w:rPr>
          <w:noProof/>
          <w:lang w:val="el-GR"/>
        </w:rPr>
      </w:pPr>
      <w:r w:rsidRPr="009A50C1">
        <w:rPr>
          <w:noProof/>
          <w:lang w:val="el-GR"/>
        </w:rPr>
        <w:t>Πριν και κατά τη διάρκεια της θεραπεία</w:t>
      </w:r>
      <w:r>
        <w:rPr>
          <w:noProof/>
          <w:lang w:val="el-GR"/>
        </w:rPr>
        <w:t>ς, οι γιατροί πρέπει να εξετάσουν</w:t>
      </w:r>
      <w:r w:rsidRPr="009A50C1">
        <w:rPr>
          <w:noProof/>
          <w:lang w:val="el-GR"/>
        </w:rPr>
        <w:t xml:space="preserve"> προσεκτικά τους ασθενείς στα πλαίσια των συνήθων διαδικασιών μέτρησης για την έγκαιρη ανίχνευση του καρκίνου και, εάν είναι απαραίτητο, να ξεκινήσει η θεραπεία.</w:t>
      </w:r>
    </w:p>
    <w:p w14:paraId="21E4C3C8" w14:textId="594D5EC4" w:rsidR="009A50C1" w:rsidRDefault="009A50C1" w:rsidP="009A50C1">
      <w:pPr>
        <w:rPr>
          <w:noProof/>
          <w:lang w:val="el-GR"/>
        </w:rPr>
      </w:pPr>
      <w:r w:rsidRPr="009A50C1">
        <w:rPr>
          <w:noProof/>
          <w:lang w:val="el-GR"/>
        </w:rPr>
        <w:t>Σε ασθενείς με καρκίνωμα των ωοθηκών οι οποίοι έλαβαν θεραπεία με αλκυλιωτικούς π</w:t>
      </w:r>
      <w:r>
        <w:rPr>
          <w:noProof/>
          <w:lang w:val="el-GR"/>
        </w:rPr>
        <w:t xml:space="preserve">αράγοντες, </w:t>
      </w:r>
      <w:r w:rsidR="00C062E4">
        <w:rPr>
          <w:noProof/>
          <w:lang w:val="el-GR"/>
        </w:rPr>
        <w:t>συμπεριλαμβανομέν</w:t>
      </w:r>
      <w:r w:rsidR="00F05E7A">
        <w:rPr>
          <w:noProof/>
          <w:lang w:val="el-GR"/>
        </w:rPr>
        <w:t xml:space="preserve">ης </w:t>
      </w:r>
      <w:r w:rsidR="00C062E4">
        <w:rPr>
          <w:noProof/>
          <w:lang w:val="el-GR"/>
        </w:rPr>
        <w:t>τ</w:t>
      </w:r>
      <w:r w:rsidR="00F05E7A">
        <w:rPr>
          <w:noProof/>
          <w:lang w:val="el-GR"/>
        </w:rPr>
        <w:t>ης</w:t>
      </w:r>
      <w:r w:rsidR="009E3C64">
        <w:rPr>
          <w:noProof/>
          <w:lang w:val="el-GR"/>
        </w:rPr>
        <w:t xml:space="preserve"> </w:t>
      </w:r>
      <w:r w:rsidR="00F05E7A">
        <w:rPr>
          <w:noProof/>
          <w:szCs w:val="22"/>
          <w:lang w:val="el-GR"/>
        </w:rPr>
        <w:t>μελφαλάνης</w:t>
      </w:r>
      <w:r>
        <w:rPr>
          <w:noProof/>
          <w:lang w:val="el-GR"/>
        </w:rPr>
        <w:t xml:space="preserve">, η </w:t>
      </w:r>
      <w:r w:rsidRPr="009A50C1">
        <w:rPr>
          <w:noProof/>
          <w:lang w:val="el-GR"/>
        </w:rPr>
        <w:t xml:space="preserve">οξεία λευχαιμία αυξήθηκε σημαντικά σε σχέση με μια ομάδα θεραπείας που δεν </w:t>
      </w:r>
      <w:r w:rsidR="00C062E4">
        <w:rPr>
          <w:noProof/>
          <w:lang w:val="el-GR"/>
        </w:rPr>
        <w:t>έλαβε</w:t>
      </w:r>
      <w:r w:rsidR="00C062E4" w:rsidRPr="009A50C1">
        <w:rPr>
          <w:noProof/>
          <w:lang w:val="el-GR"/>
        </w:rPr>
        <w:t xml:space="preserve"> </w:t>
      </w:r>
      <w:r w:rsidRPr="009A50C1">
        <w:rPr>
          <w:noProof/>
          <w:lang w:val="el-GR"/>
        </w:rPr>
        <w:t>τέτοιες ουσίες.</w:t>
      </w:r>
      <w:r w:rsidR="009E3C64">
        <w:rPr>
          <w:noProof/>
          <w:lang w:val="el-GR"/>
        </w:rPr>
        <w:t xml:space="preserve"> </w:t>
      </w:r>
    </w:p>
    <w:p w14:paraId="6037A3B9" w14:textId="77777777" w:rsidR="009A50C1" w:rsidRPr="009A50C1" w:rsidRDefault="009A50C1" w:rsidP="009A50C1">
      <w:pPr>
        <w:rPr>
          <w:noProof/>
          <w:lang w:val="el-GR"/>
        </w:rPr>
      </w:pPr>
      <w:r w:rsidRPr="009A50C1">
        <w:rPr>
          <w:szCs w:val="22"/>
          <w:u w:val="single"/>
          <w:lang w:val="el-GR"/>
        </w:rPr>
        <w:t>Σημαντικές πληροφορίες σχετικά με άλλα συστατικά, κ.λπ.</w:t>
      </w:r>
    </w:p>
    <w:p w14:paraId="5190E8C4" w14:textId="28BCAF50" w:rsidR="009A50C1" w:rsidRPr="009A50C1" w:rsidRDefault="009A50C1" w:rsidP="009A50C1">
      <w:pPr>
        <w:rPr>
          <w:szCs w:val="22"/>
          <w:lang w:val="el-GR"/>
        </w:rPr>
      </w:pPr>
      <w:r w:rsidRPr="009A50C1">
        <w:rPr>
          <w:szCs w:val="22"/>
          <w:lang w:val="el-GR"/>
        </w:rPr>
        <w:t xml:space="preserve">Το έτοιμο-προς-χρήση </w:t>
      </w:r>
      <w:r w:rsidR="00240BBA">
        <w:rPr>
          <w:szCs w:val="22"/>
          <w:lang w:val="el-GR"/>
        </w:rPr>
        <w:t>πυκνό διάλυμα</w:t>
      </w:r>
      <w:r w:rsidR="00764ED0">
        <w:rPr>
          <w:szCs w:val="22"/>
          <w:lang w:val="el-GR"/>
        </w:rPr>
        <w:t xml:space="preserve"> για την παρασκευή διαλύ</w:t>
      </w:r>
      <w:r w:rsidR="00C062E4">
        <w:rPr>
          <w:szCs w:val="22"/>
          <w:lang w:val="el-GR"/>
        </w:rPr>
        <w:t>μα</w:t>
      </w:r>
      <w:r w:rsidR="00764ED0">
        <w:rPr>
          <w:szCs w:val="22"/>
          <w:lang w:val="el-GR"/>
        </w:rPr>
        <w:t>τος</w:t>
      </w:r>
      <w:r w:rsidR="00C062E4">
        <w:rPr>
          <w:szCs w:val="22"/>
          <w:lang w:val="el-GR"/>
        </w:rPr>
        <w:t xml:space="preserve"> </w:t>
      </w:r>
      <w:r w:rsidR="00F05E7A">
        <w:rPr>
          <w:szCs w:val="22"/>
          <w:lang w:val="el-GR"/>
        </w:rPr>
        <w:t xml:space="preserve">για ένεση ή έγχυση </w:t>
      </w:r>
      <w:r>
        <w:rPr>
          <w:szCs w:val="22"/>
          <w:lang w:val="el-GR"/>
        </w:rPr>
        <w:t xml:space="preserve">περιέχει 5% κατ’ </w:t>
      </w:r>
      <w:r w:rsidRPr="009A50C1">
        <w:rPr>
          <w:szCs w:val="22"/>
          <w:lang w:val="el-GR"/>
        </w:rPr>
        <w:t xml:space="preserve">όγκο αιθανόλη, δηλαδή έως 424,3 </w:t>
      </w:r>
      <w:r w:rsidRPr="009A50C1">
        <w:rPr>
          <w:szCs w:val="22"/>
        </w:rPr>
        <w:t>mg</w:t>
      </w:r>
      <w:r w:rsidRPr="009A50C1">
        <w:rPr>
          <w:szCs w:val="22"/>
          <w:lang w:val="el-GR"/>
        </w:rPr>
        <w:t xml:space="preserve"> ανά δόση ισοδύναμη προς 4,79 </w:t>
      </w:r>
      <w:r w:rsidRPr="009A50C1">
        <w:rPr>
          <w:szCs w:val="22"/>
        </w:rPr>
        <w:t>ml</w:t>
      </w:r>
      <w:r w:rsidRPr="009A50C1">
        <w:rPr>
          <w:szCs w:val="22"/>
          <w:lang w:val="el-GR"/>
        </w:rPr>
        <w:t xml:space="preserve"> μπύρας ή 1,99 </w:t>
      </w:r>
      <w:r w:rsidRPr="009A50C1">
        <w:rPr>
          <w:szCs w:val="22"/>
        </w:rPr>
        <w:t>ml</w:t>
      </w:r>
      <w:r w:rsidRPr="009A50C1">
        <w:rPr>
          <w:szCs w:val="22"/>
          <w:lang w:val="el-GR"/>
        </w:rPr>
        <w:t xml:space="preserve"> κρασιού ανά δόση.</w:t>
      </w:r>
    </w:p>
    <w:p w14:paraId="3F3E8B02" w14:textId="77777777" w:rsidR="009A50C1" w:rsidRPr="009A50C1" w:rsidRDefault="009A50C1" w:rsidP="009A50C1">
      <w:pPr>
        <w:rPr>
          <w:szCs w:val="22"/>
          <w:lang w:val="el-GR"/>
        </w:rPr>
      </w:pPr>
      <w:r w:rsidRPr="009A50C1">
        <w:rPr>
          <w:szCs w:val="22"/>
          <w:lang w:val="el-GR"/>
        </w:rPr>
        <w:t>Για τους ασθενείς εθισμένο</w:t>
      </w:r>
      <w:r>
        <w:rPr>
          <w:szCs w:val="22"/>
          <w:lang w:val="el-GR"/>
        </w:rPr>
        <w:t>υ</w:t>
      </w:r>
      <w:r w:rsidRPr="009A50C1">
        <w:rPr>
          <w:szCs w:val="22"/>
          <w:lang w:val="el-GR"/>
        </w:rPr>
        <w:t>ς στο αλκοόλ, η ποσότητα αυτή μπορεί να είναι επιβλαβής για την υγεία.</w:t>
      </w:r>
    </w:p>
    <w:p w14:paraId="5D67A377" w14:textId="77777777" w:rsidR="009A50C1" w:rsidRPr="009A50C1" w:rsidRDefault="009A50C1" w:rsidP="009A50C1">
      <w:pPr>
        <w:rPr>
          <w:szCs w:val="22"/>
          <w:lang w:val="el-GR"/>
        </w:rPr>
      </w:pPr>
      <w:r w:rsidRPr="009A50C1">
        <w:rPr>
          <w:szCs w:val="22"/>
          <w:lang w:val="el-GR"/>
        </w:rPr>
        <w:t>Αυτό πρέπει να λαμβάνεται υπόψη σε έγκυες ή θηλάζουσες γυναίκες, παιδιά και ομάδες υψηλού κινδύνου όπως ασθενείς με ηπατική νόσο ή επιληψία.</w:t>
      </w:r>
    </w:p>
    <w:p w14:paraId="6BF700F7" w14:textId="40275056" w:rsidR="009A50C1" w:rsidRPr="009A50C1" w:rsidRDefault="009A50C1" w:rsidP="009A50C1">
      <w:pPr>
        <w:rPr>
          <w:szCs w:val="22"/>
          <w:lang w:val="el-GR"/>
        </w:rPr>
      </w:pPr>
      <w:r w:rsidRPr="009A50C1">
        <w:rPr>
          <w:szCs w:val="22"/>
          <w:lang w:val="el-GR"/>
        </w:rPr>
        <w:t xml:space="preserve">Η περιεκτικότητα </w:t>
      </w:r>
      <w:r w:rsidR="009E3C64">
        <w:rPr>
          <w:szCs w:val="22"/>
          <w:lang w:val="el-GR"/>
        </w:rPr>
        <w:t>αλκοόλης</w:t>
      </w:r>
      <w:r w:rsidRPr="009A50C1">
        <w:rPr>
          <w:szCs w:val="22"/>
          <w:lang w:val="el-GR"/>
        </w:rPr>
        <w:t xml:space="preserve"> σε αυτό το φαρμακευτικό προϊόν μπορεί να μεταβάλλει τις επιδράσεις άλλων φαρμακευτικών προϊόντων.</w:t>
      </w:r>
    </w:p>
    <w:p w14:paraId="7DED03C8" w14:textId="7FBABA47" w:rsidR="009A50C1" w:rsidRPr="009A50C1" w:rsidRDefault="009A50C1" w:rsidP="009A50C1">
      <w:pPr>
        <w:rPr>
          <w:szCs w:val="22"/>
          <w:lang w:val="el-GR"/>
        </w:rPr>
      </w:pPr>
      <w:r w:rsidRPr="009A50C1">
        <w:rPr>
          <w:szCs w:val="22"/>
          <w:lang w:val="el-GR"/>
        </w:rPr>
        <w:t xml:space="preserve">Η περιεκτικότητα </w:t>
      </w:r>
      <w:r w:rsidR="009E3C64">
        <w:rPr>
          <w:szCs w:val="22"/>
          <w:lang w:val="el-GR"/>
        </w:rPr>
        <w:t>αλκοόλης</w:t>
      </w:r>
      <w:r w:rsidRPr="009A50C1">
        <w:rPr>
          <w:szCs w:val="22"/>
          <w:lang w:val="el-GR"/>
        </w:rPr>
        <w:t xml:space="preserve"> σε αυτό το φαρμακευτικό προϊόν μπορεί να επηρεάσει την ικανότητα οδήγησης και τη δυνατότητα να χρησιμοποιούν μηχαν</w:t>
      </w:r>
      <w:r w:rsidR="009E3C64">
        <w:rPr>
          <w:szCs w:val="22"/>
          <w:lang w:val="el-GR"/>
        </w:rPr>
        <w:t>ήματα</w:t>
      </w:r>
      <w:r w:rsidRPr="009A50C1">
        <w:rPr>
          <w:szCs w:val="22"/>
          <w:lang w:val="el-GR"/>
        </w:rPr>
        <w:t xml:space="preserve"> (βλέπε παράγραφο 4.7).</w:t>
      </w:r>
    </w:p>
    <w:p w14:paraId="08B6F9D5" w14:textId="39892DAE" w:rsidR="009A50C1" w:rsidRPr="009A50C1" w:rsidRDefault="009A50C1" w:rsidP="009A50C1">
      <w:pPr>
        <w:rPr>
          <w:szCs w:val="22"/>
          <w:lang w:val="el-GR"/>
        </w:rPr>
      </w:pPr>
      <w:r w:rsidRPr="009A50C1">
        <w:rPr>
          <w:szCs w:val="22"/>
          <w:lang w:val="el-GR"/>
        </w:rPr>
        <w:t xml:space="preserve">Το φάρμακο περιέχει το έκδοχο </w:t>
      </w:r>
      <w:proofErr w:type="spellStart"/>
      <w:r w:rsidRPr="009A50C1">
        <w:rPr>
          <w:szCs w:val="22"/>
          <w:lang w:val="el-GR"/>
        </w:rPr>
        <w:t>προπυλενογλυκόλη</w:t>
      </w:r>
      <w:proofErr w:type="spellEnd"/>
      <w:r w:rsidRPr="009A50C1">
        <w:rPr>
          <w:szCs w:val="22"/>
          <w:lang w:val="el-GR"/>
        </w:rPr>
        <w:t xml:space="preserve"> το οποίο μπορεί να προκαλέσει συμπτώματα παρόμοια της αλκοόλης. Σε περίπτωση υπερευαισθησίας στην ουσία αυτή η χορήγηση αντενδείκνυται.</w:t>
      </w:r>
    </w:p>
    <w:p w14:paraId="6E9B22B0" w14:textId="408E3792" w:rsidR="009A50C1" w:rsidRPr="009A50C1" w:rsidRDefault="009A50C1" w:rsidP="009A50C1">
      <w:pPr>
        <w:rPr>
          <w:szCs w:val="22"/>
          <w:lang w:val="el-GR"/>
        </w:rPr>
      </w:pPr>
      <w:r w:rsidRPr="009A50C1">
        <w:rPr>
          <w:szCs w:val="22"/>
          <w:lang w:val="el-GR"/>
        </w:rPr>
        <w:t xml:space="preserve">Αυτό το φαρμακευτικό προϊόν περιέχει λιγότερο από 1 </w:t>
      </w:r>
      <w:r w:rsidRPr="009A50C1">
        <w:rPr>
          <w:szCs w:val="22"/>
        </w:rPr>
        <w:t>mmol</w:t>
      </w:r>
      <w:r w:rsidRPr="009A50C1">
        <w:rPr>
          <w:szCs w:val="22"/>
          <w:lang w:val="el-GR"/>
        </w:rPr>
        <w:t xml:space="preserve"> νατρίου (23 </w:t>
      </w:r>
      <w:r w:rsidRPr="009A50C1">
        <w:rPr>
          <w:szCs w:val="22"/>
        </w:rPr>
        <w:t>mg</w:t>
      </w:r>
      <w:r w:rsidRPr="009A50C1">
        <w:rPr>
          <w:szCs w:val="22"/>
          <w:lang w:val="el-GR"/>
        </w:rPr>
        <w:t xml:space="preserve">) ανά φιαλίδιο, δηλ </w:t>
      </w:r>
      <w:r w:rsidR="00F05E7A">
        <w:rPr>
          <w:szCs w:val="22"/>
          <w:lang w:val="el-GR"/>
        </w:rPr>
        <w:t>είναι ουσιαστικά</w:t>
      </w:r>
      <w:r>
        <w:rPr>
          <w:szCs w:val="22"/>
          <w:lang w:val="el-GR"/>
        </w:rPr>
        <w:t xml:space="preserve"> «</w:t>
      </w:r>
      <w:r w:rsidR="00C062E4">
        <w:rPr>
          <w:szCs w:val="22"/>
          <w:lang w:val="el-GR"/>
        </w:rPr>
        <w:t>ελεύθερο νατρίου</w:t>
      </w:r>
      <w:r>
        <w:rPr>
          <w:szCs w:val="22"/>
          <w:lang w:val="el-GR"/>
        </w:rPr>
        <w:t>».</w:t>
      </w:r>
    </w:p>
    <w:p w14:paraId="508EB0A0" w14:textId="77777777" w:rsidR="009A50C1" w:rsidRPr="00061777" w:rsidRDefault="009A50C1" w:rsidP="009A50C1">
      <w:pPr>
        <w:pStyle w:val="2"/>
        <w:rPr>
          <w:lang w:val="el-GR"/>
        </w:rPr>
      </w:pPr>
      <w:r w:rsidRPr="009A50C1">
        <w:rPr>
          <w:noProof/>
          <w:lang w:val="el-GR"/>
        </w:rPr>
        <w:lastRenderedPageBreak/>
        <w:t>Αλληλεπιδράσεις με άλλα φαρμακευτικά προϊόντα και άλλες μορφές αλληλεπίδρασης</w:t>
      </w:r>
    </w:p>
    <w:p w14:paraId="0D1AB92E" w14:textId="77777777" w:rsidR="009A50C1" w:rsidRPr="009A50C1" w:rsidRDefault="009A50C1" w:rsidP="009A50C1">
      <w:pPr>
        <w:rPr>
          <w:noProof/>
          <w:lang w:val="el-GR"/>
        </w:rPr>
      </w:pPr>
      <w:r w:rsidRPr="009A50C1">
        <w:rPr>
          <w:noProof/>
          <w:lang w:val="el-GR"/>
        </w:rPr>
        <w:t>Εμβολιασμοί με ζώντες οργανισμούς, δεν συνιστώνται σε ανοσοκατασταλμένα άτομα (βλέπε παράγραφο 4.4).</w:t>
      </w:r>
    </w:p>
    <w:p w14:paraId="553EBF06" w14:textId="0DE41098" w:rsidR="009A50C1" w:rsidRPr="009A50C1" w:rsidRDefault="009A50C1" w:rsidP="009A50C1">
      <w:pPr>
        <w:rPr>
          <w:noProof/>
          <w:lang w:val="el-GR"/>
        </w:rPr>
      </w:pPr>
      <w:r w:rsidRPr="009A50C1">
        <w:rPr>
          <w:noProof/>
          <w:lang w:val="el-GR"/>
        </w:rPr>
        <w:t>Να</w:t>
      </w:r>
      <w:r>
        <w:rPr>
          <w:noProof/>
          <w:lang w:val="el-GR"/>
        </w:rPr>
        <w:t>λιδιξικό οξύ μαζί με υψηλής δόσης ενδοφλέβια</w:t>
      </w:r>
      <w:r w:rsidR="00F05E7A">
        <w:rPr>
          <w:noProof/>
          <w:lang w:val="el-GR"/>
        </w:rPr>
        <w:t>ς</w:t>
      </w:r>
      <w:r>
        <w:rPr>
          <w:noProof/>
          <w:lang w:val="el-GR"/>
        </w:rPr>
        <w:t xml:space="preserve"> </w:t>
      </w:r>
      <w:r w:rsidR="00C062E4">
        <w:rPr>
          <w:noProof/>
          <w:lang w:val="el-GR"/>
        </w:rPr>
        <w:t>μελφαλάνη</w:t>
      </w:r>
      <w:r w:rsidR="00F05E7A">
        <w:rPr>
          <w:noProof/>
          <w:lang w:val="el-GR"/>
        </w:rPr>
        <w:t>ς</w:t>
      </w:r>
      <w:r>
        <w:rPr>
          <w:noProof/>
          <w:lang w:val="el-GR"/>
        </w:rPr>
        <w:t xml:space="preserve"> </w:t>
      </w:r>
      <w:r w:rsidRPr="009A50C1">
        <w:rPr>
          <w:noProof/>
          <w:lang w:val="el-GR"/>
        </w:rPr>
        <w:t>προκάλεσε θανάτους σε παιδιά λόγω αιμορραγική</w:t>
      </w:r>
      <w:r>
        <w:rPr>
          <w:noProof/>
          <w:lang w:val="el-GR"/>
        </w:rPr>
        <w:t>ς</w:t>
      </w:r>
      <w:r w:rsidRPr="009A50C1">
        <w:rPr>
          <w:noProof/>
          <w:lang w:val="el-GR"/>
        </w:rPr>
        <w:t xml:space="preserve"> εντεροκολίτιδα</w:t>
      </w:r>
      <w:r>
        <w:rPr>
          <w:noProof/>
          <w:lang w:val="el-GR"/>
        </w:rPr>
        <w:t>ς</w:t>
      </w:r>
      <w:r w:rsidRPr="009A50C1">
        <w:rPr>
          <w:noProof/>
          <w:lang w:val="el-GR"/>
        </w:rPr>
        <w:t>.</w:t>
      </w:r>
    </w:p>
    <w:p w14:paraId="6333348D" w14:textId="2DA0FE75" w:rsidR="009A50C1" w:rsidRDefault="009A50C1" w:rsidP="009A50C1">
      <w:pPr>
        <w:rPr>
          <w:noProof/>
          <w:lang w:val="el-GR"/>
        </w:rPr>
      </w:pPr>
      <w:r w:rsidRPr="009A50C1">
        <w:rPr>
          <w:noProof/>
          <w:lang w:val="el-GR"/>
        </w:rPr>
        <w:t xml:space="preserve">Διαταραγμένη νεφρική λειτουργία έχει </w:t>
      </w:r>
      <w:r w:rsidR="00C062E4">
        <w:rPr>
          <w:noProof/>
          <w:lang w:val="el-GR"/>
        </w:rPr>
        <w:t>αναφερθεί</w:t>
      </w:r>
      <w:r w:rsidR="00C062E4" w:rsidRPr="009A50C1">
        <w:rPr>
          <w:noProof/>
          <w:lang w:val="el-GR"/>
        </w:rPr>
        <w:t xml:space="preserve"> </w:t>
      </w:r>
      <w:r w:rsidRPr="009A50C1">
        <w:rPr>
          <w:noProof/>
          <w:lang w:val="el-GR"/>
        </w:rPr>
        <w:t xml:space="preserve">σε ασθενείς με μεταμόσχευση μυελού των οστών, οι οποίοι έλαβαν ενδοφλέβια μελφαλάνη και οι οποίοι στη συνέχεια έλαβαν κυκλοσπορίνη για την πρόληψη της </w:t>
      </w:r>
      <w:r w:rsidR="003A4FC0">
        <w:rPr>
          <w:noProof/>
          <w:lang w:val="el-GR"/>
        </w:rPr>
        <w:t>νόσου</w:t>
      </w:r>
      <w:r w:rsidR="00C062E4">
        <w:rPr>
          <w:noProof/>
          <w:lang w:val="el-GR"/>
        </w:rPr>
        <w:t xml:space="preserve"> </w:t>
      </w:r>
      <w:r w:rsidRPr="009A50C1">
        <w:rPr>
          <w:noProof/>
          <w:lang w:val="el-GR"/>
        </w:rPr>
        <w:t>μοσχεύματος έναντι ξενιστή.</w:t>
      </w:r>
    </w:p>
    <w:p w14:paraId="3E73EA3A" w14:textId="77777777" w:rsidR="00061777" w:rsidRPr="00732969" w:rsidRDefault="00061777" w:rsidP="00061777">
      <w:pPr>
        <w:pStyle w:val="2"/>
        <w:rPr>
          <w:color w:val="000000"/>
        </w:rPr>
      </w:pPr>
      <w:proofErr w:type="spellStart"/>
      <w:r w:rsidRPr="00733125">
        <w:rPr>
          <w:bCs/>
          <w:lang w:val="en-US"/>
        </w:rPr>
        <w:t>Γονιμότητ</w:t>
      </w:r>
      <w:proofErr w:type="spellEnd"/>
      <w:r w:rsidRPr="00733125">
        <w:rPr>
          <w:bCs/>
          <w:lang w:val="en-US"/>
        </w:rPr>
        <w:t xml:space="preserve">α, </w:t>
      </w:r>
      <w:proofErr w:type="spellStart"/>
      <w:r w:rsidRPr="00733125">
        <w:rPr>
          <w:bCs/>
          <w:lang w:val="en-US"/>
        </w:rPr>
        <w:t>κύηση</w:t>
      </w:r>
      <w:proofErr w:type="spellEnd"/>
      <w:r w:rsidRPr="00733125">
        <w:rPr>
          <w:bCs/>
          <w:lang w:val="en-US"/>
        </w:rPr>
        <w:t xml:space="preserve"> και γα</w:t>
      </w:r>
      <w:proofErr w:type="spellStart"/>
      <w:r w:rsidRPr="00733125">
        <w:rPr>
          <w:bCs/>
          <w:lang w:val="en-US"/>
        </w:rPr>
        <w:t>λουχί</w:t>
      </w:r>
      <w:proofErr w:type="spellEnd"/>
      <w:r w:rsidRPr="00733125">
        <w:rPr>
          <w:bCs/>
          <w:lang w:val="en-US"/>
        </w:rPr>
        <w:t>α</w:t>
      </w:r>
    </w:p>
    <w:p w14:paraId="7FED8736" w14:textId="04ABA3AE" w:rsidR="00061777" w:rsidRPr="00E56986" w:rsidRDefault="00970FC6" w:rsidP="00061777">
      <w:pPr>
        <w:rPr>
          <w:noProof/>
          <w:szCs w:val="22"/>
          <w:u w:val="single"/>
          <w:lang w:val="el-GR"/>
        </w:rPr>
      </w:pPr>
      <w:r>
        <w:rPr>
          <w:noProof/>
          <w:szCs w:val="22"/>
          <w:u w:val="single"/>
          <w:lang w:val="el-GR"/>
        </w:rPr>
        <w:t>Κύηση</w:t>
      </w:r>
    </w:p>
    <w:p w14:paraId="1A4FC547" w14:textId="602C350B" w:rsidR="00061777" w:rsidRPr="00E17D2F" w:rsidRDefault="00061777" w:rsidP="00061777">
      <w:pPr>
        <w:rPr>
          <w:noProof/>
          <w:szCs w:val="22"/>
          <w:lang w:val="el-GR"/>
        </w:rPr>
      </w:pPr>
      <w:r w:rsidRPr="00E17D2F">
        <w:rPr>
          <w:noProof/>
          <w:szCs w:val="22"/>
          <w:lang w:val="el-GR"/>
        </w:rPr>
        <w:t xml:space="preserve">Όπως συμβαίνει με όλες τις χημειοθεραπείες που περιέχουν κυτταροστατικά, πρέπει να λαμβάνονται κατάλληλα μέτρα αντισύλληψης όταν ένας από τους </w:t>
      </w:r>
      <w:r w:rsidR="00F05E7A">
        <w:rPr>
          <w:noProof/>
          <w:szCs w:val="22"/>
          <w:lang w:val="el-GR"/>
        </w:rPr>
        <w:t xml:space="preserve">δύο </w:t>
      </w:r>
      <w:r w:rsidR="003A4FC0">
        <w:rPr>
          <w:noProof/>
          <w:szCs w:val="22"/>
          <w:lang w:val="el-GR"/>
        </w:rPr>
        <w:t xml:space="preserve">συντρόφους </w:t>
      </w:r>
      <w:r w:rsidR="00C062E4">
        <w:rPr>
          <w:noProof/>
          <w:szCs w:val="22"/>
          <w:lang w:val="el-GR"/>
        </w:rPr>
        <w:t xml:space="preserve">λαμβάνει </w:t>
      </w:r>
      <w:r w:rsidR="009E3C64">
        <w:rPr>
          <w:noProof/>
          <w:szCs w:val="22"/>
          <w:lang w:val="en-US"/>
        </w:rPr>
        <w:t>Melphalan</w:t>
      </w:r>
      <w:r w:rsidR="009E3C64" w:rsidRPr="00E56986">
        <w:rPr>
          <w:noProof/>
          <w:szCs w:val="22"/>
          <w:lang w:val="el-GR"/>
        </w:rPr>
        <w:t xml:space="preserve"> </w:t>
      </w:r>
      <w:r w:rsidR="009E3C64">
        <w:rPr>
          <w:noProof/>
          <w:szCs w:val="22"/>
          <w:lang w:val="en-US"/>
        </w:rPr>
        <w:t>Tillomed</w:t>
      </w:r>
      <w:r w:rsidRPr="00E17D2F">
        <w:rPr>
          <w:noProof/>
          <w:szCs w:val="22"/>
          <w:lang w:val="el-GR"/>
        </w:rPr>
        <w:t xml:space="preserve">. Εάν προκύψει εγκυμοσύνη κατά τη διάρκεια της θεραπείας, θα πρέπει να </w:t>
      </w:r>
      <w:r w:rsidR="00C062E4">
        <w:rPr>
          <w:noProof/>
          <w:szCs w:val="22"/>
          <w:lang w:val="el-GR"/>
        </w:rPr>
        <w:t>αναζητηθεί συμβουλή από γενετιστή</w:t>
      </w:r>
      <w:r w:rsidRPr="00E17D2F">
        <w:rPr>
          <w:noProof/>
          <w:szCs w:val="22"/>
          <w:lang w:val="el-GR"/>
        </w:rPr>
        <w:t>.</w:t>
      </w:r>
    </w:p>
    <w:p w14:paraId="014FF47C" w14:textId="7500A88A" w:rsidR="00061777" w:rsidRPr="00E17D2F" w:rsidRDefault="00061777" w:rsidP="00061777">
      <w:pPr>
        <w:rPr>
          <w:noProof/>
          <w:szCs w:val="22"/>
          <w:lang w:val="el-GR"/>
        </w:rPr>
      </w:pPr>
      <w:r>
        <w:rPr>
          <w:noProof/>
          <w:szCs w:val="22"/>
          <w:lang w:val="el-GR"/>
        </w:rPr>
        <w:t xml:space="preserve">Το </w:t>
      </w:r>
      <w:r w:rsidR="009E3C64">
        <w:rPr>
          <w:noProof/>
          <w:szCs w:val="22"/>
          <w:lang w:val="en-US"/>
        </w:rPr>
        <w:t>Melphalan</w:t>
      </w:r>
      <w:r w:rsidR="009E3C64" w:rsidRPr="00E56986">
        <w:rPr>
          <w:noProof/>
          <w:szCs w:val="22"/>
          <w:lang w:val="el-GR"/>
        </w:rPr>
        <w:t xml:space="preserve"> </w:t>
      </w:r>
      <w:r w:rsidR="009E3C64">
        <w:rPr>
          <w:noProof/>
          <w:szCs w:val="22"/>
          <w:lang w:val="en-US"/>
        </w:rPr>
        <w:t>Tillomed</w:t>
      </w:r>
      <w:r w:rsidR="009E3C64" w:rsidRPr="00E56986">
        <w:rPr>
          <w:noProof/>
          <w:szCs w:val="22"/>
          <w:lang w:val="el-GR"/>
        </w:rPr>
        <w:t xml:space="preserve"> </w:t>
      </w:r>
      <w:r w:rsidRPr="00E17D2F">
        <w:rPr>
          <w:noProof/>
          <w:szCs w:val="22"/>
          <w:lang w:val="el-GR"/>
        </w:rPr>
        <w:t xml:space="preserve">έχει μεταλλαξιογόνο επίδραση στην ανάπτυξη του εμβρύου. Το </w:t>
      </w:r>
      <w:r w:rsidR="009E3C64">
        <w:rPr>
          <w:noProof/>
          <w:szCs w:val="22"/>
          <w:lang w:val="en-US"/>
        </w:rPr>
        <w:t>Melphalan</w:t>
      </w:r>
      <w:r w:rsidR="009E3C64" w:rsidRPr="00E56986">
        <w:rPr>
          <w:noProof/>
          <w:szCs w:val="22"/>
          <w:lang w:val="el-GR"/>
        </w:rPr>
        <w:t xml:space="preserve"> </w:t>
      </w:r>
      <w:r w:rsidR="009E3C64">
        <w:rPr>
          <w:noProof/>
          <w:szCs w:val="22"/>
          <w:lang w:val="en-US"/>
        </w:rPr>
        <w:t>Tillomed</w:t>
      </w:r>
      <w:r w:rsidR="009E3C64" w:rsidRPr="00E56986">
        <w:rPr>
          <w:noProof/>
          <w:szCs w:val="22"/>
          <w:lang w:val="el-GR"/>
        </w:rPr>
        <w:t xml:space="preserve"> </w:t>
      </w:r>
      <w:r w:rsidRPr="00E17D2F">
        <w:rPr>
          <w:noProof/>
          <w:szCs w:val="22"/>
          <w:lang w:val="el-GR"/>
        </w:rPr>
        <w:t xml:space="preserve">δεν πρέπει να χρησιμοποιείται κατά τη διάρκεια της εγκυμοσύνης, ιδιαίτερα κατά τη διάρκεια του πρώτου τριμήνου. </w:t>
      </w:r>
      <w:r w:rsidR="00C062E4" w:rsidRPr="00E17D2F">
        <w:rPr>
          <w:noProof/>
          <w:szCs w:val="22"/>
          <w:lang w:val="el-GR"/>
        </w:rPr>
        <w:t>Σ</w:t>
      </w:r>
      <w:r w:rsidR="00C062E4">
        <w:rPr>
          <w:noProof/>
          <w:szCs w:val="22"/>
          <w:lang w:val="el-GR"/>
        </w:rPr>
        <w:t xml:space="preserve">ε </w:t>
      </w:r>
      <w:r w:rsidRPr="00E17D2F">
        <w:rPr>
          <w:noProof/>
          <w:szCs w:val="22"/>
          <w:lang w:val="el-GR"/>
        </w:rPr>
        <w:t xml:space="preserve">περίπτωση ζωτικής σημασίας για εγκύο </w:t>
      </w:r>
      <w:r w:rsidR="00C062E4" w:rsidRPr="00E17D2F">
        <w:rPr>
          <w:noProof/>
          <w:szCs w:val="22"/>
          <w:lang w:val="el-GR"/>
        </w:rPr>
        <w:t>ασθεν</w:t>
      </w:r>
      <w:r w:rsidR="00C062E4">
        <w:rPr>
          <w:noProof/>
          <w:szCs w:val="22"/>
          <w:lang w:val="el-GR"/>
        </w:rPr>
        <w:t>ή</w:t>
      </w:r>
      <w:r w:rsidRPr="00E17D2F">
        <w:rPr>
          <w:noProof/>
          <w:szCs w:val="22"/>
          <w:lang w:val="el-GR"/>
        </w:rPr>
        <w:t xml:space="preserve">, </w:t>
      </w:r>
      <w:r w:rsidR="0021363B" w:rsidRPr="00E17D2F">
        <w:rPr>
          <w:noProof/>
          <w:szCs w:val="22"/>
          <w:lang w:val="el-GR"/>
        </w:rPr>
        <w:t>θα πρέπει να δοθ</w:t>
      </w:r>
      <w:r w:rsidR="0021363B">
        <w:rPr>
          <w:noProof/>
          <w:szCs w:val="22"/>
          <w:lang w:val="el-GR"/>
        </w:rPr>
        <w:t>ούν</w:t>
      </w:r>
      <w:r w:rsidR="0021363B" w:rsidRPr="00E17D2F">
        <w:rPr>
          <w:noProof/>
          <w:szCs w:val="22"/>
          <w:lang w:val="el-GR"/>
        </w:rPr>
        <w:t xml:space="preserve"> </w:t>
      </w:r>
      <w:r w:rsidRPr="00E17D2F">
        <w:rPr>
          <w:noProof/>
          <w:szCs w:val="22"/>
          <w:lang w:val="el-GR"/>
        </w:rPr>
        <w:t xml:space="preserve">ιατρικές συμβουλές </w:t>
      </w:r>
      <w:r w:rsidR="0021363B">
        <w:rPr>
          <w:noProof/>
          <w:szCs w:val="22"/>
          <w:lang w:val="el-GR"/>
        </w:rPr>
        <w:t>σχετικά με τον πιθανό</w:t>
      </w:r>
      <w:r w:rsidR="0021363B" w:rsidRPr="00E17D2F">
        <w:rPr>
          <w:noProof/>
          <w:szCs w:val="22"/>
          <w:lang w:val="el-GR"/>
        </w:rPr>
        <w:t xml:space="preserve"> </w:t>
      </w:r>
      <w:r w:rsidRPr="00E17D2F">
        <w:rPr>
          <w:noProof/>
          <w:szCs w:val="22"/>
          <w:lang w:val="el-GR"/>
        </w:rPr>
        <w:t xml:space="preserve">κίνδυνο στο παιδί </w:t>
      </w:r>
      <w:r w:rsidR="0021363B">
        <w:rPr>
          <w:noProof/>
          <w:szCs w:val="22"/>
          <w:lang w:val="el-GR"/>
        </w:rPr>
        <w:t>που συνδέεται</w:t>
      </w:r>
      <w:r w:rsidR="0021363B" w:rsidRPr="00E17D2F">
        <w:rPr>
          <w:noProof/>
          <w:szCs w:val="22"/>
          <w:lang w:val="el-GR"/>
        </w:rPr>
        <w:t xml:space="preserve"> </w:t>
      </w:r>
      <w:r w:rsidRPr="00E17D2F">
        <w:rPr>
          <w:noProof/>
          <w:szCs w:val="22"/>
          <w:lang w:val="el-GR"/>
        </w:rPr>
        <w:t>με τη θεραπεία.</w:t>
      </w:r>
    </w:p>
    <w:p w14:paraId="7362FBA8" w14:textId="77777777" w:rsidR="00061777" w:rsidRPr="0044180F" w:rsidRDefault="00061777" w:rsidP="00061777">
      <w:pPr>
        <w:rPr>
          <w:noProof/>
          <w:szCs w:val="22"/>
          <w:u w:val="single"/>
          <w:lang w:val="el-GR"/>
        </w:rPr>
      </w:pPr>
      <w:r w:rsidRPr="00E17D2F">
        <w:rPr>
          <w:noProof/>
          <w:szCs w:val="22"/>
          <w:u w:val="single"/>
          <w:lang w:val="el-GR"/>
        </w:rPr>
        <w:t>Θηλασμός</w:t>
      </w:r>
    </w:p>
    <w:p w14:paraId="6419D471" w14:textId="354EA10E" w:rsidR="009E3C64" w:rsidRDefault="00061777" w:rsidP="00061777">
      <w:pPr>
        <w:rPr>
          <w:noProof/>
          <w:szCs w:val="22"/>
          <w:lang w:val="el-GR"/>
        </w:rPr>
      </w:pPr>
      <w:r w:rsidRPr="00E17D2F">
        <w:rPr>
          <w:noProof/>
          <w:szCs w:val="22"/>
          <w:lang w:val="el-GR"/>
        </w:rPr>
        <w:t>Μη</w:t>
      </w:r>
      <w:r w:rsidRPr="009E3C64">
        <w:rPr>
          <w:noProof/>
          <w:szCs w:val="22"/>
          <w:lang w:val="el-GR"/>
        </w:rPr>
        <w:t xml:space="preserve"> </w:t>
      </w:r>
      <w:r w:rsidRPr="00E17D2F">
        <w:rPr>
          <w:noProof/>
          <w:szCs w:val="22"/>
          <w:lang w:val="el-GR"/>
        </w:rPr>
        <w:t>θηλάζετε</w:t>
      </w:r>
      <w:r w:rsidRPr="009E3C64">
        <w:rPr>
          <w:noProof/>
          <w:szCs w:val="22"/>
          <w:lang w:val="el-GR"/>
        </w:rPr>
        <w:t xml:space="preserve"> </w:t>
      </w:r>
      <w:r w:rsidRPr="00E17D2F">
        <w:rPr>
          <w:noProof/>
          <w:szCs w:val="22"/>
          <w:lang w:val="el-GR"/>
        </w:rPr>
        <w:t>κατά</w:t>
      </w:r>
      <w:r w:rsidRPr="009E3C64">
        <w:rPr>
          <w:noProof/>
          <w:szCs w:val="22"/>
          <w:lang w:val="el-GR"/>
        </w:rPr>
        <w:t xml:space="preserve"> </w:t>
      </w:r>
      <w:r w:rsidRPr="00E17D2F">
        <w:rPr>
          <w:noProof/>
          <w:szCs w:val="22"/>
          <w:lang w:val="el-GR"/>
        </w:rPr>
        <w:t>τη</w:t>
      </w:r>
      <w:r w:rsidRPr="009E3C64">
        <w:rPr>
          <w:noProof/>
          <w:szCs w:val="22"/>
          <w:lang w:val="el-GR"/>
        </w:rPr>
        <w:t xml:space="preserve"> </w:t>
      </w:r>
      <w:r w:rsidRPr="00E17D2F">
        <w:rPr>
          <w:noProof/>
          <w:szCs w:val="22"/>
          <w:lang w:val="el-GR"/>
        </w:rPr>
        <w:t>διάρκεια</w:t>
      </w:r>
      <w:r w:rsidRPr="009E3C64">
        <w:rPr>
          <w:noProof/>
          <w:szCs w:val="22"/>
          <w:lang w:val="el-GR"/>
        </w:rPr>
        <w:t xml:space="preserve"> </w:t>
      </w:r>
      <w:r w:rsidRPr="00E17D2F">
        <w:rPr>
          <w:noProof/>
          <w:szCs w:val="22"/>
          <w:lang w:val="el-GR"/>
        </w:rPr>
        <w:t>της</w:t>
      </w:r>
      <w:r w:rsidRPr="009E3C64">
        <w:rPr>
          <w:noProof/>
          <w:szCs w:val="22"/>
          <w:lang w:val="el-GR"/>
        </w:rPr>
        <w:t xml:space="preserve"> </w:t>
      </w:r>
      <w:r w:rsidRPr="00E17D2F">
        <w:rPr>
          <w:noProof/>
          <w:szCs w:val="22"/>
          <w:lang w:val="el-GR"/>
        </w:rPr>
        <w:t>θεραπείας</w:t>
      </w:r>
      <w:r w:rsidRPr="009E3C64">
        <w:rPr>
          <w:noProof/>
          <w:szCs w:val="22"/>
          <w:lang w:val="el-GR"/>
        </w:rPr>
        <w:t xml:space="preserve"> </w:t>
      </w:r>
      <w:r w:rsidR="0021363B">
        <w:rPr>
          <w:noProof/>
          <w:szCs w:val="22"/>
          <w:lang w:val="el-GR"/>
        </w:rPr>
        <w:t>με</w:t>
      </w:r>
      <w:r w:rsidR="0021363B" w:rsidRPr="009E3C64">
        <w:rPr>
          <w:noProof/>
          <w:szCs w:val="22"/>
          <w:lang w:val="el-GR"/>
        </w:rPr>
        <w:t xml:space="preserve"> </w:t>
      </w:r>
      <w:bookmarkStart w:id="6" w:name="_Hlk482377971"/>
      <w:r w:rsidR="009E3C64">
        <w:rPr>
          <w:noProof/>
          <w:szCs w:val="22"/>
          <w:lang w:val="en-US"/>
        </w:rPr>
        <w:t>Melphalan</w:t>
      </w:r>
      <w:r w:rsidR="009E3C64" w:rsidRPr="00E56986">
        <w:rPr>
          <w:noProof/>
          <w:szCs w:val="22"/>
          <w:lang w:val="el-GR"/>
        </w:rPr>
        <w:t xml:space="preserve"> </w:t>
      </w:r>
      <w:r w:rsidR="009E3C64">
        <w:rPr>
          <w:noProof/>
          <w:szCs w:val="22"/>
          <w:lang w:val="en-US"/>
        </w:rPr>
        <w:t>Tillomed</w:t>
      </w:r>
      <w:r w:rsidR="009E3C64" w:rsidRPr="00E56986">
        <w:rPr>
          <w:noProof/>
          <w:szCs w:val="22"/>
          <w:lang w:val="el-GR"/>
        </w:rPr>
        <w:t xml:space="preserve"> </w:t>
      </w:r>
      <w:bookmarkEnd w:id="6"/>
    </w:p>
    <w:p w14:paraId="10A8C98A" w14:textId="34F9896C" w:rsidR="00061777" w:rsidRPr="00E17D2F" w:rsidRDefault="00061777" w:rsidP="00061777">
      <w:pPr>
        <w:rPr>
          <w:noProof/>
          <w:szCs w:val="22"/>
          <w:u w:val="single"/>
          <w:lang w:val="el-GR"/>
        </w:rPr>
      </w:pPr>
      <w:r w:rsidRPr="00E17D2F">
        <w:rPr>
          <w:noProof/>
          <w:szCs w:val="22"/>
          <w:u w:val="single"/>
          <w:lang w:val="el-GR"/>
        </w:rPr>
        <w:t>Γονιμότητα</w:t>
      </w:r>
    </w:p>
    <w:p w14:paraId="36487F43" w14:textId="248577B8" w:rsidR="00061777" w:rsidRPr="00E17D2F" w:rsidRDefault="00061777" w:rsidP="00061777">
      <w:pPr>
        <w:rPr>
          <w:noProof/>
          <w:szCs w:val="22"/>
          <w:lang w:val="el-GR"/>
        </w:rPr>
      </w:pPr>
      <w:r>
        <w:rPr>
          <w:noProof/>
          <w:szCs w:val="22"/>
          <w:lang w:val="el-GR"/>
        </w:rPr>
        <w:t xml:space="preserve">Το </w:t>
      </w:r>
      <w:bookmarkStart w:id="7" w:name="_Hlk482379707"/>
      <w:r w:rsidR="009E3C64">
        <w:rPr>
          <w:noProof/>
          <w:szCs w:val="22"/>
          <w:lang w:val="en-US"/>
        </w:rPr>
        <w:t>Melphalan</w:t>
      </w:r>
      <w:r w:rsidR="009E3C64" w:rsidRPr="00E56986">
        <w:rPr>
          <w:noProof/>
          <w:szCs w:val="22"/>
          <w:lang w:val="el-GR"/>
        </w:rPr>
        <w:t xml:space="preserve"> </w:t>
      </w:r>
      <w:r w:rsidR="009E3C64">
        <w:rPr>
          <w:noProof/>
          <w:szCs w:val="22"/>
          <w:lang w:val="en-US"/>
        </w:rPr>
        <w:t>Tillomed</w:t>
      </w:r>
      <w:r w:rsidR="009E3C64" w:rsidRPr="00E56986">
        <w:rPr>
          <w:noProof/>
          <w:szCs w:val="22"/>
          <w:lang w:val="el-GR"/>
        </w:rPr>
        <w:t xml:space="preserve"> </w:t>
      </w:r>
      <w:bookmarkEnd w:id="7"/>
      <w:r w:rsidRPr="00E17D2F">
        <w:rPr>
          <w:noProof/>
          <w:szCs w:val="22"/>
          <w:lang w:val="el-GR"/>
        </w:rPr>
        <w:t xml:space="preserve">προκαλεί καταστολή της λειτουργίας των ωοθηκών σε προεμμηνοπαυσιακές γυναίκες με αποτέλεσμα </w:t>
      </w:r>
      <w:r w:rsidR="009E3C64">
        <w:rPr>
          <w:noProof/>
          <w:szCs w:val="22"/>
          <w:lang w:val="el-GR"/>
        </w:rPr>
        <w:t xml:space="preserve">την </w:t>
      </w:r>
      <w:r w:rsidRPr="00E17D2F">
        <w:rPr>
          <w:noProof/>
          <w:szCs w:val="22"/>
          <w:lang w:val="el-GR"/>
        </w:rPr>
        <w:t>αμηνόρροια σε ένα σημαντικό αριθμό ασθενών.</w:t>
      </w:r>
    </w:p>
    <w:p w14:paraId="1646F5CC" w14:textId="7EC4888F" w:rsidR="00061777" w:rsidRPr="00E17D2F" w:rsidRDefault="00061777" w:rsidP="00061777">
      <w:pPr>
        <w:rPr>
          <w:noProof/>
          <w:szCs w:val="22"/>
          <w:lang w:val="el-GR"/>
        </w:rPr>
      </w:pPr>
      <w:r>
        <w:rPr>
          <w:noProof/>
          <w:szCs w:val="22"/>
          <w:lang w:val="el-GR"/>
        </w:rPr>
        <w:t xml:space="preserve">Το </w:t>
      </w:r>
      <w:r w:rsidR="009E3C64">
        <w:rPr>
          <w:noProof/>
          <w:szCs w:val="22"/>
          <w:lang w:val="en-US"/>
        </w:rPr>
        <w:t>Melphalan</w:t>
      </w:r>
      <w:r w:rsidR="009E3C64" w:rsidRPr="00E56986">
        <w:rPr>
          <w:noProof/>
          <w:szCs w:val="22"/>
          <w:lang w:val="el-GR"/>
        </w:rPr>
        <w:t xml:space="preserve"> </w:t>
      </w:r>
      <w:r w:rsidR="009E3C64">
        <w:rPr>
          <w:noProof/>
          <w:szCs w:val="22"/>
          <w:lang w:val="en-US"/>
        </w:rPr>
        <w:t>Tillomed</w:t>
      </w:r>
      <w:r w:rsidR="009E3C64" w:rsidRPr="00E56986">
        <w:rPr>
          <w:noProof/>
          <w:szCs w:val="22"/>
          <w:lang w:val="el-GR"/>
        </w:rPr>
        <w:t xml:space="preserve"> </w:t>
      </w:r>
      <w:r w:rsidRPr="00E17D2F">
        <w:rPr>
          <w:noProof/>
          <w:szCs w:val="22"/>
          <w:lang w:val="el-GR"/>
        </w:rPr>
        <w:t xml:space="preserve">έχει μεταλλαξιογόνο δράση σε </w:t>
      </w:r>
      <w:r w:rsidR="0021363B">
        <w:rPr>
          <w:noProof/>
          <w:szCs w:val="22"/>
          <w:lang w:val="el-GR"/>
        </w:rPr>
        <w:t>ζώα,</w:t>
      </w:r>
      <w:r w:rsidR="0021363B" w:rsidRPr="00E17D2F">
        <w:rPr>
          <w:noProof/>
          <w:szCs w:val="22"/>
          <w:lang w:val="el-GR"/>
        </w:rPr>
        <w:t xml:space="preserve"> </w:t>
      </w:r>
      <w:r w:rsidR="0021363B">
        <w:rPr>
          <w:noProof/>
          <w:szCs w:val="22"/>
          <w:lang w:val="el-GR"/>
        </w:rPr>
        <w:t>Σ</w:t>
      </w:r>
      <w:r w:rsidR="0021363B" w:rsidRPr="00E17D2F">
        <w:rPr>
          <w:noProof/>
          <w:szCs w:val="22"/>
          <w:lang w:val="el-GR"/>
        </w:rPr>
        <w:t xml:space="preserve">ε </w:t>
      </w:r>
      <w:r w:rsidRPr="00E17D2F">
        <w:rPr>
          <w:noProof/>
          <w:szCs w:val="22"/>
          <w:lang w:val="el-GR"/>
        </w:rPr>
        <w:t>ασθενείς που έλαβαν θεραπεία</w:t>
      </w:r>
      <w:r w:rsidR="009E3C64">
        <w:rPr>
          <w:noProof/>
          <w:szCs w:val="22"/>
          <w:lang w:val="el-GR"/>
        </w:rPr>
        <w:t xml:space="preserve"> </w:t>
      </w:r>
      <w:r w:rsidRPr="00E17D2F">
        <w:rPr>
          <w:noProof/>
          <w:szCs w:val="22"/>
          <w:lang w:val="el-GR"/>
        </w:rPr>
        <w:t>με το φάρμακο, παρατηρήθηκ</w:t>
      </w:r>
      <w:r w:rsidR="00F05E7A">
        <w:rPr>
          <w:noProof/>
          <w:szCs w:val="22"/>
          <w:lang w:val="el-GR"/>
        </w:rPr>
        <w:t>αν</w:t>
      </w:r>
      <w:r w:rsidRPr="00E17D2F">
        <w:rPr>
          <w:noProof/>
          <w:szCs w:val="22"/>
          <w:lang w:val="el-GR"/>
        </w:rPr>
        <w:t xml:space="preserve"> χρωμοσωμικές ανωμαλίες. Ως εκ τούτου, οι άντρες συνιστάται να μην </w:t>
      </w:r>
      <w:r w:rsidR="0021363B">
        <w:rPr>
          <w:noProof/>
          <w:szCs w:val="22"/>
          <w:lang w:val="el-GR"/>
        </w:rPr>
        <w:t>τεκνοποιούν</w:t>
      </w:r>
      <w:r w:rsidRPr="00E17D2F">
        <w:rPr>
          <w:noProof/>
          <w:szCs w:val="22"/>
          <w:lang w:val="el-GR"/>
        </w:rPr>
        <w:t xml:space="preserve"> κατά τη διάρκεια της θεραπείας με μελφαλάνη και έως 6 μήνες μετά, και </w:t>
      </w:r>
      <w:r w:rsidR="00A254C8">
        <w:rPr>
          <w:bCs/>
          <w:noProof/>
          <w:szCs w:val="22"/>
          <w:lang w:val="el-GR"/>
        </w:rPr>
        <w:t>να αναζητήσουν συμβουλές σχετικά με την αποθήκευση</w:t>
      </w:r>
      <w:r w:rsidR="00A254C8" w:rsidRPr="00354F2E">
        <w:rPr>
          <w:bCs/>
          <w:noProof/>
          <w:szCs w:val="22"/>
          <w:lang w:val="el-GR"/>
        </w:rPr>
        <w:t xml:space="preserve"> σπέρματος πριν την έναρξη της θεραπείας</w:t>
      </w:r>
      <w:r w:rsidRPr="00E17D2F">
        <w:rPr>
          <w:noProof/>
          <w:szCs w:val="22"/>
          <w:lang w:val="el-GR"/>
        </w:rPr>
        <w:t>, λόγω της πιθανότητας μη αναστρέψιμης στειρότητας που προκαλείται από τη θεραπεία. (Βλέπε παράγραφο 5.3)</w:t>
      </w:r>
    </w:p>
    <w:p w14:paraId="3B505F63" w14:textId="6180E34D" w:rsidR="00061777" w:rsidRPr="00E17D2F" w:rsidRDefault="00061777" w:rsidP="00061777">
      <w:pPr>
        <w:rPr>
          <w:noProof/>
          <w:szCs w:val="22"/>
          <w:lang w:val="el-GR"/>
        </w:rPr>
      </w:pPr>
      <w:r w:rsidRPr="00E17D2F">
        <w:rPr>
          <w:noProof/>
          <w:szCs w:val="22"/>
          <w:lang w:val="el-GR"/>
        </w:rPr>
        <w:t xml:space="preserve">Υπάρχουν στοιχεία από ορισμένες μελέτες σε ζώα </w:t>
      </w:r>
      <w:r w:rsidR="0021363B">
        <w:rPr>
          <w:noProof/>
          <w:szCs w:val="22"/>
          <w:lang w:val="el-GR"/>
        </w:rPr>
        <w:t>ό</w:t>
      </w:r>
      <w:r w:rsidRPr="00E17D2F">
        <w:rPr>
          <w:noProof/>
          <w:szCs w:val="22"/>
          <w:lang w:val="el-GR"/>
        </w:rPr>
        <w:t xml:space="preserve">που </w:t>
      </w:r>
      <w:r w:rsidR="003A4FC0">
        <w:rPr>
          <w:noProof/>
          <w:szCs w:val="22"/>
          <w:lang w:val="el-GR"/>
        </w:rPr>
        <w:t xml:space="preserve">το </w:t>
      </w:r>
      <w:r w:rsidR="003A4FC0">
        <w:rPr>
          <w:noProof/>
          <w:szCs w:val="22"/>
          <w:lang w:val="en-US"/>
        </w:rPr>
        <w:t>Melphalan</w:t>
      </w:r>
      <w:r w:rsidR="003A4FC0" w:rsidRPr="00E56986">
        <w:rPr>
          <w:noProof/>
          <w:szCs w:val="22"/>
          <w:lang w:val="el-GR"/>
        </w:rPr>
        <w:t xml:space="preserve"> </w:t>
      </w:r>
      <w:r w:rsidR="003A4FC0">
        <w:rPr>
          <w:noProof/>
          <w:szCs w:val="22"/>
          <w:lang w:val="en-US"/>
        </w:rPr>
        <w:t>Tillomed</w:t>
      </w:r>
      <w:r w:rsidR="003A4FC0" w:rsidRPr="00E56986">
        <w:rPr>
          <w:noProof/>
          <w:szCs w:val="22"/>
          <w:lang w:val="el-GR"/>
        </w:rPr>
        <w:t xml:space="preserve"> </w:t>
      </w:r>
      <w:r w:rsidRPr="00E17D2F">
        <w:rPr>
          <w:noProof/>
          <w:szCs w:val="22"/>
          <w:lang w:val="el-GR"/>
        </w:rPr>
        <w:t xml:space="preserve">μπορεί να </w:t>
      </w:r>
      <w:r w:rsidR="0021363B" w:rsidRPr="00E17D2F">
        <w:rPr>
          <w:noProof/>
          <w:szCs w:val="22"/>
          <w:lang w:val="el-GR"/>
        </w:rPr>
        <w:t>έχ</w:t>
      </w:r>
      <w:r w:rsidR="0021363B">
        <w:rPr>
          <w:noProof/>
          <w:szCs w:val="22"/>
          <w:lang w:val="el-GR"/>
        </w:rPr>
        <w:t>ει</w:t>
      </w:r>
      <w:r w:rsidR="0021363B" w:rsidRPr="00E17D2F">
        <w:rPr>
          <w:noProof/>
          <w:szCs w:val="22"/>
          <w:lang w:val="el-GR"/>
        </w:rPr>
        <w:t xml:space="preserve"> </w:t>
      </w:r>
      <w:r w:rsidRPr="00E17D2F">
        <w:rPr>
          <w:noProof/>
          <w:szCs w:val="22"/>
          <w:lang w:val="el-GR"/>
        </w:rPr>
        <w:t xml:space="preserve">ανεπιθύμητες </w:t>
      </w:r>
      <w:r w:rsidR="00F05E7A">
        <w:rPr>
          <w:noProof/>
          <w:szCs w:val="22"/>
          <w:lang w:val="el-GR"/>
        </w:rPr>
        <w:t>ενέργειες</w:t>
      </w:r>
      <w:r w:rsidRPr="00E17D2F">
        <w:rPr>
          <w:noProof/>
          <w:szCs w:val="22"/>
          <w:lang w:val="el-GR"/>
        </w:rPr>
        <w:t xml:space="preserve"> στη σπερματογένεση. Ως εκ τούτου, είναι πιθανό ότι το </w:t>
      </w:r>
      <w:r w:rsidR="00A254C8">
        <w:rPr>
          <w:noProof/>
          <w:szCs w:val="22"/>
          <w:lang w:val="en-US"/>
        </w:rPr>
        <w:t>Melphalan</w:t>
      </w:r>
      <w:r w:rsidR="00A254C8" w:rsidRPr="00E56986">
        <w:rPr>
          <w:noProof/>
          <w:szCs w:val="22"/>
          <w:lang w:val="el-GR"/>
        </w:rPr>
        <w:t xml:space="preserve"> </w:t>
      </w:r>
      <w:r w:rsidR="00A254C8">
        <w:rPr>
          <w:noProof/>
          <w:szCs w:val="22"/>
          <w:lang w:val="en-US"/>
        </w:rPr>
        <w:t>Tillomed</w:t>
      </w:r>
      <w:r w:rsidR="00A254C8" w:rsidRPr="00E56986">
        <w:rPr>
          <w:noProof/>
          <w:szCs w:val="22"/>
          <w:lang w:val="el-GR"/>
        </w:rPr>
        <w:t xml:space="preserve"> </w:t>
      </w:r>
      <w:r w:rsidRPr="00E17D2F">
        <w:rPr>
          <w:noProof/>
          <w:szCs w:val="22"/>
          <w:lang w:val="el-GR"/>
        </w:rPr>
        <w:t>μπορεί να προκαλέσει προσωρινή ή μόνιμη στειρότητα σε άνδρες ασθενείς.</w:t>
      </w:r>
    </w:p>
    <w:p w14:paraId="15682F5C" w14:textId="39940CEE" w:rsidR="00061777" w:rsidRPr="00E17D2F" w:rsidRDefault="00061777" w:rsidP="00061777">
      <w:pPr>
        <w:pStyle w:val="2"/>
        <w:rPr>
          <w:lang w:val="el-GR"/>
        </w:rPr>
      </w:pPr>
      <w:r w:rsidRPr="00E17D2F">
        <w:rPr>
          <w:lang w:val="el-GR"/>
        </w:rPr>
        <w:t xml:space="preserve">Επιδράσεις στην ικανότητα οδήγησης και χειρισμού </w:t>
      </w:r>
      <w:r w:rsidR="00970FC6" w:rsidRPr="00E17D2F">
        <w:rPr>
          <w:lang w:val="el-GR"/>
        </w:rPr>
        <w:t>μηχαν</w:t>
      </w:r>
      <w:r w:rsidR="00970FC6">
        <w:rPr>
          <w:lang w:val="el-GR"/>
        </w:rPr>
        <w:t>ημάτων</w:t>
      </w:r>
    </w:p>
    <w:p w14:paraId="58EDA075" w14:textId="21537E85" w:rsidR="00061777" w:rsidRPr="00E17D2F" w:rsidRDefault="00061777" w:rsidP="00061777">
      <w:pPr>
        <w:rPr>
          <w:noProof/>
          <w:szCs w:val="22"/>
          <w:lang w:val="el-GR"/>
        </w:rPr>
      </w:pPr>
      <w:r w:rsidRPr="00E17D2F">
        <w:rPr>
          <w:noProof/>
          <w:szCs w:val="22"/>
          <w:lang w:val="el-GR"/>
        </w:rPr>
        <w:t xml:space="preserve">Δεν έχουν διεξαχθεί μελέτες σχετικά με </w:t>
      </w:r>
      <w:r w:rsidR="0021363B" w:rsidRPr="00E17D2F">
        <w:rPr>
          <w:noProof/>
          <w:szCs w:val="22"/>
          <w:lang w:val="el-GR"/>
        </w:rPr>
        <w:t>τ</w:t>
      </w:r>
      <w:r w:rsidR="0021363B">
        <w:rPr>
          <w:noProof/>
          <w:szCs w:val="22"/>
          <w:lang w:val="el-GR"/>
        </w:rPr>
        <w:t>ην</w:t>
      </w:r>
      <w:r w:rsidR="0021363B" w:rsidRPr="00E17D2F">
        <w:rPr>
          <w:noProof/>
          <w:szCs w:val="22"/>
          <w:lang w:val="el-GR"/>
        </w:rPr>
        <w:t xml:space="preserve"> επ</w:t>
      </w:r>
      <w:r w:rsidR="0021363B">
        <w:rPr>
          <w:noProof/>
          <w:szCs w:val="22"/>
          <w:lang w:val="el-GR"/>
        </w:rPr>
        <w:t>ίδραση</w:t>
      </w:r>
      <w:r w:rsidR="0021363B" w:rsidRPr="00E17D2F">
        <w:rPr>
          <w:noProof/>
          <w:szCs w:val="22"/>
          <w:lang w:val="el-GR"/>
        </w:rPr>
        <w:t xml:space="preserve"> </w:t>
      </w:r>
      <w:r w:rsidRPr="00E17D2F">
        <w:rPr>
          <w:noProof/>
          <w:szCs w:val="22"/>
          <w:lang w:val="el-GR"/>
        </w:rPr>
        <w:t xml:space="preserve">στην </w:t>
      </w:r>
      <w:r w:rsidR="0021363B">
        <w:rPr>
          <w:noProof/>
          <w:szCs w:val="22"/>
          <w:lang w:val="el-GR"/>
        </w:rPr>
        <w:t>ικανότητα</w:t>
      </w:r>
      <w:r w:rsidR="0021363B" w:rsidRPr="00E17D2F">
        <w:rPr>
          <w:noProof/>
          <w:szCs w:val="22"/>
          <w:lang w:val="el-GR"/>
        </w:rPr>
        <w:t xml:space="preserve"> </w:t>
      </w:r>
      <w:r w:rsidRPr="00E17D2F">
        <w:rPr>
          <w:noProof/>
          <w:szCs w:val="22"/>
          <w:lang w:val="el-GR"/>
        </w:rPr>
        <w:t xml:space="preserve">και τη δυνατότητα </w:t>
      </w:r>
      <w:r w:rsidR="0021363B">
        <w:rPr>
          <w:noProof/>
          <w:szCs w:val="22"/>
          <w:lang w:val="el-GR"/>
        </w:rPr>
        <w:t>χειρισμού</w:t>
      </w:r>
      <w:r w:rsidR="0021363B" w:rsidRPr="00E17D2F">
        <w:rPr>
          <w:noProof/>
          <w:szCs w:val="22"/>
          <w:lang w:val="el-GR"/>
        </w:rPr>
        <w:t xml:space="preserve"> μηχαν</w:t>
      </w:r>
      <w:r w:rsidR="0021363B">
        <w:rPr>
          <w:noProof/>
          <w:szCs w:val="22"/>
          <w:lang w:val="el-GR"/>
        </w:rPr>
        <w:t>ημάτων</w:t>
      </w:r>
      <w:r w:rsidRPr="00E17D2F">
        <w:rPr>
          <w:noProof/>
          <w:szCs w:val="22"/>
          <w:lang w:val="el-GR"/>
        </w:rPr>
        <w:t xml:space="preserve">. Ωστόσο, θα πρέπει να ληφθεί υπόψη ότι η ποσότητα αλκοόλης σε </w:t>
      </w:r>
      <w:r w:rsidR="00A254C8">
        <w:rPr>
          <w:noProof/>
          <w:szCs w:val="22"/>
          <w:lang w:val="el-GR"/>
        </w:rPr>
        <w:t>αυτό το</w:t>
      </w:r>
      <w:r w:rsidRPr="00E17D2F">
        <w:rPr>
          <w:noProof/>
          <w:szCs w:val="22"/>
          <w:lang w:val="el-GR"/>
        </w:rPr>
        <w:t xml:space="preserve"> φαρμακευτικό προϊόν μπορεί να επηρεάσει την ικανότητα οδήγησης και την ικανότητα χειρισμού μηχανών.</w:t>
      </w:r>
    </w:p>
    <w:p w14:paraId="2F317FA6" w14:textId="77777777" w:rsidR="00061777" w:rsidRPr="00F05E7A" w:rsidRDefault="00061777" w:rsidP="00061777">
      <w:pPr>
        <w:pStyle w:val="2"/>
      </w:pPr>
      <w:proofErr w:type="spellStart"/>
      <w:r w:rsidRPr="00F05E7A">
        <w:lastRenderedPageBreak/>
        <w:t>Ανε</w:t>
      </w:r>
      <w:proofErr w:type="spellEnd"/>
      <w:r w:rsidRPr="00F05E7A">
        <w:t xml:space="preserve">πιθύμητες </w:t>
      </w:r>
      <w:proofErr w:type="spellStart"/>
      <w:r w:rsidRPr="00F05E7A">
        <w:t>ενέργειες</w:t>
      </w:r>
      <w:proofErr w:type="spellEnd"/>
    </w:p>
    <w:p w14:paraId="18FAC04D" w14:textId="46BBFDD1" w:rsidR="00061777" w:rsidRPr="00E17D2F" w:rsidRDefault="00061777" w:rsidP="00061777">
      <w:pPr>
        <w:rPr>
          <w:lang w:val="el-GR"/>
        </w:rPr>
      </w:pPr>
      <w:r w:rsidRPr="00E17D2F">
        <w:rPr>
          <w:lang w:val="el-GR"/>
        </w:rPr>
        <w:t xml:space="preserve">Για αυτό το προϊόν δεν υπάρχει σύγχρονη κλινική τεκμηρίωση που μπορεί να χρησιμοποιηθεί ως υποστήριξη για τον καθορισμό της συχνότητας των ανεπιθύμητων ενεργειών. </w:t>
      </w:r>
      <w:r w:rsidR="00893471">
        <w:rPr>
          <w:lang w:val="el-GR"/>
        </w:rPr>
        <w:t>Οι α</w:t>
      </w:r>
      <w:r w:rsidR="00893471" w:rsidRPr="00E17D2F">
        <w:rPr>
          <w:lang w:val="el-GR"/>
        </w:rPr>
        <w:t xml:space="preserve">νεπιθύμητες </w:t>
      </w:r>
      <w:r w:rsidRPr="00E17D2F">
        <w:rPr>
          <w:lang w:val="el-GR"/>
        </w:rPr>
        <w:t xml:space="preserve">ενέργειες μπορεί να διαφέρουν </w:t>
      </w:r>
      <w:r w:rsidR="00FC4115">
        <w:rPr>
          <w:lang w:val="el-GR"/>
        </w:rPr>
        <w:t xml:space="preserve">ως προς </w:t>
      </w:r>
      <w:r w:rsidRPr="00E17D2F">
        <w:rPr>
          <w:lang w:val="el-GR"/>
        </w:rPr>
        <w:t xml:space="preserve">τη συχνότητα εμφάνισης τους, ανάλογα με την ένδειξη και </w:t>
      </w:r>
      <w:r w:rsidR="00FC4115">
        <w:rPr>
          <w:lang w:val="el-GR"/>
        </w:rPr>
        <w:t xml:space="preserve">τη </w:t>
      </w:r>
      <w:r w:rsidR="00A254C8">
        <w:rPr>
          <w:lang w:val="el-GR"/>
        </w:rPr>
        <w:t>ληφθείσα</w:t>
      </w:r>
      <w:r w:rsidR="00FC4115">
        <w:rPr>
          <w:lang w:val="el-GR"/>
        </w:rPr>
        <w:t xml:space="preserve"> δόση</w:t>
      </w:r>
      <w:r w:rsidRPr="00E17D2F">
        <w:rPr>
          <w:lang w:val="el-GR"/>
        </w:rPr>
        <w:t xml:space="preserve"> και επίσης </w:t>
      </w:r>
      <w:r w:rsidR="00FC4115">
        <w:rPr>
          <w:lang w:val="el-GR"/>
        </w:rPr>
        <w:t xml:space="preserve">από το αν έχει </w:t>
      </w:r>
      <w:proofErr w:type="spellStart"/>
      <w:r w:rsidR="00A254C8">
        <w:rPr>
          <w:lang w:val="el-GR"/>
        </w:rPr>
        <w:t>συγχορηγηθεί</w:t>
      </w:r>
      <w:proofErr w:type="spellEnd"/>
      <w:r w:rsidRPr="00E17D2F">
        <w:rPr>
          <w:lang w:val="el-GR"/>
        </w:rPr>
        <w:t xml:space="preserve"> με άλλους θεραπευτικούς παράγοντες.</w:t>
      </w:r>
    </w:p>
    <w:p w14:paraId="66AFF7E7" w14:textId="7B7CD678" w:rsidR="00061777" w:rsidRPr="00E17D2F" w:rsidRDefault="00061777" w:rsidP="00061777">
      <w:pPr>
        <w:rPr>
          <w:lang w:val="el-GR"/>
        </w:rPr>
      </w:pPr>
      <w:r w:rsidRPr="00E17D2F">
        <w:rPr>
          <w:lang w:val="el-GR"/>
        </w:rPr>
        <w:t>Οι ανεπιθύμητες ενέργειες παρατίθενται παρακάτω ανά κατηγορία οργάνου συστήματος και κατηγορίας συχνότητας. Οι συχνότητες ορίζονται ως εξής: πολύ συχνές (≥1 / 10), συχνές (≥1 / 100 έως &lt;1/10), όχι συχνές (≥1 / 1.000 έως &lt;1/100), σπάνιες ≥ 1 / 10.000 έως &lt;1 / 1</w:t>
      </w:r>
      <w:r w:rsidR="00FC4115">
        <w:rPr>
          <w:lang w:val="el-GR"/>
        </w:rPr>
        <w:t>.</w:t>
      </w:r>
      <w:r w:rsidRPr="00E17D2F">
        <w:rPr>
          <w:lang w:val="el-GR"/>
        </w:rPr>
        <w:t>000), πολύ σπάνιες (&lt;1 / 10.000), μη γνωστές (δεν μπορούν να εκτιμηθούν με βάση τα διαθέσιμα δεδομένα).</w:t>
      </w:r>
    </w:p>
    <w:p w14:paraId="07C64006" w14:textId="77777777" w:rsidR="00061777" w:rsidRPr="00E17D2F" w:rsidRDefault="00061777" w:rsidP="00061777">
      <w:pPr>
        <w:rPr>
          <w:lang w:val="el-GR"/>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1438"/>
        <w:gridCol w:w="4316"/>
      </w:tblGrid>
      <w:tr w:rsidR="00061777" w:rsidRPr="00A11B6B" w14:paraId="3604B565" w14:textId="77777777" w:rsidTr="00B47D56">
        <w:trPr>
          <w:tblHeader/>
        </w:trPr>
        <w:tc>
          <w:tcPr>
            <w:tcW w:w="1655" w:type="pct"/>
            <w:tcBorders>
              <w:top w:val="single" w:sz="4" w:space="0" w:color="auto"/>
              <w:left w:val="single" w:sz="4" w:space="0" w:color="auto"/>
              <w:bottom w:val="single" w:sz="4" w:space="0" w:color="auto"/>
              <w:right w:val="single" w:sz="4" w:space="0" w:color="auto"/>
            </w:tcBorders>
          </w:tcPr>
          <w:p w14:paraId="5B92D742" w14:textId="69EE56A8" w:rsidR="00061777" w:rsidRPr="00E56986" w:rsidRDefault="00FC4115" w:rsidP="00B47D56">
            <w:pPr>
              <w:spacing w:after="0"/>
              <w:contextualSpacing/>
              <w:rPr>
                <w:b/>
                <w:szCs w:val="22"/>
                <w:lang w:val="el-GR" w:eastAsia="fr-FR"/>
              </w:rPr>
            </w:pPr>
            <w:r>
              <w:rPr>
                <w:b/>
                <w:i/>
                <w:noProof/>
              </w:rPr>
              <w:t>K</w:t>
            </w:r>
            <w:r>
              <w:rPr>
                <w:b/>
                <w:i/>
                <w:noProof/>
                <w:lang w:val="el-GR"/>
              </w:rPr>
              <w:t xml:space="preserve">ατηγορία/οργανικό σύστημα σύμφωνα με τη βάση δεδομένων </w:t>
            </w:r>
            <w:r>
              <w:rPr>
                <w:b/>
                <w:i/>
                <w:noProof/>
              </w:rPr>
              <w:t>MedDRA</w:t>
            </w:r>
          </w:p>
        </w:tc>
        <w:tc>
          <w:tcPr>
            <w:tcW w:w="836" w:type="pct"/>
            <w:tcBorders>
              <w:top w:val="single" w:sz="4" w:space="0" w:color="auto"/>
              <w:left w:val="single" w:sz="4" w:space="0" w:color="auto"/>
              <w:bottom w:val="single" w:sz="4" w:space="0" w:color="auto"/>
              <w:right w:val="single" w:sz="4" w:space="0" w:color="auto"/>
            </w:tcBorders>
          </w:tcPr>
          <w:p w14:paraId="2B58D7D8" w14:textId="77777777" w:rsidR="00061777" w:rsidRPr="00A11B6B" w:rsidRDefault="00061777" w:rsidP="00B47D56">
            <w:pPr>
              <w:spacing w:after="0"/>
              <w:contextualSpacing/>
              <w:rPr>
                <w:b/>
                <w:color w:val="000000"/>
                <w:szCs w:val="22"/>
                <w:lang w:eastAsia="fr-FR"/>
              </w:rPr>
            </w:pPr>
            <w:proofErr w:type="spellStart"/>
            <w:r w:rsidRPr="00F429A4">
              <w:rPr>
                <w:b/>
                <w:szCs w:val="22"/>
                <w:lang w:eastAsia="fr-FR"/>
              </w:rPr>
              <w:t>Συχνότητ</w:t>
            </w:r>
            <w:proofErr w:type="spellEnd"/>
            <w:r w:rsidRPr="00F429A4">
              <w:rPr>
                <w:b/>
                <w:szCs w:val="22"/>
                <w:lang w:eastAsia="fr-FR"/>
              </w:rPr>
              <w:t>α</w:t>
            </w:r>
          </w:p>
        </w:tc>
        <w:tc>
          <w:tcPr>
            <w:tcW w:w="2509" w:type="pct"/>
            <w:tcBorders>
              <w:top w:val="single" w:sz="4" w:space="0" w:color="auto"/>
              <w:left w:val="single" w:sz="4" w:space="0" w:color="auto"/>
              <w:bottom w:val="single" w:sz="4" w:space="0" w:color="auto"/>
              <w:right w:val="single" w:sz="4" w:space="0" w:color="auto"/>
            </w:tcBorders>
          </w:tcPr>
          <w:p w14:paraId="0A5D3D48" w14:textId="2811940C" w:rsidR="00061777" w:rsidRPr="00A11B6B" w:rsidRDefault="00061777" w:rsidP="00B47D56">
            <w:pPr>
              <w:spacing w:after="0"/>
              <w:contextualSpacing/>
              <w:rPr>
                <w:b/>
                <w:color w:val="000000"/>
                <w:szCs w:val="22"/>
                <w:lang w:eastAsia="fr-FR"/>
              </w:rPr>
            </w:pPr>
            <w:proofErr w:type="spellStart"/>
            <w:r>
              <w:rPr>
                <w:b/>
                <w:szCs w:val="22"/>
                <w:lang w:eastAsia="fr-FR"/>
              </w:rPr>
              <w:t>Α</w:t>
            </w:r>
            <w:r w:rsidRPr="00F429A4">
              <w:rPr>
                <w:b/>
                <w:szCs w:val="22"/>
                <w:lang w:eastAsia="fr-FR"/>
              </w:rPr>
              <w:t>νε</w:t>
            </w:r>
            <w:proofErr w:type="spellEnd"/>
            <w:r w:rsidRPr="00F429A4">
              <w:rPr>
                <w:b/>
                <w:szCs w:val="22"/>
                <w:lang w:eastAsia="fr-FR"/>
              </w:rPr>
              <w:t xml:space="preserve">πιθύμητες </w:t>
            </w:r>
            <w:proofErr w:type="spellStart"/>
            <w:r w:rsidRPr="00F429A4">
              <w:rPr>
                <w:b/>
                <w:szCs w:val="22"/>
                <w:lang w:eastAsia="fr-FR"/>
              </w:rPr>
              <w:t>ενέργειες</w:t>
            </w:r>
            <w:proofErr w:type="spellEnd"/>
          </w:p>
        </w:tc>
      </w:tr>
      <w:tr w:rsidR="00061777" w:rsidRPr="00A11B6B" w14:paraId="08370265" w14:textId="77777777" w:rsidTr="00B47D56">
        <w:trPr>
          <w:tblHeader/>
        </w:trPr>
        <w:tc>
          <w:tcPr>
            <w:tcW w:w="1655" w:type="pct"/>
            <w:tcBorders>
              <w:top w:val="single" w:sz="4" w:space="0" w:color="auto"/>
              <w:left w:val="single" w:sz="4" w:space="0" w:color="auto"/>
              <w:bottom w:val="single" w:sz="4" w:space="0" w:color="auto"/>
              <w:right w:val="nil"/>
            </w:tcBorders>
          </w:tcPr>
          <w:p w14:paraId="6DAFAD0B" w14:textId="77777777" w:rsidR="00061777" w:rsidRPr="00A11B6B" w:rsidRDefault="00061777" w:rsidP="00B47D56">
            <w:pPr>
              <w:spacing w:after="0"/>
              <w:contextualSpacing/>
              <w:rPr>
                <w:b/>
                <w:szCs w:val="22"/>
                <w:lang w:eastAsia="fr-FR"/>
              </w:rPr>
            </w:pPr>
          </w:p>
        </w:tc>
        <w:tc>
          <w:tcPr>
            <w:tcW w:w="836" w:type="pct"/>
            <w:tcBorders>
              <w:top w:val="single" w:sz="4" w:space="0" w:color="auto"/>
              <w:left w:val="nil"/>
              <w:bottom w:val="single" w:sz="4" w:space="0" w:color="auto"/>
              <w:right w:val="nil"/>
            </w:tcBorders>
          </w:tcPr>
          <w:p w14:paraId="078E7889" w14:textId="77777777" w:rsidR="00061777" w:rsidRPr="00A11B6B" w:rsidRDefault="00061777" w:rsidP="00B47D56">
            <w:pPr>
              <w:spacing w:after="0"/>
              <w:contextualSpacing/>
              <w:rPr>
                <w:b/>
                <w:szCs w:val="22"/>
                <w:lang w:eastAsia="fr-FR"/>
              </w:rPr>
            </w:pPr>
          </w:p>
        </w:tc>
        <w:tc>
          <w:tcPr>
            <w:tcW w:w="2509" w:type="pct"/>
            <w:tcBorders>
              <w:top w:val="single" w:sz="4" w:space="0" w:color="auto"/>
              <w:left w:val="nil"/>
              <w:bottom w:val="single" w:sz="4" w:space="0" w:color="auto"/>
              <w:right w:val="single" w:sz="4" w:space="0" w:color="auto"/>
            </w:tcBorders>
          </w:tcPr>
          <w:p w14:paraId="7FB2C4DB" w14:textId="77777777" w:rsidR="00061777" w:rsidRPr="00A11B6B" w:rsidRDefault="00061777" w:rsidP="00B47D56">
            <w:pPr>
              <w:spacing w:after="0"/>
              <w:contextualSpacing/>
              <w:rPr>
                <w:b/>
                <w:szCs w:val="22"/>
                <w:lang w:eastAsia="fr-FR"/>
              </w:rPr>
            </w:pPr>
          </w:p>
        </w:tc>
      </w:tr>
      <w:tr w:rsidR="00061777" w:rsidRPr="00240BBA" w14:paraId="36C43CB3" w14:textId="77777777" w:rsidTr="00B47D56">
        <w:trPr>
          <w:trHeight w:val="305"/>
        </w:trPr>
        <w:tc>
          <w:tcPr>
            <w:tcW w:w="1655" w:type="pct"/>
            <w:tcBorders>
              <w:bottom w:val="nil"/>
            </w:tcBorders>
          </w:tcPr>
          <w:p w14:paraId="4163817B" w14:textId="242997EB" w:rsidR="00061777" w:rsidRPr="00E17D2F" w:rsidRDefault="00061777" w:rsidP="00B47D56">
            <w:pPr>
              <w:spacing w:after="0"/>
              <w:contextualSpacing/>
              <w:rPr>
                <w:rFonts w:eastAsia="MS Mincho"/>
                <w:szCs w:val="22"/>
                <w:highlight w:val="red"/>
                <w:lang w:val="el-GR" w:eastAsia="fr-FR"/>
              </w:rPr>
            </w:pPr>
            <w:r w:rsidRPr="00E17D2F">
              <w:rPr>
                <w:szCs w:val="22"/>
                <w:lang w:val="el-GR" w:eastAsia="fr-FR"/>
              </w:rPr>
              <w:t>Νεοπλάσματα καλοήθη, κακοήθη και μη καθορισμένα (περιλαμβάνονται κύστεις και πολύποδες)</w:t>
            </w:r>
            <w:r w:rsidR="00FC4115">
              <w:rPr>
                <w:noProof/>
                <w:lang w:val="el-GR"/>
              </w:rPr>
              <w:t xml:space="preserve"> </w:t>
            </w:r>
          </w:p>
        </w:tc>
        <w:tc>
          <w:tcPr>
            <w:tcW w:w="836" w:type="pct"/>
          </w:tcPr>
          <w:p w14:paraId="216B2CA5" w14:textId="1BB904DE" w:rsidR="00061777" w:rsidRPr="00A254C8" w:rsidRDefault="00A254C8" w:rsidP="00B47D56">
            <w:pPr>
              <w:spacing w:after="0"/>
              <w:contextualSpacing/>
              <w:rPr>
                <w:szCs w:val="22"/>
                <w:lang w:val="el-GR" w:eastAsia="fr-FR"/>
              </w:rPr>
            </w:pPr>
            <w:r>
              <w:rPr>
                <w:szCs w:val="22"/>
                <w:lang w:val="el-GR" w:eastAsia="fr-FR"/>
              </w:rPr>
              <w:t>Συχνές</w:t>
            </w:r>
          </w:p>
        </w:tc>
        <w:tc>
          <w:tcPr>
            <w:tcW w:w="2509" w:type="pct"/>
          </w:tcPr>
          <w:p w14:paraId="279C6B11" w14:textId="02A0A5DB" w:rsidR="00061777" w:rsidRPr="00E17D2F" w:rsidRDefault="000B7937" w:rsidP="00B47D56">
            <w:pPr>
              <w:spacing w:after="0"/>
              <w:contextualSpacing/>
              <w:rPr>
                <w:rFonts w:eastAsia="MS Mincho"/>
                <w:szCs w:val="22"/>
                <w:lang w:val="el-GR" w:eastAsia="fr-FR"/>
              </w:rPr>
            </w:pPr>
            <w:r>
              <w:rPr>
                <w:szCs w:val="22"/>
                <w:lang w:val="el-GR"/>
              </w:rPr>
              <w:t>Ο</w:t>
            </w:r>
            <w:r w:rsidR="00061777" w:rsidRPr="00E17D2F">
              <w:rPr>
                <w:szCs w:val="22"/>
                <w:lang w:val="el-GR"/>
              </w:rPr>
              <w:t xml:space="preserve">ξεία λευχαιμία (βλέπε επίσης παράγραφο 5.3) μπορεί να συμβεί μετά από </w:t>
            </w:r>
            <w:r>
              <w:rPr>
                <w:szCs w:val="22"/>
                <w:lang w:val="el-GR"/>
              </w:rPr>
              <w:t>μια</w:t>
            </w:r>
            <w:r w:rsidRPr="00E17D2F">
              <w:rPr>
                <w:szCs w:val="22"/>
                <w:lang w:val="el-GR"/>
              </w:rPr>
              <w:t xml:space="preserve"> </w:t>
            </w:r>
            <w:r w:rsidR="00061777" w:rsidRPr="00E17D2F">
              <w:rPr>
                <w:szCs w:val="22"/>
                <w:lang w:val="el-GR"/>
              </w:rPr>
              <w:t xml:space="preserve">γενικά μακρά λανθάνουσα περίοδο, ιδιαίτερα σε ασθενείς </w:t>
            </w:r>
            <w:r>
              <w:rPr>
                <w:szCs w:val="22"/>
                <w:lang w:val="el-GR"/>
              </w:rPr>
              <w:t>μεγάλης</w:t>
            </w:r>
            <w:r w:rsidR="00061777" w:rsidRPr="00E17D2F">
              <w:rPr>
                <w:szCs w:val="22"/>
                <w:lang w:val="el-GR"/>
              </w:rPr>
              <w:t xml:space="preserve"> ηλικία</w:t>
            </w:r>
            <w:r>
              <w:rPr>
                <w:szCs w:val="22"/>
                <w:lang w:val="el-GR"/>
              </w:rPr>
              <w:t>ς</w:t>
            </w:r>
            <w:r w:rsidR="00061777" w:rsidRPr="00E17D2F">
              <w:rPr>
                <w:szCs w:val="22"/>
                <w:lang w:val="el-GR"/>
              </w:rPr>
              <w:t xml:space="preserve"> μετά από παρατεταμένη θεραπεία συνδυασμού και ακτινοθεραπεία</w:t>
            </w:r>
          </w:p>
        </w:tc>
      </w:tr>
      <w:tr w:rsidR="00061777" w:rsidRPr="00240BBA" w14:paraId="7117E114" w14:textId="77777777" w:rsidTr="00B47D56">
        <w:tc>
          <w:tcPr>
            <w:tcW w:w="1655" w:type="pct"/>
            <w:tcBorders>
              <w:top w:val="nil"/>
              <w:bottom w:val="single" w:sz="4" w:space="0" w:color="auto"/>
            </w:tcBorders>
          </w:tcPr>
          <w:p w14:paraId="21596A7B" w14:textId="77777777" w:rsidR="00061777" w:rsidRPr="00E17D2F" w:rsidRDefault="00061777" w:rsidP="00B47D56">
            <w:pPr>
              <w:spacing w:after="0"/>
              <w:contextualSpacing/>
              <w:rPr>
                <w:szCs w:val="22"/>
                <w:highlight w:val="red"/>
                <w:lang w:val="el-GR" w:eastAsia="fr-FR"/>
              </w:rPr>
            </w:pPr>
          </w:p>
        </w:tc>
        <w:tc>
          <w:tcPr>
            <w:tcW w:w="836" w:type="pct"/>
          </w:tcPr>
          <w:p w14:paraId="7E56C726" w14:textId="7ED3E05E" w:rsidR="00061777" w:rsidRPr="00A254C8" w:rsidRDefault="00F05E7A" w:rsidP="00B47D56">
            <w:pPr>
              <w:spacing w:after="0"/>
              <w:contextualSpacing/>
              <w:rPr>
                <w:szCs w:val="22"/>
                <w:lang w:val="el-GR" w:eastAsia="fr-FR"/>
              </w:rPr>
            </w:pPr>
            <w:r>
              <w:rPr>
                <w:szCs w:val="22"/>
                <w:lang w:val="el-GR" w:eastAsia="fr-FR"/>
              </w:rPr>
              <w:t>Μη γνωστές</w:t>
            </w:r>
          </w:p>
        </w:tc>
        <w:tc>
          <w:tcPr>
            <w:tcW w:w="2509" w:type="pct"/>
          </w:tcPr>
          <w:p w14:paraId="6222EE2B" w14:textId="68076BFE" w:rsidR="00061777" w:rsidRPr="00E17D2F" w:rsidRDefault="00061777" w:rsidP="00B47D56">
            <w:pPr>
              <w:autoSpaceDE w:val="0"/>
              <w:autoSpaceDN w:val="0"/>
              <w:adjustRightInd w:val="0"/>
              <w:spacing w:after="0"/>
              <w:rPr>
                <w:szCs w:val="22"/>
                <w:lang w:val="el-GR"/>
              </w:rPr>
            </w:pPr>
            <w:r w:rsidRPr="00E17D2F">
              <w:rPr>
                <w:szCs w:val="22"/>
                <w:lang w:val="el-GR"/>
              </w:rPr>
              <w:t xml:space="preserve">Οξεία </w:t>
            </w:r>
            <w:proofErr w:type="spellStart"/>
            <w:r w:rsidR="000B7937" w:rsidRPr="00E17D2F">
              <w:rPr>
                <w:szCs w:val="22"/>
                <w:lang w:val="el-GR"/>
              </w:rPr>
              <w:t>μυελο</w:t>
            </w:r>
            <w:r w:rsidR="000B7937">
              <w:rPr>
                <w:szCs w:val="22"/>
                <w:lang w:val="el-GR"/>
              </w:rPr>
              <w:t>γενή</w:t>
            </w:r>
            <w:proofErr w:type="spellEnd"/>
            <w:r w:rsidR="000B7937" w:rsidRPr="00E17D2F">
              <w:rPr>
                <w:szCs w:val="22"/>
                <w:lang w:val="el-GR"/>
              </w:rPr>
              <w:t xml:space="preserve"> </w:t>
            </w:r>
            <w:r w:rsidRPr="00E17D2F">
              <w:rPr>
                <w:szCs w:val="22"/>
                <w:lang w:val="el-GR"/>
              </w:rPr>
              <w:t>λευχαιμία (</w:t>
            </w:r>
            <w:r w:rsidRPr="00F429A4">
              <w:rPr>
                <w:szCs w:val="22"/>
                <w:lang w:val="en-IN"/>
              </w:rPr>
              <w:t>AML</w:t>
            </w:r>
            <w:r w:rsidRPr="00E17D2F">
              <w:rPr>
                <w:szCs w:val="22"/>
                <w:lang w:val="el-GR"/>
              </w:rPr>
              <w:t xml:space="preserve">) και </w:t>
            </w:r>
            <w:proofErr w:type="spellStart"/>
            <w:r w:rsidRPr="00E17D2F">
              <w:rPr>
                <w:szCs w:val="22"/>
                <w:lang w:val="el-GR"/>
              </w:rPr>
              <w:t>μυελοδυσπλαστικά</w:t>
            </w:r>
            <w:proofErr w:type="spellEnd"/>
            <w:r w:rsidRPr="00E17D2F">
              <w:rPr>
                <w:szCs w:val="22"/>
                <w:lang w:val="el-GR"/>
              </w:rPr>
              <w:t xml:space="preserve"> σύνδρομα (</w:t>
            </w:r>
            <w:r w:rsidRPr="00F429A4">
              <w:rPr>
                <w:szCs w:val="22"/>
                <w:lang w:val="en-IN"/>
              </w:rPr>
              <w:t>MDS</w:t>
            </w:r>
            <w:r w:rsidRPr="00E17D2F">
              <w:rPr>
                <w:szCs w:val="22"/>
                <w:lang w:val="el-GR"/>
              </w:rPr>
              <w:t>)</w:t>
            </w:r>
          </w:p>
        </w:tc>
      </w:tr>
      <w:tr w:rsidR="00061777" w:rsidRPr="00240BBA" w14:paraId="6A72BFBF" w14:textId="77777777" w:rsidTr="00B47D56">
        <w:tc>
          <w:tcPr>
            <w:tcW w:w="1655" w:type="pct"/>
            <w:tcBorders>
              <w:bottom w:val="nil"/>
            </w:tcBorders>
          </w:tcPr>
          <w:p w14:paraId="3C22A6F7" w14:textId="77777777" w:rsidR="00061777" w:rsidRPr="00E17D2F" w:rsidRDefault="00061777" w:rsidP="00B47D56">
            <w:pPr>
              <w:spacing w:after="0"/>
              <w:contextualSpacing/>
              <w:rPr>
                <w:rFonts w:eastAsia="MS Mincho"/>
                <w:szCs w:val="22"/>
                <w:highlight w:val="red"/>
                <w:lang w:val="el-GR" w:eastAsia="fr-FR"/>
              </w:rPr>
            </w:pPr>
            <w:r w:rsidRPr="00E17D2F">
              <w:rPr>
                <w:szCs w:val="22"/>
                <w:lang w:val="el-GR" w:eastAsia="fr-FR"/>
              </w:rPr>
              <w:t>Διαταραχές του αιμοποιητικού και του λεμφικού συστήματος</w:t>
            </w:r>
          </w:p>
        </w:tc>
        <w:tc>
          <w:tcPr>
            <w:tcW w:w="836" w:type="pct"/>
            <w:tcBorders>
              <w:bottom w:val="single" w:sz="4" w:space="0" w:color="auto"/>
            </w:tcBorders>
          </w:tcPr>
          <w:p w14:paraId="186C1E63" w14:textId="5EA778A7" w:rsidR="00061777" w:rsidRPr="00A254C8" w:rsidRDefault="00A254C8" w:rsidP="00B47D56">
            <w:pPr>
              <w:spacing w:after="0"/>
              <w:contextualSpacing/>
              <w:rPr>
                <w:szCs w:val="22"/>
                <w:lang w:val="el-GR" w:eastAsia="fr-FR"/>
              </w:rPr>
            </w:pPr>
            <w:r>
              <w:rPr>
                <w:szCs w:val="22"/>
                <w:lang w:val="el-GR" w:eastAsia="fr-FR"/>
              </w:rPr>
              <w:t>Πολύ συχνές</w:t>
            </w:r>
          </w:p>
        </w:tc>
        <w:tc>
          <w:tcPr>
            <w:tcW w:w="2509" w:type="pct"/>
            <w:tcBorders>
              <w:bottom w:val="single" w:sz="4" w:space="0" w:color="auto"/>
            </w:tcBorders>
          </w:tcPr>
          <w:p w14:paraId="06D6687A" w14:textId="43138345" w:rsidR="00061777" w:rsidRPr="00E17D2F" w:rsidRDefault="007E3849" w:rsidP="00B47D56">
            <w:pPr>
              <w:autoSpaceDE w:val="0"/>
              <w:autoSpaceDN w:val="0"/>
              <w:adjustRightInd w:val="0"/>
              <w:spacing w:after="0"/>
              <w:rPr>
                <w:szCs w:val="22"/>
                <w:lang w:val="el-GR"/>
              </w:rPr>
            </w:pPr>
            <w:r>
              <w:rPr>
                <w:szCs w:val="22"/>
                <w:lang w:val="el-GR"/>
              </w:rPr>
              <w:t>Κ</w:t>
            </w:r>
            <w:r w:rsidR="00061777" w:rsidRPr="00E17D2F">
              <w:rPr>
                <w:szCs w:val="22"/>
                <w:lang w:val="el-GR"/>
              </w:rPr>
              <w:t xml:space="preserve">αταστολή του μυελού των οστών, η οποία εκδηλώνεται ως </w:t>
            </w:r>
            <w:proofErr w:type="spellStart"/>
            <w:r w:rsidR="00061777" w:rsidRPr="00E17D2F">
              <w:rPr>
                <w:szCs w:val="22"/>
                <w:lang w:val="el-GR"/>
              </w:rPr>
              <w:t>λευκοκυτ</w:t>
            </w:r>
            <w:r w:rsidR="00A254C8">
              <w:rPr>
                <w:szCs w:val="22"/>
                <w:lang w:val="el-GR"/>
              </w:rPr>
              <w:t>ταρ</w:t>
            </w:r>
            <w:r w:rsidR="00061777" w:rsidRPr="00E17D2F">
              <w:rPr>
                <w:szCs w:val="22"/>
                <w:lang w:val="el-GR"/>
              </w:rPr>
              <w:t>οπενία</w:t>
            </w:r>
            <w:proofErr w:type="spellEnd"/>
            <w:r w:rsidR="00061777" w:rsidRPr="00E17D2F">
              <w:rPr>
                <w:szCs w:val="22"/>
                <w:lang w:val="el-GR"/>
              </w:rPr>
              <w:t xml:space="preserve">, </w:t>
            </w:r>
            <w:proofErr w:type="spellStart"/>
            <w:r w:rsidR="00061777" w:rsidRPr="00E17D2F">
              <w:rPr>
                <w:szCs w:val="22"/>
                <w:lang w:val="el-GR"/>
              </w:rPr>
              <w:t>θρομβοπενία</w:t>
            </w:r>
            <w:proofErr w:type="spellEnd"/>
            <w:r w:rsidR="00061777" w:rsidRPr="00E17D2F">
              <w:rPr>
                <w:szCs w:val="22"/>
                <w:lang w:val="el-GR"/>
              </w:rPr>
              <w:t xml:space="preserve"> και αναιμία.</w:t>
            </w:r>
          </w:p>
        </w:tc>
      </w:tr>
      <w:tr w:rsidR="00061777" w:rsidRPr="00240BBA" w14:paraId="4C80ABA8" w14:textId="77777777" w:rsidTr="00B47D56">
        <w:tc>
          <w:tcPr>
            <w:tcW w:w="1655" w:type="pct"/>
            <w:tcBorders>
              <w:top w:val="nil"/>
              <w:bottom w:val="nil"/>
            </w:tcBorders>
          </w:tcPr>
          <w:p w14:paraId="4F3301C4" w14:textId="77777777" w:rsidR="00061777" w:rsidRPr="00E17D2F" w:rsidRDefault="00061777" w:rsidP="00B47D56">
            <w:pPr>
              <w:spacing w:after="0"/>
              <w:contextualSpacing/>
              <w:rPr>
                <w:szCs w:val="22"/>
                <w:highlight w:val="red"/>
                <w:lang w:val="el-GR" w:eastAsia="fr-FR"/>
              </w:rPr>
            </w:pPr>
          </w:p>
        </w:tc>
        <w:tc>
          <w:tcPr>
            <w:tcW w:w="836" w:type="pct"/>
            <w:tcBorders>
              <w:bottom w:val="single" w:sz="4" w:space="0" w:color="auto"/>
            </w:tcBorders>
          </w:tcPr>
          <w:p w14:paraId="72D78DF2" w14:textId="659959F8" w:rsidR="00061777" w:rsidRPr="00A254C8" w:rsidRDefault="00061777" w:rsidP="00B47D56">
            <w:pPr>
              <w:spacing w:after="0"/>
              <w:contextualSpacing/>
              <w:rPr>
                <w:szCs w:val="22"/>
                <w:lang w:val="el-GR" w:eastAsia="fr-FR"/>
              </w:rPr>
            </w:pPr>
            <w:r w:rsidRPr="00F429A4">
              <w:rPr>
                <w:szCs w:val="22"/>
                <w:lang w:eastAsia="fr-FR"/>
              </w:rPr>
              <w:t>Σπ</w:t>
            </w:r>
            <w:proofErr w:type="spellStart"/>
            <w:r w:rsidRPr="00F429A4">
              <w:rPr>
                <w:szCs w:val="22"/>
                <w:lang w:eastAsia="fr-FR"/>
              </w:rPr>
              <w:t>άνι</w:t>
            </w:r>
            <w:proofErr w:type="spellEnd"/>
            <w:r w:rsidR="00A254C8">
              <w:rPr>
                <w:szCs w:val="22"/>
                <w:lang w:val="el-GR" w:eastAsia="fr-FR"/>
              </w:rPr>
              <w:t>ες</w:t>
            </w:r>
          </w:p>
        </w:tc>
        <w:tc>
          <w:tcPr>
            <w:tcW w:w="2509" w:type="pct"/>
            <w:tcBorders>
              <w:bottom w:val="single" w:sz="4" w:space="0" w:color="auto"/>
            </w:tcBorders>
          </w:tcPr>
          <w:p w14:paraId="526D83A2" w14:textId="77777777" w:rsidR="00061777" w:rsidRPr="00E17D2F" w:rsidRDefault="00061777" w:rsidP="00B47D56">
            <w:pPr>
              <w:autoSpaceDE w:val="0"/>
              <w:autoSpaceDN w:val="0"/>
              <w:adjustRightInd w:val="0"/>
              <w:spacing w:after="0"/>
              <w:rPr>
                <w:szCs w:val="22"/>
                <w:lang w:val="el-GR"/>
              </w:rPr>
            </w:pPr>
            <w:r w:rsidRPr="00E17D2F">
              <w:rPr>
                <w:szCs w:val="22"/>
                <w:lang w:val="el-GR"/>
              </w:rPr>
              <w:t>Αιμολυτική Αναιμία</w:t>
            </w:r>
          </w:p>
          <w:p w14:paraId="4E5FCE78" w14:textId="64F09649" w:rsidR="00061777" w:rsidRPr="00E17D2F" w:rsidRDefault="00061777" w:rsidP="00B47D56">
            <w:pPr>
              <w:autoSpaceDE w:val="0"/>
              <w:autoSpaceDN w:val="0"/>
              <w:adjustRightInd w:val="0"/>
              <w:spacing w:after="0"/>
              <w:rPr>
                <w:szCs w:val="22"/>
                <w:lang w:val="el-GR"/>
              </w:rPr>
            </w:pPr>
            <w:r w:rsidRPr="00E17D2F">
              <w:rPr>
                <w:szCs w:val="22"/>
                <w:lang w:val="el-GR"/>
              </w:rPr>
              <w:t xml:space="preserve">Δεδομένου ότι </w:t>
            </w:r>
            <w:r w:rsidR="000B7937">
              <w:rPr>
                <w:szCs w:val="22"/>
                <w:lang w:val="el-GR"/>
              </w:rPr>
              <w:t xml:space="preserve">η </w:t>
            </w:r>
            <w:proofErr w:type="spellStart"/>
            <w:r w:rsidR="000B7937">
              <w:rPr>
                <w:szCs w:val="22"/>
                <w:lang w:val="el-GR"/>
              </w:rPr>
              <w:t>μελφαλάνη</w:t>
            </w:r>
            <w:proofErr w:type="spellEnd"/>
            <w:r w:rsidR="00A254C8">
              <w:rPr>
                <w:szCs w:val="22"/>
                <w:lang w:val="el-GR"/>
              </w:rPr>
              <w:t xml:space="preserve"> </w:t>
            </w:r>
            <w:r w:rsidRPr="00E17D2F">
              <w:rPr>
                <w:szCs w:val="22"/>
                <w:lang w:val="el-GR"/>
              </w:rPr>
              <w:t xml:space="preserve">είναι ένας </w:t>
            </w:r>
            <w:r w:rsidR="000B7937">
              <w:rPr>
                <w:szCs w:val="22"/>
                <w:lang w:val="el-GR"/>
              </w:rPr>
              <w:t>ισχυρός</w:t>
            </w:r>
            <w:r w:rsidR="000B7937" w:rsidRPr="00E17D2F">
              <w:rPr>
                <w:szCs w:val="22"/>
                <w:lang w:val="el-GR"/>
              </w:rPr>
              <w:t xml:space="preserve"> </w:t>
            </w:r>
            <w:proofErr w:type="spellStart"/>
            <w:r w:rsidR="000B7937" w:rsidRPr="00E17D2F">
              <w:rPr>
                <w:szCs w:val="22"/>
                <w:lang w:val="el-GR"/>
              </w:rPr>
              <w:t>μυελοκατασταλτικ</w:t>
            </w:r>
            <w:r w:rsidR="000B7937">
              <w:rPr>
                <w:szCs w:val="22"/>
                <w:lang w:val="el-GR"/>
              </w:rPr>
              <w:t>ός</w:t>
            </w:r>
            <w:proofErr w:type="spellEnd"/>
            <w:r w:rsidR="000B7937" w:rsidRPr="00E17D2F">
              <w:rPr>
                <w:szCs w:val="22"/>
                <w:lang w:val="el-GR"/>
              </w:rPr>
              <w:t xml:space="preserve"> </w:t>
            </w:r>
            <w:r w:rsidRPr="00E17D2F">
              <w:rPr>
                <w:szCs w:val="22"/>
                <w:lang w:val="el-GR"/>
              </w:rPr>
              <w:t>παράγοντα</w:t>
            </w:r>
            <w:r w:rsidR="000B7937">
              <w:rPr>
                <w:szCs w:val="22"/>
                <w:lang w:val="el-GR"/>
              </w:rPr>
              <w:t>ς</w:t>
            </w:r>
            <w:r w:rsidRPr="00E17D2F">
              <w:rPr>
                <w:szCs w:val="22"/>
                <w:lang w:val="el-GR"/>
              </w:rPr>
              <w:t xml:space="preserve">, η προσεκτική παρακολούθηση των τιμών του αίματος είναι επιτακτική </w:t>
            </w:r>
            <w:r w:rsidR="000B7937">
              <w:rPr>
                <w:szCs w:val="22"/>
                <w:lang w:val="el-GR"/>
              </w:rPr>
              <w:t>ώστε</w:t>
            </w:r>
            <w:r w:rsidR="000B7937" w:rsidRPr="00E17D2F">
              <w:rPr>
                <w:szCs w:val="22"/>
                <w:lang w:val="el-GR"/>
              </w:rPr>
              <w:t xml:space="preserve"> </w:t>
            </w:r>
            <w:r w:rsidRPr="00E17D2F">
              <w:rPr>
                <w:szCs w:val="22"/>
                <w:lang w:val="el-GR"/>
              </w:rPr>
              <w:t xml:space="preserve">να αποφευχθεί η υπερβολική καταστολή του μυελού των οστών και </w:t>
            </w:r>
            <w:r w:rsidR="000B7937">
              <w:rPr>
                <w:szCs w:val="22"/>
                <w:lang w:val="el-GR"/>
              </w:rPr>
              <w:t>ο</w:t>
            </w:r>
            <w:r w:rsidR="000B7937" w:rsidRPr="00E17D2F">
              <w:rPr>
                <w:szCs w:val="22"/>
                <w:lang w:val="el-GR"/>
              </w:rPr>
              <w:t xml:space="preserve"> </w:t>
            </w:r>
            <w:r w:rsidRPr="00E17D2F">
              <w:rPr>
                <w:szCs w:val="22"/>
                <w:lang w:val="el-GR"/>
              </w:rPr>
              <w:t>κίνδυνο</w:t>
            </w:r>
            <w:r w:rsidR="000B7937">
              <w:rPr>
                <w:szCs w:val="22"/>
                <w:lang w:val="el-GR"/>
              </w:rPr>
              <w:t>ς</w:t>
            </w:r>
            <w:r w:rsidRPr="00E17D2F">
              <w:rPr>
                <w:szCs w:val="22"/>
                <w:lang w:val="el-GR"/>
              </w:rPr>
              <w:t xml:space="preserve"> μη αναστρέψιμης απλασίας του μυελού των οστών. Δεδομένου ότι οι τιμές του αίματος μπορούν να συνεχίσουν να </w:t>
            </w:r>
            <w:r w:rsidR="000B7937">
              <w:rPr>
                <w:szCs w:val="22"/>
                <w:lang w:val="el-GR"/>
              </w:rPr>
              <w:t xml:space="preserve">μειώνονται </w:t>
            </w:r>
            <w:r w:rsidRPr="00E17D2F">
              <w:rPr>
                <w:szCs w:val="22"/>
                <w:lang w:val="el-GR"/>
              </w:rPr>
              <w:t xml:space="preserve">ακόμη και μετά τον τερματισμό της θεραπείας, η θεραπεία θα πρέπει να διακόπτεται με την πρώτη ένδειξη </w:t>
            </w:r>
            <w:r w:rsidR="000B7937">
              <w:rPr>
                <w:szCs w:val="22"/>
                <w:lang w:val="el-GR"/>
              </w:rPr>
              <w:t>μιας</w:t>
            </w:r>
            <w:r w:rsidR="000B7937" w:rsidRPr="00E17D2F">
              <w:rPr>
                <w:szCs w:val="22"/>
                <w:lang w:val="el-GR"/>
              </w:rPr>
              <w:t xml:space="preserve"> </w:t>
            </w:r>
            <w:r w:rsidRPr="00E17D2F">
              <w:rPr>
                <w:szCs w:val="22"/>
                <w:lang w:val="el-GR"/>
              </w:rPr>
              <w:t>ασυνήθιστα σοβαρή</w:t>
            </w:r>
            <w:r w:rsidR="000B7937">
              <w:rPr>
                <w:szCs w:val="22"/>
                <w:lang w:val="el-GR"/>
              </w:rPr>
              <w:t>ς</w:t>
            </w:r>
            <w:r w:rsidRPr="00E17D2F">
              <w:rPr>
                <w:szCs w:val="22"/>
                <w:lang w:val="el-GR"/>
              </w:rPr>
              <w:t xml:space="preserve"> μείωση</w:t>
            </w:r>
            <w:r w:rsidR="000B7937">
              <w:rPr>
                <w:szCs w:val="22"/>
                <w:lang w:val="el-GR"/>
              </w:rPr>
              <w:t>ς</w:t>
            </w:r>
            <w:r w:rsidRPr="00E17D2F">
              <w:rPr>
                <w:szCs w:val="22"/>
                <w:lang w:val="el-GR"/>
              </w:rPr>
              <w:t xml:space="preserve"> </w:t>
            </w:r>
            <w:r w:rsidR="000B7937">
              <w:rPr>
                <w:szCs w:val="22"/>
                <w:lang w:val="el-GR"/>
              </w:rPr>
              <w:t>των</w:t>
            </w:r>
            <w:r w:rsidR="000B7937" w:rsidRPr="00E17D2F">
              <w:rPr>
                <w:szCs w:val="22"/>
                <w:lang w:val="el-GR"/>
              </w:rPr>
              <w:t xml:space="preserve"> </w:t>
            </w:r>
            <w:r w:rsidR="000B7937">
              <w:rPr>
                <w:szCs w:val="22"/>
                <w:lang w:val="el-GR"/>
              </w:rPr>
              <w:t xml:space="preserve">τιμών των </w:t>
            </w:r>
            <w:r w:rsidR="00A254C8">
              <w:rPr>
                <w:szCs w:val="22"/>
                <w:lang w:val="el-GR"/>
              </w:rPr>
              <w:t>λευκοκυττάρων ή αιμοπεταλίων</w:t>
            </w:r>
            <w:r w:rsidRPr="00E17D2F">
              <w:rPr>
                <w:szCs w:val="22"/>
                <w:lang w:val="el-GR"/>
              </w:rPr>
              <w:t>.</w:t>
            </w:r>
          </w:p>
        </w:tc>
      </w:tr>
      <w:tr w:rsidR="00061777" w:rsidRPr="00240BBA" w14:paraId="3C04F77C" w14:textId="77777777" w:rsidTr="00B47D56">
        <w:trPr>
          <w:trHeight w:val="255"/>
        </w:trPr>
        <w:tc>
          <w:tcPr>
            <w:tcW w:w="1655" w:type="pct"/>
            <w:tcBorders>
              <w:bottom w:val="single" w:sz="4" w:space="0" w:color="auto"/>
            </w:tcBorders>
          </w:tcPr>
          <w:p w14:paraId="7F46329B" w14:textId="77777777" w:rsidR="00061777" w:rsidRPr="00A11B6B" w:rsidRDefault="00061777" w:rsidP="00B47D56">
            <w:pPr>
              <w:spacing w:after="0"/>
              <w:contextualSpacing/>
              <w:rPr>
                <w:szCs w:val="22"/>
                <w:highlight w:val="red"/>
                <w:lang w:eastAsia="fr-FR"/>
              </w:rPr>
            </w:pPr>
            <w:r w:rsidRPr="00A9535B">
              <w:rPr>
                <w:szCs w:val="22"/>
                <w:lang w:eastAsia="fr-FR"/>
              </w:rPr>
              <w:t xml:space="preserve">Διαταραχές </w:t>
            </w:r>
            <w:proofErr w:type="spellStart"/>
            <w:r w:rsidRPr="00A9535B">
              <w:rPr>
                <w:szCs w:val="22"/>
                <w:lang w:eastAsia="fr-FR"/>
              </w:rPr>
              <w:t>του</w:t>
            </w:r>
            <w:proofErr w:type="spellEnd"/>
            <w:r w:rsidRPr="00A9535B">
              <w:rPr>
                <w:szCs w:val="22"/>
                <w:lang w:eastAsia="fr-FR"/>
              </w:rPr>
              <w:t xml:space="preserve"> α</w:t>
            </w:r>
            <w:proofErr w:type="spellStart"/>
            <w:r w:rsidRPr="00A9535B">
              <w:rPr>
                <w:szCs w:val="22"/>
                <w:lang w:eastAsia="fr-FR"/>
              </w:rPr>
              <w:t>νοσο</w:t>
            </w:r>
            <w:proofErr w:type="spellEnd"/>
            <w:r w:rsidRPr="00A9535B">
              <w:rPr>
                <w:szCs w:val="22"/>
                <w:lang w:eastAsia="fr-FR"/>
              </w:rPr>
              <w:t xml:space="preserve">ποιητικού </w:t>
            </w:r>
            <w:proofErr w:type="spellStart"/>
            <w:r w:rsidRPr="00A9535B">
              <w:rPr>
                <w:szCs w:val="22"/>
                <w:lang w:eastAsia="fr-FR"/>
              </w:rPr>
              <w:t>συστήμ</w:t>
            </w:r>
            <w:proofErr w:type="spellEnd"/>
            <w:r w:rsidRPr="00A9535B">
              <w:rPr>
                <w:szCs w:val="22"/>
                <w:lang w:eastAsia="fr-FR"/>
              </w:rPr>
              <w:t>ατος</w:t>
            </w:r>
          </w:p>
        </w:tc>
        <w:tc>
          <w:tcPr>
            <w:tcW w:w="836" w:type="pct"/>
          </w:tcPr>
          <w:p w14:paraId="431057B3" w14:textId="2F8406D4" w:rsidR="00061777" w:rsidRPr="00A254C8" w:rsidRDefault="00061777" w:rsidP="00B47D56">
            <w:pPr>
              <w:spacing w:after="0"/>
              <w:contextualSpacing/>
              <w:rPr>
                <w:szCs w:val="22"/>
                <w:highlight w:val="red"/>
                <w:lang w:val="el-GR" w:eastAsia="fr-FR"/>
              </w:rPr>
            </w:pPr>
            <w:r w:rsidRPr="00F429A4">
              <w:rPr>
                <w:szCs w:val="22"/>
                <w:lang w:eastAsia="fr-FR"/>
              </w:rPr>
              <w:t>Σπ</w:t>
            </w:r>
            <w:proofErr w:type="spellStart"/>
            <w:r w:rsidRPr="00F429A4">
              <w:rPr>
                <w:szCs w:val="22"/>
                <w:lang w:eastAsia="fr-FR"/>
              </w:rPr>
              <w:t>άνι</w:t>
            </w:r>
            <w:proofErr w:type="spellEnd"/>
            <w:r w:rsidR="00A254C8">
              <w:rPr>
                <w:szCs w:val="22"/>
                <w:lang w:val="el-GR" w:eastAsia="fr-FR"/>
              </w:rPr>
              <w:t>ες</w:t>
            </w:r>
          </w:p>
        </w:tc>
        <w:tc>
          <w:tcPr>
            <w:tcW w:w="2509" w:type="pct"/>
          </w:tcPr>
          <w:p w14:paraId="65013D60" w14:textId="74F43C89" w:rsidR="00061777" w:rsidRPr="00E17D2F" w:rsidRDefault="007A7163" w:rsidP="00B47D56">
            <w:pPr>
              <w:autoSpaceDE w:val="0"/>
              <w:autoSpaceDN w:val="0"/>
              <w:adjustRightInd w:val="0"/>
              <w:spacing w:after="0"/>
              <w:rPr>
                <w:szCs w:val="22"/>
                <w:lang w:val="el-GR"/>
              </w:rPr>
            </w:pPr>
            <w:r>
              <w:rPr>
                <w:szCs w:val="22"/>
                <w:lang w:val="el-GR"/>
              </w:rPr>
              <w:t>Α</w:t>
            </w:r>
            <w:r w:rsidR="00061777" w:rsidRPr="00E17D2F">
              <w:rPr>
                <w:szCs w:val="22"/>
                <w:lang w:val="el-GR"/>
              </w:rPr>
              <w:t xml:space="preserve">λλεργικές αντιδράσεις (βλέπε επίσης διαταραχές </w:t>
            </w:r>
            <w:r w:rsidR="000B7937" w:rsidRPr="00E17D2F">
              <w:rPr>
                <w:szCs w:val="22"/>
                <w:lang w:val="el-GR"/>
              </w:rPr>
              <w:t xml:space="preserve">του δέρματος και </w:t>
            </w:r>
            <w:r w:rsidR="00061777" w:rsidRPr="00E17D2F">
              <w:rPr>
                <w:szCs w:val="22"/>
                <w:lang w:val="el-GR"/>
              </w:rPr>
              <w:t>του υποδόριου ιστού ).</w:t>
            </w:r>
          </w:p>
          <w:p w14:paraId="7B9C736C" w14:textId="704059CF" w:rsidR="00061777" w:rsidRPr="00E17D2F" w:rsidRDefault="00061777" w:rsidP="007A7163">
            <w:pPr>
              <w:autoSpaceDE w:val="0"/>
              <w:autoSpaceDN w:val="0"/>
              <w:adjustRightInd w:val="0"/>
              <w:spacing w:after="0"/>
              <w:rPr>
                <w:szCs w:val="22"/>
                <w:lang w:val="el-GR"/>
              </w:rPr>
            </w:pPr>
            <w:r w:rsidRPr="00E17D2F">
              <w:rPr>
                <w:szCs w:val="22"/>
                <w:lang w:val="el-GR"/>
              </w:rPr>
              <w:t xml:space="preserve">Αλλεργικές αντιδράσεις όπως κνίδωση, οίδημα, εξανθήματα, και </w:t>
            </w:r>
            <w:proofErr w:type="spellStart"/>
            <w:r w:rsidRPr="00E17D2F">
              <w:rPr>
                <w:szCs w:val="22"/>
                <w:lang w:val="el-GR"/>
              </w:rPr>
              <w:t>αναφυλακτικό</w:t>
            </w:r>
            <w:proofErr w:type="spellEnd"/>
            <w:r w:rsidRPr="00E17D2F">
              <w:rPr>
                <w:szCs w:val="22"/>
                <w:lang w:val="el-GR"/>
              </w:rPr>
              <w:t xml:space="preserve"> σοκ </w:t>
            </w:r>
            <w:r w:rsidR="000B7937">
              <w:rPr>
                <w:szCs w:val="22"/>
                <w:lang w:val="el-GR"/>
              </w:rPr>
              <w:t>παρουσιάζονται</w:t>
            </w:r>
            <w:r w:rsidR="000B7937" w:rsidRPr="00E17D2F">
              <w:rPr>
                <w:szCs w:val="22"/>
                <w:lang w:val="el-GR"/>
              </w:rPr>
              <w:t xml:space="preserve"> </w:t>
            </w:r>
            <w:r w:rsidRPr="00E17D2F">
              <w:rPr>
                <w:szCs w:val="22"/>
                <w:lang w:val="el-GR"/>
              </w:rPr>
              <w:t xml:space="preserve">στην </w:t>
            </w:r>
            <w:r w:rsidRPr="003E4140">
              <w:rPr>
                <w:color w:val="000000" w:themeColor="text1"/>
                <w:szCs w:val="22"/>
                <w:lang w:val="el-GR"/>
              </w:rPr>
              <w:t>αρχική</w:t>
            </w:r>
            <w:r w:rsidR="007A7163" w:rsidRPr="003E4140">
              <w:rPr>
                <w:color w:val="000000" w:themeColor="text1"/>
                <w:szCs w:val="22"/>
                <w:lang w:val="el-GR"/>
              </w:rPr>
              <w:t xml:space="preserve"> θεραπεία</w:t>
            </w:r>
            <w:r w:rsidRPr="003E4140">
              <w:rPr>
                <w:color w:val="000000" w:themeColor="text1"/>
                <w:szCs w:val="22"/>
                <w:lang w:val="el-GR"/>
              </w:rPr>
              <w:t xml:space="preserve"> και </w:t>
            </w:r>
            <w:r w:rsidR="007A7163" w:rsidRPr="003E4140">
              <w:rPr>
                <w:color w:val="000000" w:themeColor="text1"/>
                <w:szCs w:val="22"/>
                <w:lang w:val="el-GR"/>
              </w:rPr>
              <w:t>σ</w:t>
            </w:r>
            <w:r w:rsidRPr="003E4140">
              <w:rPr>
                <w:color w:val="000000" w:themeColor="text1"/>
                <w:szCs w:val="22"/>
                <w:lang w:val="el-GR"/>
              </w:rPr>
              <w:t xml:space="preserve">την παρακολούθηση </w:t>
            </w:r>
            <w:r w:rsidR="007A7163" w:rsidRPr="003E4140">
              <w:rPr>
                <w:color w:val="000000" w:themeColor="text1"/>
                <w:szCs w:val="22"/>
                <w:lang w:val="el-GR"/>
              </w:rPr>
              <w:t>μετά τη θεραπεία</w:t>
            </w:r>
            <w:r w:rsidRPr="00E17D2F">
              <w:rPr>
                <w:szCs w:val="22"/>
                <w:lang w:val="el-GR"/>
              </w:rPr>
              <w:t>, ιδιαίτερα στην περίπτωση της ενδοφλέβιας θεραπείας</w:t>
            </w:r>
            <w:r w:rsidR="000B7937">
              <w:rPr>
                <w:szCs w:val="22"/>
                <w:lang w:val="el-GR"/>
              </w:rPr>
              <w:t xml:space="preserve"> με</w:t>
            </w:r>
            <w:r w:rsidRPr="00E17D2F">
              <w:rPr>
                <w:szCs w:val="22"/>
                <w:lang w:val="el-GR"/>
              </w:rPr>
              <w:t xml:space="preserve"> </w:t>
            </w:r>
            <w:proofErr w:type="spellStart"/>
            <w:r w:rsidRPr="00E17D2F">
              <w:rPr>
                <w:szCs w:val="22"/>
                <w:lang w:val="el-GR"/>
              </w:rPr>
              <w:t>μελφαλάνη</w:t>
            </w:r>
            <w:proofErr w:type="spellEnd"/>
            <w:r w:rsidRPr="00E17D2F">
              <w:rPr>
                <w:szCs w:val="22"/>
                <w:lang w:val="el-GR"/>
              </w:rPr>
              <w:t>. Καρδιακή ανακοπή έχει αναφερθεί σε σπάνιες περιπτώσεις σε σχέση με τις αλλεργικές αντιδράσεις.</w:t>
            </w:r>
          </w:p>
        </w:tc>
      </w:tr>
      <w:tr w:rsidR="00061777" w:rsidRPr="00240BBA" w14:paraId="05A0A782" w14:textId="77777777" w:rsidTr="00B47D56">
        <w:trPr>
          <w:trHeight w:val="255"/>
        </w:trPr>
        <w:tc>
          <w:tcPr>
            <w:tcW w:w="1655" w:type="pct"/>
            <w:tcBorders>
              <w:bottom w:val="single" w:sz="4" w:space="0" w:color="auto"/>
            </w:tcBorders>
          </w:tcPr>
          <w:p w14:paraId="259736A0" w14:textId="77777777" w:rsidR="00061777" w:rsidRPr="00E17D2F" w:rsidRDefault="00061777" w:rsidP="00B47D56">
            <w:pPr>
              <w:spacing w:after="0"/>
              <w:contextualSpacing/>
              <w:rPr>
                <w:szCs w:val="22"/>
                <w:highlight w:val="red"/>
                <w:lang w:val="el-GR" w:eastAsia="fr-FR"/>
              </w:rPr>
            </w:pPr>
            <w:r w:rsidRPr="00A9535B">
              <w:rPr>
                <w:bCs/>
                <w:color w:val="000000"/>
                <w:szCs w:val="22"/>
                <w:lang w:val="nl-NL" w:eastAsia="nl-NL"/>
              </w:rPr>
              <w:lastRenderedPageBreak/>
              <w:t>Διαταραχές του αναπνευστικού συστήματος, του θώρακα και του μεσοθωρακίου</w:t>
            </w:r>
          </w:p>
        </w:tc>
        <w:tc>
          <w:tcPr>
            <w:tcW w:w="836" w:type="pct"/>
            <w:tcBorders>
              <w:bottom w:val="single" w:sz="4" w:space="0" w:color="auto"/>
            </w:tcBorders>
          </w:tcPr>
          <w:p w14:paraId="35176527" w14:textId="0D545AE3" w:rsidR="00061777" w:rsidRPr="00A254C8" w:rsidRDefault="00061777" w:rsidP="00B47D56">
            <w:pPr>
              <w:spacing w:after="0"/>
              <w:contextualSpacing/>
              <w:rPr>
                <w:szCs w:val="22"/>
                <w:highlight w:val="red"/>
                <w:lang w:val="el-GR" w:eastAsia="fr-FR"/>
              </w:rPr>
            </w:pPr>
            <w:r w:rsidRPr="00F429A4">
              <w:rPr>
                <w:szCs w:val="22"/>
                <w:lang w:eastAsia="fr-FR"/>
              </w:rPr>
              <w:t>Σπ</w:t>
            </w:r>
            <w:proofErr w:type="spellStart"/>
            <w:r w:rsidRPr="00F429A4">
              <w:rPr>
                <w:szCs w:val="22"/>
                <w:lang w:eastAsia="fr-FR"/>
              </w:rPr>
              <w:t>άνι</w:t>
            </w:r>
            <w:proofErr w:type="spellEnd"/>
            <w:r w:rsidR="00A254C8">
              <w:rPr>
                <w:szCs w:val="22"/>
                <w:lang w:val="el-GR" w:eastAsia="fr-FR"/>
              </w:rPr>
              <w:t>ες</w:t>
            </w:r>
          </w:p>
        </w:tc>
        <w:tc>
          <w:tcPr>
            <w:tcW w:w="2509" w:type="pct"/>
            <w:tcBorders>
              <w:bottom w:val="single" w:sz="4" w:space="0" w:color="auto"/>
            </w:tcBorders>
          </w:tcPr>
          <w:p w14:paraId="5D905884" w14:textId="59791D9E" w:rsidR="00061777" w:rsidRPr="00E17D2F" w:rsidRDefault="007A7163" w:rsidP="00B47D56">
            <w:pPr>
              <w:autoSpaceDE w:val="0"/>
              <w:autoSpaceDN w:val="0"/>
              <w:adjustRightInd w:val="0"/>
              <w:spacing w:after="0"/>
              <w:rPr>
                <w:szCs w:val="22"/>
                <w:lang w:val="el-GR"/>
              </w:rPr>
            </w:pPr>
            <w:r>
              <w:rPr>
                <w:szCs w:val="22"/>
                <w:lang w:val="el-GR"/>
              </w:rPr>
              <w:t>Δ</w:t>
            </w:r>
            <w:r w:rsidR="00061777" w:rsidRPr="00E17D2F">
              <w:rPr>
                <w:szCs w:val="22"/>
                <w:lang w:val="el-GR"/>
              </w:rPr>
              <w:t xml:space="preserve">ιάμεση πνευμονία και πνευμονική </w:t>
            </w:r>
            <w:proofErr w:type="spellStart"/>
            <w:r w:rsidR="00061777" w:rsidRPr="00E17D2F">
              <w:rPr>
                <w:szCs w:val="22"/>
                <w:lang w:val="el-GR"/>
              </w:rPr>
              <w:t>ίνωση</w:t>
            </w:r>
            <w:proofErr w:type="spellEnd"/>
            <w:r w:rsidR="00061777" w:rsidRPr="00E17D2F">
              <w:rPr>
                <w:szCs w:val="22"/>
                <w:lang w:val="el-GR"/>
              </w:rPr>
              <w:t xml:space="preserve"> (συμπεριλαμβανομένων θανατηφόρων περιπτώσεων).</w:t>
            </w:r>
          </w:p>
        </w:tc>
      </w:tr>
      <w:tr w:rsidR="00061777" w:rsidRPr="00240BBA" w14:paraId="3A2C7EF5" w14:textId="77777777" w:rsidTr="00B47D56">
        <w:trPr>
          <w:trHeight w:val="197"/>
        </w:trPr>
        <w:tc>
          <w:tcPr>
            <w:tcW w:w="1655" w:type="pct"/>
            <w:tcBorders>
              <w:top w:val="single" w:sz="4" w:space="0" w:color="auto"/>
              <w:left w:val="single" w:sz="4" w:space="0" w:color="auto"/>
              <w:bottom w:val="nil"/>
              <w:right w:val="single" w:sz="4" w:space="0" w:color="auto"/>
            </w:tcBorders>
          </w:tcPr>
          <w:p w14:paraId="7F46DABF" w14:textId="30884F25" w:rsidR="00061777" w:rsidRPr="00A11B6B" w:rsidRDefault="00061777" w:rsidP="00B47D56">
            <w:pPr>
              <w:spacing w:after="0"/>
              <w:contextualSpacing/>
              <w:rPr>
                <w:szCs w:val="22"/>
                <w:highlight w:val="red"/>
                <w:lang w:eastAsia="fr-FR"/>
              </w:rPr>
            </w:pPr>
            <w:r>
              <w:rPr>
                <w:szCs w:val="22"/>
                <w:lang w:val="en-IN"/>
              </w:rPr>
              <w:t xml:space="preserve">Διαταραχές </w:t>
            </w:r>
            <w:proofErr w:type="spellStart"/>
            <w:r w:rsidRPr="00A9535B">
              <w:rPr>
                <w:szCs w:val="22"/>
                <w:lang w:val="en-IN"/>
              </w:rPr>
              <w:t>του</w:t>
            </w:r>
            <w:proofErr w:type="spellEnd"/>
            <w:r w:rsidRPr="00A9535B">
              <w:rPr>
                <w:szCs w:val="22"/>
                <w:lang w:val="en-IN"/>
              </w:rPr>
              <w:t xml:space="preserve"> γα</w:t>
            </w:r>
            <w:proofErr w:type="spellStart"/>
            <w:r w:rsidRPr="00A9535B">
              <w:rPr>
                <w:szCs w:val="22"/>
                <w:lang w:val="en-IN"/>
              </w:rPr>
              <w:t>στρεντερικού</w:t>
            </w:r>
            <w:proofErr w:type="spellEnd"/>
            <w:r w:rsidRPr="00A9535B">
              <w:rPr>
                <w:szCs w:val="22"/>
                <w:lang w:val="en-IN"/>
              </w:rPr>
              <w:t xml:space="preserve"> </w:t>
            </w:r>
          </w:p>
        </w:tc>
        <w:tc>
          <w:tcPr>
            <w:tcW w:w="836" w:type="pct"/>
            <w:tcBorders>
              <w:top w:val="single" w:sz="4" w:space="0" w:color="auto"/>
              <w:left w:val="single" w:sz="4" w:space="0" w:color="auto"/>
              <w:bottom w:val="single" w:sz="4" w:space="0" w:color="auto"/>
              <w:right w:val="single" w:sz="4" w:space="0" w:color="auto"/>
            </w:tcBorders>
          </w:tcPr>
          <w:p w14:paraId="5C42DE40" w14:textId="4AF46787" w:rsidR="00061777" w:rsidRPr="00A254C8" w:rsidRDefault="00061777" w:rsidP="00B47D56">
            <w:pPr>
              <w:spacing w:after="0"/>
              <w:contextualSpacing/>
              <w:rPr>
                <w:szCs w:val="22"/>
                <w:lang w:val="el-GR" w:eastAsia="fr-FR"/>
              </w:rPr>
            </w:pPr>
            <w:proofErr w:type="spellStart"/>
            <w:r w:rsidRPr="00F429A4">
              <w:rPr>
                <w:szCs w:val="22"/>
                <w:lang w:eastAsia="fr-FR"/>
              </w:rPr>
              <w:t>Πολύ</w:t>
            </w:r>
            <w:proofErr w:type="spellEnd"/>
            <w:r w:rsidRPr="00F429A4">
              <w:rPr>
                <w:szCs w:val="22"/>
                <w:lang w:eastAsia="fr-FR"/>
              </w:rPr>
              <w:t xml:space="preserve"> </w:t>
            </w:r>
            <w:r w:rsidR="00A254C8">
              <w:rPr>
                <w:szCs w:val="22"/>
                <w:lang w:val="el-GR" w:eastAsia="fr-FR"/>
              </w:rPr>
              <w:t>συχνές</w:t>
            </w:r>
          </w:p>
        </w:tc>
        <w:tc>
          <w:tcPr>
            <w:tcW w:w="2509" w:type="pct"/>
            <w:tcBorders>
              <w:top w:val="single" w:sz="4" w:space="0" w:color="auto"/>
              <w:left w:val="single" w:sz="4" w:space="0" w:color="auto"/>
              <w:bottom w:val="single" w:sz="4" w:space="0" w:color="auto"/>
              <w:right w:val="single" w:sz="4" w:space="0" w:color="auto"/>
            </w:tcBorders>
          </w:tcPr>
          <w:p w14:paraId="0C5529AD" w14:textId="335B4983" w:rsidR="00061777" w:rsidRPr="00E17D2F" w:rsidRDefault="007A7163" w:rsidP="00B47D56">
            <w:pPr>
              <w:autoSpaceDE w:val="0"/>
              <w:autoSpaceDN w:val="0"/>
              <w:adjustRightInd w:val="0"/>
              <w:spacing w:after="0"/>
              <w:rPr>
                <w:szCs w:val="22"/>
                <w:lang w:val="el-GR"/>
              </w:rPr>
            </w:pPr>
            <w:r>
              <w:rPr>
                <w:szCs w:val="22"/>
                <w:lang w:val="el-GR"/>
              </w:rPr>
              <w:t>Γ</w:t>
            </w:r>
            <w:r w:rsidR="00061777" w:rsidRPr="00E17D2F">
              <w:rPr>
                <w:szCs w:val="22"/>
                <w:lang w:val="el-GR"/>
              </w:rPr>
              <w:t>αστρεντερικά συμπτώματα όπως ναυτία, διάρροια και έμετος, στοματίτιδα σε υψηλές δόσεις.</w:t>
            </w:r>
          </w:p>
        </w:tc>
      </w:tr>
      <w:tr w:rsidR="00061777" w:rsidRPr="00240BBA" w14:paraId="11F21FF3" w14:textId="77777777" w:rsidTr="00B47D56">
        <w:tc>
          <w:tcPr>
            <w:tcW w:w="1655" w:type="pct"/>
            <w:tcBorders>
              <w:top w:val="nil"/>
              <w:left w:val="single" w:sz="4" w:space="0" w:color="auto"/>
              <w:bottom w:val="single" w:sz="4" w:space="0" w:color="auto"/>
              <w:right w:val="single" w:sz="4" w:space="0" w:color="auto"/>
            </w:tcBorders>
          </w:tcPr>
          <w:p w14:paraId="580F3DD1" w14:textId="77777777" w:rsidR="00061777" w:rsidRPr="00E17D2F" w:rsidRDefault="00061777" w:rsidP="00B47D56">
            <w:pPr>
              <w:spacing w:after="0"/>
              <w:contextualSpacing/>
              <w:rPr>
                <w:szCs w:val="22"/>
                <w:highlight w:val="red"/>
                <w:lang w:val="el-GR" w:eastAsia="fr-FR"/>
              </w:rPr>
            </w:pPr>
          </w:p>
        </w:tc>
        <w:tc>
          <w:tcPr>
            <w:tcW w:w="836" w:type="pct"/>
            <w:tcBorders>
              <w:top w:val="single" w:sz="4" w:space="0" w:color="auto"/>
              <w:left w:val="single" w:sz="4" w:space="0" w:color="auto"/>
              <w:bottom w:val="single" w:sz="4" w:space="0" w:color="auto"/>
              <w:right w:val="single" w:sz="4" w:space="0" w:color="auto"/>
            </w:tcBorders>
          </w:tcPr>
          <w:p w14:paraId="5BC35956" w14:textId="25264735" w:rsidR="00061777" w:rsidRPr="00A254C8" w:rsidRDefault="00061777" w:rsidP="00B47D56">
            <w:pPr>
              <w:spacing w:after="0"/>
              <w:contextualSpacing/>
              <w:rPr>
                <w:szCs w:val="22"/>
                <w:lang w:val="el-GR" w:eastAsia="fr-FR"/>
              </w:rPr>
            </w:pPr>
            <w:r w:rsidRPr="00F429A4">
              <w:rPr>
                <w:szCs w:val="22"/>
                <w:lang w:eastAsia="fr-FR"/>
              </w:rPr>
              <w:t>Σπ</w:t>
            </w:r>
            <w:proofErr w:type="spellStart"/>
            <w:r w:rsidRPr="00F429A4">
              <w:rPr>
                <w:szCs w:val="22"/>
                <w:lang w:eastAsia="fr-FR"/>
              </w:rPr>
              <w:t>άνι</w:t>
            </w:r>
            <w:proofErr w:type="spellEnd"/>
            <w:r w:rsidR="00A254C8">
              <w:rPr>
                <w:szCs w:val="22"/>
                <w:lang w:val="el-GR" w:eastAsia="fr-FR"/>
              </w:rPr>
              <w:t>ες</w:t>
            </w:r>
          </w:p>
        </w:tc>
        <w:tc>
          <w:tcPr>
            <w:tcW w:w="2509" w:type="pct"/>
            <w:tcBorders>
              <w:top w:val="single" w:sz="4" w:space="0" w:color="auto"/>
              <w:left w:val="single" w:sz="4" w:space="0" w:color="auto"/>
              <w:bottom w:val="single" w:sz="4" w:space="0" w:color="auto"/>
              <w:right w:val="single" w:sz="4" w:space="0" w:color="auto"/>
            </w:tcBorders>
          </w:tcPr>
          <w:p w14:paraId="70470CFC" w14:textId="77777777" w:rsidR="00061777" w:rsidRPr="00E17D2F" w:rsidRDefault="00061777" w:rsidP="00B47D56">
            <w:pPr>
              <w:autoSpaceDE w:val="0"/>
              <w:autoSpaceDN w:val="0"/>
              <w:adjustRightInd w:val="0"/>
              <w:spacing w:after="0"/>
              <w:rPr>
                <w:szCs w:val="22"/>
                <w:lang w:val="el-GR"/>
              </w:rPr>
            </w:pPr>
            <w:r w:rsidRPr="00E17D2F">
              <w:rPr>
                <w:szCs w:val="22"/>
                <w:lang w:val="el-GR"/>
              </w:rPr>
              <w:t>Στοματίτιδα με συμβατική δόση.</w:t>
            </w:r>
          </w:p>
          <w:p w14:paraId="70CA0A18" w14:textId="31395DB2" w:rsidR="00061777" w:rsidRPr="00E17D2F" w:rsidRDefault="00061777" w:rsidP="00331A8A">
            <w:pPr>
              <w:autoSpaceDE w:val="0"/>
              <w:autoSpaceDN w:val="0"/>
              <w:adjustRightInd w:val="0"/>
              <w:spacing w:after="0"/>
              <w:rPr>
                <w:szCs w:val="22"/>
                <w:lang w:val="el-GR"/>
              </w:rPr>
            </w:pPr>
            <w:r w:rsidRPr="00E17D2F">
              <w:rPr>
                <w:szCs w:val="22"/>
                <w:lang w:val="el-GR"/>
              </w:rPr>
              <w:t xml:space="preserve">Η υψηλή συχνότητα εμφάνισης της διάρροιας, </w:t>
            </w:r>
            <w:r w:rsidR="000B7937">
              <w:rPr>
                <w:szCs w:val="22"/>
                <w:lang w:val="el-GR"/>
              </w:rPr>
              <w:t>εμέτου</w:t>
            </w:r>
            <w:r w:rsidR="000B7937" w:rsidRPr="00E17D2F">
              <w:rPr>
                <w:szCs w:val="22"/>
                <w:lang w:val="el-GR"/>
              </w:rPr>
              <w:t xml:space="preserve"> </w:t>
            </w:r>
            <w:r w:rsidRPr="00E17D2F">
              <w:rPr>
                <w:szCs w:val="22"/>
                <w:lang w:val="el-GR"/>
              </w:rPr>
              <w:t>και στοματίτιδα</w:t>
            </w:r>
            <w:r w:rsidR="000B7937">
              <w:rPr>
                <w:szCs w:val="22"/>
                <w:lang w:val="el-GR"/>
              </w:rPr>
              <w:t>ς</w:t>
            </w:r>
            <w:r w:rsidR="00331A8A">
              <w:rPr>
                <w:szCs w:val="22"/>
                <w:lang w:val="el-GR"/>
              </w:rPr>
              <w:t xml:space="preserve">  </w:t>
            </w:r>
            <w:proofErr w:type="spellStart"/>
            <w:r w:rsidR="00331A8A">
              <w:rPr>
                <w:szCs w:val="22"/>
                <w:lang w:val="el-GR"/>
              </w:rPr>
              <w:t>περιοριζει</w:t>
            </w:r>
            <w:proofErr w:type="spellEnd"/>
            <w:r w:rsidR="00331A8A">
              <w:rPr>
                <w:szCs w:val="22"/>
                <w:lang w:val="el-GR"/>
              </w:rPr>
              <w:t xml:space="preserve"> τη δόση σε </w:t>
            </w:r>
            <w:r w:rsidRPr="00E17D2F">
              <w:rPr>
                <w:szCs w:val="22"/>
                <w:lang w:val="el-GR"/>
              </w:rPr>
              <w:t xml:space="preserve">υψηλές ενδοφλέβιες δόσεις </w:t>
            </w:r>
            <w:proofErr w:type="spellStart"/>
            <w:r w:rsidRPr="00E17D2F">
              <w:rPr>
                <w:szCs w:val="22"/>
                <w:lang w:val="el-GR"/>
              </w:rPr>
              <w:t>μελφαλάνης</w:t>
            </w:r>
            <w:proofErr w:type="spellEnd"/>
            <w:r w:rsidRPr="00E17D2F">
              <w:rPr>
                <w:szCs w:val="22"/>
                <w:lang w:val="el-GR"/>
              </w:rPr>
              <w:t xml:space="preserve"> σε συνδυασμό με </w:t>
            </w:r>
            <w:proofErr w:type="spellStart"/>
            <w:r w:rsidRPr="00E17D2F">
              <w:rPr>
                <w:szCs w:val="22"/>
                <w:lang w:val="el-GR"/>
              </w:rPr>
              <w:t>αυτόλογη</w:t>
            </w:r>
            <w:proofErr w:type="spellEnd"/>
            <w:r w:rsidRPr="00E17D2F">
              <w:rPr>
                <w:szCs w:val="22"/>
                <w:lang w:val="el-GR"/>
              </w:rPr>
              <w:t xml:space="preserve"> μεταμόσχευση μυελού των οστών. Η προκαταρκτική θεραπεία με </w:t>
            </w:r>
            <w:proofErr w:type="spellStart"/>
            <w:r w:rsidRPr="00E17D2F">
              <w:rPr>
                <w:szCs w:val="22"/>
                <w:lang w:val="el-GR"/>
              </w:rPr>
              <w:t>κυκλοφωσφαμίδη</w:t>
            </w:r>
            <w:proofErr w:type="spellEnd"/>
            <w:r w:rsidRPr="00E17D2F">
              <w:rPr>
                <w:szCs w:val="22"/>
                <w:lang w:val="el-GR"/>
              </w:rPr>
              <w:t xml:space="preserve"> μπορεί να μειώσει τη σοβαρότητα </w:t>
            </w:r>
            <w:r w:rsidR="00F569AE" w:rsidRPr="00E17D2F">
              <w:rPr>
                <w:szCs w:val="22"/>
                <w:lang w:val="el-GR"/>
              </w:rPr>
              <w:t>τ</w:t>
            </w:r>
            <w:r w:rsidR="00F569AE">
              <w:rPr>
                <w:szCs w:val="22"/>
                <w:lang w:val="el-GR"/>
              </w:rPr>
              <w:t>ου</w:t>
            </w:r>
            <w:r w:rsidR="00F569AE" w:rsidRPr="00E17D2F">
              <w:rPr>
                <w:szCs w:val="22"/>
                <w:lang w:val="el-GR"/>
              </w:rPr>
              <w:t xml:space="preserve"> επαγόμεν</w:t>
            </w:r>
            <w:r w:rsidR="00F569AE">
              <w:rPr>
                <w:szCs w:val="22"/>
                <w:lang w:val="el-GR"/>
              </w:rPr>
              <w:t>ου</w:t>
            </w:r>
            <w:r w:rsidR="00F569AE" w:rsidRPr="00E17D2F">
              <w:rPr>
                <w:szCs w:val="22"/>
                <w:lang w:val="el-GR"/>
              </w:rPr>
              <w:t xml:space="preserve"> </w:t>
            </w:r>
            <w:r w:rsidR="00F569AE">
              <w:rPr>
                <w:szCs w:val="22"/>
                <w:lang w:val="el-GR"/>
              </w:rPr>
              <w:t xml:space="preserve">από </w:t>
            </w:r>
            <w:proofErr w:type="spellStart"/>
            <w:r w:rsidRPr="00E17D2F">
              <w:rPr>
                <w:szCs w:val="22"/>
                <w:lang w:val="el-GR"/>
              </w:rPr>
              <w:t>μελφαλάνη</w:t>
            </w:r>
            <w:proofErr w:type="spellEnd"/>
            <w:r w:rsidRPr="00E17D2F">
              <w:rPr>
                <w:szCs w:val="22"/>
                <w:lang w:val="el-GR"/>
              </w:rPr>
              <w:t xml:space="preserve">- </w:t>
            </w:r>
            <w:r w:rsidR="00F569AE" w:rsidRPr="00E17D2F">
              <w:rPr>
                <w:szCs w:val="22"/>
                <w:lang w:val="el-GR"/>
              </w:rPr>
              <w:t>γαστρεντερικ</w:t>
            </w:r>
            <w:r w:rsidR="00F569AE">
              <w:rPr>
                <w:szCs w:val="22"/>
                <w:lang w:val="el-GR"/>
              </w:rPr>
              <w:t>ού</w:t>
            </w:r>
            <w:r w:rsidR="00F569AE" w:rsidRPr="00E17D2F">
              <w:rPr>
                <w:szCs w:val="22"/>
                <w:lang w:val="el-GR"/>
              </w:rPr>
              <w:t xml:space="preserve"> τραυματισμ</w:t>
            </w:r>
            <w:r w:rsidR="00F569AE">
              <w:rPr>
                <w:szCs w:val="22"/>
                <w:lang w:val="el-GR"/>
              </w:rPr>
              <w:t>ού</w:t>
            </w:r>
            <w:r w:rsidR="00F569AE" w:rsidRPr="00E17D2F">
              <w:rPr>
                <w:szCs w:val="22"/>
                <w:lang w:val="el-GR"/>
              </w:rPr>
              <w:t xml:space="preserve"> </w:t>
            </w:r>
            <w:r w:rsidR="00A254C8">
              <w:rPr>
                <w:szCs w:val="22"/>
                <w:lang w:val="el-GR"/>
              </w:rPr>
              <w:t>(πρέπει να γίνεται αναφορά στη</w:t>
            </w:r>
            <w:r w:rsidRPr="00E17D2F">
              <w:rPr>
                <w:szCs w:val="22"/>
                <w:lang w:val="el-GR"/>
              </w:rPr>
              <w:t xml:space="preserve"> βιβλιογραφία για λεπτομέρειες).</w:t>
            </w:r>
          </w:p>
        </w:tc>
      </w:tr>
      <w:tr w:rsidR="00061777" w:rsidRPr="0044180F" w14:paraId="6168D0BB" w14:textId="77777777" w:rsidTr="00B47D56">
        <w:tc>
          <w:tcPr>
            <w:tcW w:w="1655" w:type="pct"/>
            <w:tcBorders>
              <w:top w:val="single" w:sz="4" w:space="0" w:color="auto"/>
              <w:left w:val="single" w:sz="4" w:space="0" w:color="auto"/>
              <w:bottom w:val="nil"/>
              <w:right w:val="single" w:sz="4" w:space="0" w:color="auto"/>
            </w:tcBorders>
          </w:tcPr>
          <w:p w14:paraId="10C0700B" w14:textId="4FC174DC" w:rsidR="00061777" w:rsidRPr="00E56986" w:rsidRDefault="00061777" w:rsidP="00B47D56">
            <w:pPr>
              <w:spacing w:after="0"/>
              <w:contextualSpacing/>
              <w:rPr>
                <w:szCs w:val="22"/>
                <w:highlight w:val="red"/>
                <w:lang w:val="el-GR" w:eastAsia="fr-FR"/>
              </w:rPr>
            </w:pPr>
            <w:r>
              <w:rPr>
                <w:bCs/>
                <w:color w:val="000000"/>
                <w:szCs w:val="22"/>
                <w:lang w:val="nl-NL" w:eastAsia="nl-NL"/>
              </w:rPr>
              <w:t>Δ</w:t>
            </w:r>
            <w:r w:rsidRPr="00EB4C7A">
              <w:rPr>
                <w:bCs/>
                <w:color w:val="000000"/>
                <w:szCs w:val="22"/>
                <w:lang w:val="nl-NL" w:eastAsia="nl-NL"/>
              </w:rPr>
              <w:t>ιαταραχές του ήπατος</w:t>
            </w:r>
            <w:r w:rsidR="000B7937">
              <w:rPr>
                <w:bCs/>
                <w:color w:val="000000"/>
                <w:szCs w:val="22"/>
                <w:lang w:val="el-GR" w:eastAsia="nl-NL"/>
              </w:rPr>
              <w:t xml:space="preserve"> και των χοληφόρων</w:t>
            </w:r>
          </w:p>
        </w:tc>
        <w:tc>
          <w:tcPr>
            <w:tcW w:w="836" w:type="pct"/>
            <w:tcBorders>
              <w:top w:val="single" w:sz="4" w:space="0" w:color="auto"/>
              <w:left w:val="single" w:sz="4" w:space="0" w:color="auto"/>
              <w:bottom w:val="single" w:sz="4" w:space="0" w:color="auto"/>
              <w:right w:val="single" w:sz="4" w:space="0" w:color="auto"/>
            </w:tcBorders>
          </w:tcPr>
          <w:p w14:paraId="41970367" w14:textId="2463E705" w:rsidR="00061777" w:rsidRPr="00A254C8" w:rsidRDefault="00061777" w:rsidP="00B47D56">
            <w:pPr>
              <w:spacing w:after="0"/>
              <w:ind w:left="185" w:hanging="185"/>
              <w:contextualSpacing/>
              <w:rPr>
                <w:szCs w:val="22"/>
                <w:lang w:val="el-GR" w:eastAsia="fr-FR"/>
              </w:rPr>
            </w:pPr>
            <w:r w:rsidRPr="00F429A4">
              <w:rPr>
                <w:szCs w:val="22"/>
                <w:lang w:eastAsia="fr-FR"/>
              </w:rPr>
              <w:t>Σπ</w:t>
            </w:r>
            <w:proofErr w:type="spellStart"/>
            <w:r w:rsidRPr="00F429A4">
              <w:rPr>
                <w:szCs w:val="22"/>
                <w:lang w:eastAsia="fr-FR"/>
              </w:rPr>
              <w:t>άνι</w:t>
            </w:r>
            <w:proofErr w:type="spellEnd"/>
            <w:r w:rsidR="00A254C8">
              <w:rPr>
                <w:szCs w:val="22"/>
                <w:lang w:val="el-GR" w:eastAsia="fr-FR"/>
              </w:rPr>
              <w:t>ες</w:t>
            </w:r>
          </w:p>
        </w:tc>
        <w:tc>
          <w:tcPr>
            <w:tcW w:w="2509" w:type="pct"/>
            <w:tcBorders>
              <w:top w:val="single" w:sz="4" w:space="0" w:color="auto"/>
              <w:left w:val="single" w:sz="4" w:space="0" w:color="auto"/>
              <w:bottom w:val="single" w:sz="4" w:space="0" w:color="auto"/>
              <w:right w:val="single" w:sz="4" w:space="0" w:color="auto"/>
            </w:tcBorders>
          </w:tcPr>
          <w:p w14:paraId="596A631A" w14:textId="73A6D132" w:rsidR="00061777" w:rsidRPr="00E17D2F" w:rsidRDefault="007A7163" w:rsidP="007A7163">
            <w:pPr>
              <w:spacing w:after="0"/>
              <w:contextualSpacing/>
              <w:rPr>
                <w:szCs w:val="22"/>
                <w:lang w:val="el-GR" w:eastAsia="fr-FR"/>
              </w:rPr>
            </w:pPr>
            <w:r>
              <w:rPr>
                <w:szCs w:val="22"/>
                <w:lang w:val="el-GR"/>
              </w:rPr>
              <w:t>Η</w:t>
            </w:r>
            <w:r w:rsidR="00061777" w:rsidRPr="00E17D2F">
              <w:rPr>
                <w:szCs w:val="22"/>
                <w:lang w:val="el-GR"/>
              </w:rPr>
              <w:t xml:space="preserve">πατική δυσλειτουργία από </w:t>
            </w:r>
            <w:r w:rsidR="00F569AE" w:rsidRPr="00E17D2F">
              <w:rPr>
                <w:szCs w:val="22"/>
                <w:lang w:val="el-GR"/>
              </w:rPr>
              <w:t>παθολογικ</w:t>
            </w:r>
            <w:r w:rsidR="00F569AE">
              <w:rPr>
                <w:szCs w:val="22"/>
                <w:lang w:val="el-GR"/>
              </w:rPr>
              <w:t>ή</w:t>
            </w:r>
            <w:r w:rsidR="00F569AE" w:rsidRPr="00E17D2F">
              <w:rPr>
                <w:szCs w:val="22"/>
                <w:lang w:val="el-GR"/>
              </w:rPr>
              <w:t xml:space="preserve"> </w:t>
            </w:r>
            <w:r w:rsidR="00061777" w:rsidRPr="00E17D2F">
              <w:rPr>
                <w:szCs w:val="22"/>
                <w:lang w:val="el-GR"/>
              </w:rPr>
              <w:t xml:space="preserve">ηπατική λειτουργία </w:t>
            </w:r>
            <w:r>
              <w:rPr>
                <w:szCs w:val="22"/>
                <w:lang w:val="el-GR"/>
              </w:rPr>
              <w:t>με</w:t>
            </w:r>
            <w:r w:rsidR="00061777" w:rsidRPr="00E17D2F">
              <w:rPr>
                <w:szCs w:val="22"/>
                <w:lang w:val="el-GR"/>
              </w:rPr>
              <w:t xml:space="preserve"> κλινικές εκδηλώσεις, όπως ηπατίτιδα και ίκτερο</w:t>
            </w:r>
            <w:r w:rsidR="00F569AE">
              <w:rPr>
                <w:szCs w:val="22"/>
                <w:lang w:val="el-GR"/>
              </w:rPr>
              <w:t>ς</w:t>
            </w:r>
            <w:r>
              <w:rPr>
                <w:szCs w:val="22"/>
                <w:lang w:val="el-GR"/>
              </w:rPr>
              <w:t>.</w:t>
            </w:r>
            <w:r w:rsidR="00F569AE" w:rsidRPr="00E17D2F">
              <w:rPr>
                <w:szCs w:val="22"/>
                <w:lang w:val="el-GR"/>
              </w:rPr>
              <w:t xml:space="preserve"> </w:t>
            </w:r>
            <w:r>
              <w:rPr>
                <w:szCs w:val="22"/>
                <w:lang w:val="el-GR"/>
              </w:rPr>
              <w:t>Α</w:t>
            </w:r>
            <w:r w:rsidR="00061777" w:rsidRPr="00E17D2F">
              <w:rPr>
                <w:szCs w:val="22"/>
                <w:lang w:val="el-GR"/>
              </w:rPr>
              <w:t>ποφράξεις ηπατικής φλέβας μετά από θεραπεία υψηλής δόσης.</w:t>
            </w:r>
          </w:p>
        </w:tc>
      </w:tr>
      <w:tr w:rsidR="00061777" w:rsidRPr="007A7163" w14:paraId="3191788D" w14:textId="77777777" w:rsidTr="00B47D56">
        <w:trPr>
          <w:trHeight w:val="620"/>
        </w:trPr>
        <w:tc>
          <w:tcPr>
            <w:tcW w:w="1655" w:type="pct"/>
            <w:vMerge w:val="restart"/>
          </w:tcPr>
          <w:p w14:paraId="0D1C928B" w14:textId="77777777" w:rsidR="00061777" w:rsidRPr="00E17D2F" w:rsidRDefault="00061777" w:rsidP="00B47D56">
            <w:pPr>
              <w:spacing w:after="0"/>
              <w:rPr>
                <w:rFonts w:eastAsia="MS Mincho"/>
                <w:szCs w:val="22"/>
                <w:lang w:val="el-GR" w:eastAsia="fr-FR"/>
              </w:rPr>
            </w:pPr>
            <w:r w:rsidRPr="00EB4C7A">
              <w:rPr>
                <w:bCs/>
                <w:color w:val="000000"/>
                <w:szCs w:val="22"/>
                <w:lang w:val="nl-NL" w:eastAsia="nl-NL"/>
              </w:rPr>
              <w:t>Διαταραχές του δέρματος και υποδόριου ιστού</w:t>
            </w:r>
          </w:p>
        </w:tc>
        <w:tc>
          <w:tcPr>
            <w:tcW w:w="836" w:type="pct"/>
          </w:tcPr>
          <w:p w14:paraId="1C2E9499" w14:textId="6F29BADE" w:rsidR="00061777" w:rsidRPr="00A254C8" w:rsidRDefault="00061777" w:rsidP="00B47D56">
            <w:pPr>
              <w:spacing w:after="0"/>
              <w:contextualSpacing/>
              <w:rPr>
                <w:szCs w:val="22"/>
                <w:lang w:val="el-GR" w:eastAsia="fr-FR"/>
              </w:rPr>
            </w:pPr>
            <w:r w:rsidRPr="007A7163">
              <w:rPr>
                <w:szCs w:val="22"/>
                <w:lang w:val="el-GR" w:eastAsia="fr-FR"/>
              </w:rPr>
              <w:t xml:space="preserve">Πολύ </w:t>
            </w:r>
            <w:r w:rsidR="00A254C8">
              <w:rPr>
                <w:szCs w:val="22"/>
                <w:lang w:val="el-GR" w:eastAsia="fr-FR"/>
              </w:rPr>
              <w:t>συχνές</w:t>
            </w:r>
          </w:p>
        </w:tc>
        <w:tc>
          <w:tcPr>
            <w:tcW w:w="2509" w:type="pct"/>
          </w:tcPr>
          <w:p w14:paraId="42076A9A" w14:textId="5ED30623" w:rsidR="00061777" w:rsidRPr="007A7163" w:rsidRDefault="007A7163" w:rsidP="00B47D56">
            <w:pPr>
              <w:spacing w:after="0"/>
              <w:jc w:val="left"/>
              <w:rPr>
                <w:szCs w:val="22"/>
                <w:lang w:val="el-GR" w:eastAsia="fr-FR"/>
              </w:rPr>
            </w:pPr>
            <w:r>
              <w:rPr>
                <w:szCs w:val="22"/>
                <w:lang w:val="el-GR"/>
              </w:rPr>
              <w:t>Τ</w:t>
            </w:r>
            <w:r w:rsidR="00A254C8" w:rsidRPr="007A7163">
              <w:rPr>
                <w:szCs w:val="22"/>
                <w:lang w:val="el-GR"/>
              </w:rPr>
              <w:t>ριχόπτωση</w:t>
            </w:r>
            <w:r w:rsidR="00061777" w:rsidRPr="007A7163">
              <w:rPr>
                <w:szCs w:val="22"/>
                <w:lang w:val="el-GR"/>
              </w:rPr>
              <w:t xml:space="preserve"> με υψηλή δόση.</w:t>
            </w:r>
          </w:p>
        </w:tc>
      </w:tr>
      <w:tr w:rsidR="00061777" w:rsidRPr="007A7163" w14:paraId="592CDEF7" w14:textId="77777777" w:rsidTr="007A7163">
        <w:trPr>
          <w:trHeight w:val="583"/>
        </w:trPr>
        <w:tc>
          <w:tcPr>
            <w:tcW w:w="1655" w:type="pct"/>
            <w:vMerge/>
          </w:tcPr>
          <w:p w14:paraId="34CA9490" w14:textId="77777777" w:rsidR="00061777" w:rsidRDefault="00061777" w:rsidP="00B47D56">
            <w:pPr>
              <w:spacing w:after="0"/>
              <w:rPr>
                <w:bCs/>
                <w:color w:val="000000"/>
                <w:szCs w:val="22"/>
                <w:lang w:val="nl-NL" w:eastAsia="nl-NL"/>
              </w:rPr>
            </w:pPr>
          </w:p>
        </w:tc>
        <w:tc>
          <w:tcPr>
            <w:tcW w:w="836" w:type="pct"/>
          </w:tcPr>
          <w:p w14:paraId="5AB21BE6" w14:textId="02D5E0CD" w:rsidR="00061777" w:rsidRPr="00A254C8" w:rsidRDefault="00A254C8" w:rsidP="00B47D56">
            <w:pPr>
              <w:spacing w:after="0"/>
              <w:contextualSpacing/>
              <w:rPr>
                <w:szCs w:val="22"/>
                <w:lang w:val="el-GR" w:eastAsia="fr-FR"/>
              </w:rPr>
            </w:pPr>
            <w:r>
              <w:rPr>
                <w:szCs w:val="22"/>
                <w:lang w:val="el-GR" w:eastAsia="fr-FR"/>
              </w:rPr>
              <w:t>Συχνές</w:t>
            </w:r>
          </w:p>
        </w:tc>
        <w:tc>
          <w:tcPr>
            <w:tcW w:w="2509" w:type="pct"/>
          </w:tcPr>
          <w:p w14:paraId="7DE51A3F" w14:textId="5AC41759" w:rsidR="00061777" w:rsidRPr="00E17D2F" w:rsidRDefault="007A7163" w:rsidP="00B47D56">
            <w:pPr>
              <w:spacing w:after="0"/>
              <w:jc w:val="left"/>
              <w:rPr>
                <w:szCs w:val="22"/>
                <w:lang w:val="el-GR"/>
              </w:rPr>
            </w:pPr>
            <w:r>
              <w:rPr>
                <w:szCs w:val="22"/>
                <w:lang w:val="el-GR"/>
              </w:rPr>
              <w:t>Τ</w:t>
            </w:r>
            <w:r w:rsidR="00061777" w:rsidRPr="00E17D2F">
              <w:rPr>
                <w:szCs w:val="22"/>
                <w:lang w:val="el-GR"/>
              </w:rPr>
              <w:t>ριχόπτωση σε συμβατική δόση</w:t>
            </w:r>
          </w:p>
        </w:tc>
      </w:tr>
      <w:tr w:rsidR="00061777" w:rsidRPr="00240BBA" w14:paraId="2729B02F" w14:textId="77777777" w:rsidTr="00B47D56">
        <w:trPr>
          <w:trHeight w:val="620"/>
        </w:trPr>
        <w:tc>
          <w:tcPr>
            <w:tcW w:w="1655" w:type="pct"/>
            <w:vMerge/>
            <w:tcBorders>
              <w:bottom w:val="single" w:sz="4" w:space="0" w:color="auto"/>
            </w:tcBorders>
          </w:tcPr>
          <w:p w14:paraId="2972A224" w14:textId="77777777" w:rsidR="00061777" w:rsidRDefault="00061777" w:rsidP="00B47D56">
            <w:pPr>
              <w:spacing w:after="0"/>
              <w:rPr>
                <w:bCs/>
                <w:color w:val="000000"/>
                <w:szCs w:val="22"/>
                <w:lang w:val="nl-NL" w:eastAsia="nl-NL"/>
              </w:rPr>
            </w:pPr>
          </w:p>
        </w:tc>
        <w:tc>
          <w:tcPr>
            <w:tcW w:w="836" w:type="pct"/>
          </w:tcPr>
          <w:p w14:paraId="2DC314F3" w14:textId="288E39DB" w:rsidR="00061777" w:rsidRPr="00A254C8" w:rsidRDefault="00061777" w:rsidP="00B47D56">
            <w:pPr>
              <w:spacing w:after="0"/>
              <w:contextualSpacing/>
              <w:rPr>
                <w:szCs w:val="22"/>
                <w:lang w:val="el-GR" w:eastAsia="fr-FR"/>
              </w:rPr>
            </w:pPr>
            <w:r w:rsidRPr="007A7163">
              <w:rPr>
                <w:szCs w:val="22"/>
                <w:lang w:val="el-GR" w:eastAsia="fr-FR"/>
              </w:rPr>
              <w:t>Σπάν</w:t>
            </w:r>
            <w:r w:rsidRPr="00F429A4">
              <w:rPr>
                <w:szCs w:val="22"/>
                <w:lang w:eastAsia="fr-FR"/>
              </w:rPr>
              <w:t>ι</w:t>
            </w:r>
            <w:r w:rsidR="00A254C8">
              <w:rPr>
                <w:szCs w:val="22"/>
                <w:lang w:val="el-GR" w:eastAsia="fr-FR"/>
              </w:rPr>
              <w:t>ες</w:t>
            </w:r>
          </w:p>
        </w:tc>
        <w:tc>
          <w:tcPr>
            <w:tcW w:w="2509" w:type="pct"/>
          </w:tcPr>
          <w:p w14:paraId="300767E6" w14:textId="0D1D1551" w:rsidR="00061777" w:rsidRPr="00E17D2F" w:rsidRDefault="007A7163" w:rsidP="00B47D56">
            <w:pPr>
              <w:autoSpaceDE w:val="0"/>
              <w:autoSpaceDN w:val="0"/>
              <w:adjustRightInd w:val="0"/>
              <w:spacing w:after="0"/>
              <w:rPr>
                <w:szCs w:val="22"/>
                <w:lang w:val="el-GR"/>
              </w:rPr>
            </w:pPr>
            <w:proofErr w:type="spellStart"/>
            <w:r>
              <w:rPr>
                <w:szCs w:val="22"/>
                <w:lang w:val="el-GR"/>
              </w:rPr>
              <w:t>Κ</w:t>
            </w:r>
            <w:r w:rsidR="00061777" w:rsidRPr="00E17D2F">
              <w:rPr>
                <w:szCs w:val="22"/>
                <w:lang w:val="el-GR"/>
              </w:rPr>
              <w:t>ηλιδοβλατιδώδες</w:t>
            </w:r>
            <w:proofErr w:type="spellEnd"/>
            <w:r w:rsidR="00061777" w:rsidRPr="00E17D2F">
              <w:rPr>
                <w:szCs w:val="22"/>
                <w:lang w:val="el-GR"/>
              </w:rPr>
              <w:t xml:space="preserve"> </w:t>
            </w:r>
            <w:r w:rsidR="00F569AE">
              <w:rPr>
                <w:szCs w:val="22"/>
                <w:lang w:val="el-GR"/>
              </w:rPr>
              <w:t>εξάνθημα</w:t>
            </w:r>
            <w:r w:rsidR="00F569AE" w:rsidRPr="00E17D2F">
              <w:rPr>
                <w:szCs w:val="22"/>
                <w:lang w:val="el-GR"/>
              </w:rPr>
              <w:t xml:space="preserve"> </w:t>
            </w:r>
            <w:r w:rsidR="00061777" w:rsidRPr="00E17D2F">
              <w:rPr>
                <w:szCs w:val="22"/>
                <w:lang w:val="el-GR"/>
              </w:rPr>
              <w:t>και κνησμό</w:t>
            </w:r>
            <w:r w:rsidR="00F569AE">
              <w:rPr>
                <w:szCs w:val="22"/>
                <w:lang w:val="el-GR"/>
              </w:rPr>
              <w:t>ς</w:t>
            </w:r>
            <w:r w:rsidR="00061777" w:rsidRPr="00E17D2F">
              <w:rPr>
                <w:szCs w:val="22"/>
                <w:lang w:val="el-GR"/>
              </w:rPr>
              <w:t xml:space="preserve"> (βλέπε επίσης διαταραχές του ανοσοποιητικού συστήματος).</w:t>
            </w:r>
          </w:p>
        </w:tc>
      </w:tr>
      <w:tr w:rsidR="00061777" w:rsidRPr="00240BBA" w14:paraId="5DE2F0C2" w14:textId="77777777" w:rsidTr="00B47D56">
        <w:trPr>
          <w:trHeight w:val="890"/>
        </w:trPr>
        <w:tc>
          <w:tcPr>
            <w:tcW w:w="1655" w:type="pct"/>
            <w:tcBorders>
              <w:bottom w:val="nil"/>
            </w:tcBorders>
          </w:tcPr>
          <w:p w14:paraId="0558B573" w14:textId="4B44C5BF" w:rsidR="00061777" w:rsidRPr="00E17D2F" w:rsidRDefault="00331A8A" w:rsidP="00B47D56">
            <w:pPr>
              <w:autoSpaceDE w:val="0"/>
              <w:autoSpaceDN w:val="0"/>
              <w:adjustRightInd w:val="0"/>
              <w:spacing w:after="0"/>
              <w:rPr>
                <w:szCs w:val="22"/>
                <w:lang w:val="el-GR"/>
              </w:rPr>
            </w:pPr>
            <w:r>
              <w:rPr>
                <w:szCs w:val="22"/>
                <w:lang w:val="el-GR"/>
              </w:rPr>
              <w:t>Δ</w:t>
            </w:r>
            <w:r w:rsidR="00061777" w:rsidRPr="00E17D2F">
              <w:rPr>
                <w:szCs w:val="22"/>
                <w:lang w:val="el-GR"/>
              </w:rPr>
              <w:t xml:space="preserve">ιαταραχές </w:t>
            </w:r>
            <w:r w:rsidR="000B7937" w:rsidRPr="00E17D2F">
              <w:rPr>
                <w:szCs w:val="22"/>
                <w:lang w:val="el-GR"/>
              </w:rPr>
              <w:t xml:space="preserve">του </w:t>
            </w:r>
            <w:proofErr w:type="spellStart"/>
            <w:r w:rsidR="000B7937" w:rsidRPr="00E17D2F">
              <w:rPr>
                <w:szCs w:val="22"/>
                <w:lang w:val="el-GR"/>
              </w:rPr>
              <w:t>μυοσκελετικού</w:t>
            </w:r>
            <w:proofErr w:type="spellEnd"/>
            <w:r w:rsidR="000B7937" w:rsidRPr="00E17D2F">
              <w:rPr>
                <w:szCs w:val="22"/>
                <w:lang w:val="el-GR"/>
              </w:rPr>
              <w:t xml:space="preserve"> συστήματος </w:t>
            </w:r>
            <w:r w:rsidR="00061777" w:rsidRPr="00E17D2F">
              <w:rPr>
                <w:szCs w:val="22"/>
                <w:lang w:val="el-GR"/>
              </w:rPr>
              <w:t>και</w:t>
            </w:r>
            <w:r w:rsidR="000B7937" w:rsidRPr="00E17D2F">
              <w:rPr>
                <w:szCs w:val="22"/>
                <w:lang w:val="el-GR"/>
              </w:rPr>
              <w:t xml:space="preserve"> του συνδετικού ιστού</w:t>
            </w:r>
          </w:p>
          <w:p w14:paraId="37359CFF" w14:textId="77777777" w:rsidR="00061777" w:rsidRPr="00E17D2F" w:rsidRDefault="00061777" w:rsidP="00B47D56">
            <w:pPr>
              <w:autoSpaceDE w:val="0"/>
              <w:autoSpaceDN w:val="0"/>
              <w:adjustRightInd w:val="0"/>
              <w:spacing w:after="0"/>
              <w:rPr>
                <w:szCs w:val="22"/>
                <w:lang w:val="el-GR"/>
              </w:rPr>
            </w:pPr>
            <w:r w:rsidRPr="00E17D2F">
              <w:rPr>
                <w:szCs w:val="22"/>
                <w:lang w:val="el-GR"/>
              </w:rPr>
              <w:t>(Μετά από παρεντερική χορήγηση για την περιφερειακή αιμάτωση των άκρων)</w:t>
            </w:r>
          </w:p>
        </w:tc>
        <w:tc>
          <w:tcPr>
            <w:tcW w:w="836" w:type="pct"/>
          </w:tcPr>
          <w:p w14:paraId="1ED4C086" w14:textId="06D5F8EB" w:rsidR="00061777" w:rsidRPr="00A254C8" w:rsidRDefault="00061777" w:rsidP="00B47D56">
            <w:pPr>
              <w:spacing w:after="0"/>
              <w:contextualSpacing/>
              <w:rPr>
                <w:szCs w:val="22"/>
                <w:highlight w:val="yellow"/>
                <w:lang w:val="el-GR" w:eastAsia="fr-FR"/>
              </w:rPr>
            </w:pPr>
            <w:proofErr w:type="spellStart"/>
            <w:r w:rsidRPr="00F429A4">
              <w:rPr>
                <w:szCs w:val="22"/>
                <w:lang w:eastAsia="fr-FR"/>
              </w:rPr>
              <w:t>Πολύ</w:t>
            </w:r>
            <w:proofErr w:type="spellEnd"/>
            <w:r w:rsidRPr="00F429A4">
              <w:rPr>
                <w:szCs w:val="22"/>
                <w:lang w:eastAsia="fr-FR"/>
              </w:rPr>
              <w:t xml:space="preserve"> </w:t>
            </w:r>
            <w:r w:rsidR="00A254C8">
              <w:rPr>
                <w:szCs w:val="22"/>
                <w:lang w:val="el-GR" w:eastAsia="fr-FR"/>
              </w:rPr>
              <w:t>συχνές</w:t>
            </w:r>
          </w:p>
        </w:tc>
        <w:tc>
          <w:tcPr>
            <w:tcW w:w="2509" w:type="pct"/>
          </w:tcPr>
          <w:p w14:paraId="62EA9F02" w14:textId="10F5D657" w:rsidR="00061777" w:rsidRPr="00E17D2F" w:rsidRDefault="007A7163" w:rsidP="00B47D56">
            <w:pPr>
              <w:spacing w:after="0"/>
              <w:contextualSpacing/>
              <w:rPr>
                <w:rFonts w:eastAsia="MS Mincho"/>
                <w:szCs w:val="22"/>
                <w:highlight w:val="yellow"/>
                <w:lang w:val="el-GR" w:eastAsia="fr-FR"/>
              </w:rPr>
            </w:pPr>
            <w:r>
              <w:rPr>
                <w:szCs w:val="22"/>
                <w:lang w:val="el-GR"/>
              </w:rPr>
              <w:t>Μ</w:t>
            </w:r>
            <w:r w:rsidR="00061777" w:rsidRPr="00E17D2F">
              <w:rPr>
                <w:szCs w:val="22"/>
                <w:lang w:val="el-GR"/>
              </w:rPr>
              <w:t xml:space="preserve">υϊκή ατροφία, μυϊκή </w:t>
            </w:r>
            <w:proofErr w:type="spellStart"/>
            <w:r w:rsidR="00061777" w:rsidRPr="00E17D2F">
              <w:rPr>
                <w:szCs w:val="22"/>
                <w:lang w:val="el-GR"/>
              </w:rPr>
              <w:t>ίνωση</w:t>
            </w:r>
            <w:proofErr w:type="spellEnd"/>
            <w:r w:rsidR="00061777" w:rsidRPr="00E17D2F">
              <w:rPr>
                <w:szCs w:val="22"/>
                <w:lang w:val="el-GR"/>
              </w:rPr>
              <w:t xml:space="preserve">, μυαλγία, αύξηση της </w:t>
            </w:r>
            <w:proofErr w:type="spellStart"/>
            <w:r w:rsidR="00061777" w:rsidRPr="00E17D2F">
              <w:rPr>
                <w:szCs w:val="22"/>
                <w:lang w:val="el-GR"/>
              </w:rPr>
              <w:t>φωσφοκινάσης</w:t>
            </w:r>
            <w:proofErr w:type="spellEnd"/>
            <w:r w:rsidR="00F569AE">
              <w:rPr>
                <w:szCs w:val="22"/>
                <w:lang w:val="el-GR"/>
              </w:rPr>
              <w:t xml:space="preserve"> της κρ</w:t>
            </w:r>
            <w:r w:rsidR="00CC2D6A">
              <w:rPr>
                <w:szCs w:val="22"/>
                <w:lang w:val="el-GR"/>
              </w:rPr>
              <w:t>ε</w:t>
            </w:r>
            <w:r w:rsidR="00F569AE">
              <w:rPr>
                <w:szCs w:val="22"/>
                <w:lang w:val="el-GR"/>
              </w:rPr>
              <w:t>ατινίνης</w:t>
            </w:r>
            <w:r w:rsidR="00061777" w:rsidRPr="00E17D2F">
              <w:rPr>
                <w:szCs w:val="22"/>
                <w:lang w:val="el-GR"/>
              </w:rPr>
              <w:t xml:space="preserve"> στο αίμα.</w:t>
            </w:r>
          </w:p>
        </w:tc>
      </w:tr>
      <w:tr w:rsidR="00061777" w:rsidRPr="00A11B6B" w14:paraId="217F1881" w14:textId="77777777" w:rsidTr="00B47D56">
        <w:trPr>
          <w:trHeight w:val="332"/>
        </w:trPr>
        <w:tc>
          <w:tcPr>
            <w:tcW w:w="1655" w:type="pct"/>
            <w:tcBorders>
              <w:top w:val="nil"/>
              <w:bottom w:val="nil"/>
            </w:tcBorders>
          </w:tcPr>
          <w:p w14:paraId="663B24EE" w14:textId="77777777" w:rsidR="00061777" w:rsidRPr="00E17D2F" w:rsidRDefault="00061777" w:rsidP="00B47D56">
            <w:pPr>
              <w:spacing w:after="0"/>
              <w:rPr>
                <w:szCs w:val="22"/>
                <w:lang w:val="el-GR" w:eastAsia="fr-FR"/>
              </w:rPr>
            </w:pPr>
          </w:p>
        </w:tc>
        <w:tc>
          <w:tcPr>
            <w:tcW w:w="836" w:type="pct"/>
          </w:tcPr>
          <w:p w14:paraId="0604B23B" w14:textId="6163AD35" w:rsidR="00061777" w:rsidRPr="00A254C8" w:rsidRDefault="00A254C8" w:rsidP="00B47D56">
            <w:pPr>
              <w:spacing w:after="0"/>
              <w:contextualSpacing/>
              <w:rPr>
                <w:szCs w:val="22"/>
                <w:lang w:val="el-GR" w:eastAsia="fr-FR"/>
              </w:rPr>
            </w:pPr>
            <w:r>
              <w:rPr>
                <w:szCs w:val="22"/>
                <w:lang w:val="el-GR" w:eastAsia="fr-FR"/>
              </w:rPr>
              <w:t>Συχνές</w:t>
            </w:r>
          </w:p>
        </w:tc>
        <w:tc>
          <w:tcPr>
            <w:tcW w:w="2509" w:type="pct"/>
          </w:tcPr>
          <w:p w14:paraId="7D3626E5" w14:textId="2AB21784" w:rsidR="00061777" w:rsidRPr="00A254C8" w:rsidRDefault="00331A8A" w:rsidP="00B47D56">
            <w:pPr>
              <w:spacing w:after="0"/>
              <w:contextualSpacing/>
              <w:rPr>
                <w:szCs w:val="22"/>
                <w:lang w:val="el-GR" w:eastAsia="fr-FR"/>
              </w:rPr>
            </w:pPr>
            <w:r>
              <w:rPr>
                <w:bCs/>
                <w:color w:val="000000"/>
                <w:szCs w:val="22"/>
                <w:lang w:val="el-GR" w:eastAsia="nl-NL"/>
              </w:rPr>
              <w:t xml:space="preserve">Σύνδρομο </w:t>
            </w:r>
            <w:proofErr w:type="spellStart"/>
            <w:r>
              <w:rPr>
                <w:bCs/>
                <w:color w:val="000000"/>
                <w:szCs w:val="22"/>
                <w:lang w:val="el-GR" w:eastAsia="nl-NL"/>
              </w:rPr>
              <w:t>διαμερισμάτος</w:t>
            </w:r>
            <w:proofErr w:type="spellEnd"/>
          </w:p>
        </w:tc>
      </w:tr>
      <w:tr w:rsidR="00061777" w:rsidRPr="00A11B6B" w14:paraId="575D7D69" w14:textId="77777777" w:rsidTr="00B47D56">
        <w:trPr>
          <w:trHeight w:val="368"/>
        </w:trPr>
        <w:tc>
          <w:tcPr>
            <w:tcW w:w="1655" w:type="pct"/>
            <w:tcBorders>
              <w:top w:val="nil"/>
              <w:bottom w:val="single" w:sz="4" w:space="0" w:color="auto"/>
            </w:tcBorders>
          </w:tcPr>
          <w:p w14:paraId="23DBC357" w14:textId="77777777" w:rsidR="00061777" w:rsidRPr="00A11B6B" w:rsidRDefault="00061777" w:rsidP="00B47D56">
            <w:pPr>
              <w:spacing w:after="0"/>
              <w:rPr>
                <w:szCs w:val="22"/>
                <w:lang w:eastAsia="fr-FR"/>
              </w:rPr>
            </w:pPr>
          </w:p>
        </w:tc>
        <w:tc>
          <w:tcPr>
            <w:tcW w:w="836" w:type="pct"/>
          </w:tcPr>
          <w:p w14:paraId="40E1961B" w14:textId="3B494F16" w:rsidR="00061777" w:rsidRPr="007A7163" w:rsidRDefault="007A7163" w:rsidP="00B47D56">
            <w:pPr>
              <w:spacing w:after="0"/>
              <w:contextualSpacing/>
              <w:rPr>
                <w:szCs w:val="22"/>
                <w:lang w:val="el-GR" w:eastAsia="fr-FR"/>
              </w:rPr>
            </w:pPr>
            <w:r>
              <w:rPr>
                <w:szCs w:val="22"/>
                <w:lang w:val="el-GR" w:eastAsia="fr-FR"/>
              </w:rPr>
              <w:t>Μη γνωστές</w:t>
            </w:r>
          </w:p>
        </w:tc>
        <w:tc>
          <w:tcPr>
            <w:tcW w:w="2509" w:type="pct"/>
          </w:tcPr>
          <w:p w14:paraId="294857D0" w14:textId="034EDE9A" w:rsidR="00061777" w:rsidRPr="00A11B6B" w:rsidRDefault="007A7163" w:rsidP="00B47D56">
            <w:pPr>
              <w:spacing w:after="0"/>
              <w:contextualSpacing/>
              <w:rPr>
                <w:rFonts w:eastAsia="MS Mincho"/>
                <w:szCs w:val="22"/>
                <w:lang w:eastAsia="fr-FR"/>
              </w:rPr>
            </w:pPr>
            <w:r>
              <w:rPr>
                <w:szCs w:val="22"/>
                <w:lang w:val="el-GR"/>
              </w:rPr>
              <w:t>Μ</w:t>
            </w:r>
            <w:proofErr w:type="spellStart"/>
            <w:r w:rsidR="00061777" w:rsidRPr="00EB4C7A">
              <w:rPr>
                <w:szCs w:val="22"/>
                <w:lang w:val="en-IN"/>
              </w:rPr>
              <w:t>υϊκή</w:t>
            </w:r>
            <w:proofErr w:type="spellEnd"/>
            <w:r w:rsidR="00061777" w:rsidRPr="00EB4C7A">
              <w:rPr>
                <w:szCs w:val="22"/>
                <w:lang w:val="en-IN"/>
              </w:rPr>
              <w:t xml:space="preserve"> </w:t>
            </w:r>
            <w:proofErr w:type="spellStart"/>
            <w:r w:rsidR="00061777" w:rsidRPr="00EB4C7A">
              <w:rPr>
                <w:szCs w:val="22"/>
                <w:lang w:val="en-IN"/>
              </w:rPr>
              <w:t>νέκρωση</w:t>
            </w:r>
            <w:proofErr w:type="spellEnd"/>
            <w:r w:rsidR="00061777" w:rsidRPr="00EB4C7A">
              <w:rPr>
                <w:szCs w:val="22"/>
                <w:lang w:val="en-IN"/>
              </w:rPr>
              <w:t>, ραβ</w:t>
            </w:r>
            <w:proofErr w:type="spellStart"/>
            <w:r w:rsidR="00061777" w:rsidRPr="00EB4C7A">
              <w:rPr>
                <w:szCs w:val="22"/>
                <w:lang w:val="en-IN"/>
              </w:rPr>
              <w:t>δομυόλυση</w:t>
            </w:r>
            <w:proofErr w:type="spellEnd"/>
            <w:r w:rsidR="00061777" w:rsidRPr="00EB4C7A">
              <w:rPr>
                <w:szCs w:val="22"/>
                <w:lang w:val="en-IN"/>
              </w:rPr>
              <w:t>.</w:t>
            </w:r>
          </w:p>
        </w:tc>
      </w:tr>
      <w:tr w:rsidR="00061777" w:rsidRPr="00240BBA" w14:paraId="7044D277" w14:textId="77777777" w:rsidTr="00B47D56">
        <w:trPr>
          <w:trHeight w:val="435"/>
        </w:trPr>
        <w:tc>
          <w:tcPr>
            <w:tcW w:w="1655" w:type="pct"/>
            <w:tcBorders>
              <w:top w:val="single" w:sz="4" w:space="0" w:color="auto"/>
              <w:bottom w:val="single" w:sz="4" w:space="0" w:color="auto"/>
            </w:tcBorders>
          </w:tcPr>
          <w:p w14:paraId="38A0FD7C" w14:textId="77777777" w:rsidR="00061777" w:rsidRPr="00E17D2F" w:rsidRDefault="00061777" w:rsidP="00B47D56">
            <w:pPr>
              <w:spacing w:after="0"/>
              <w:rPr>
                <w:szCs w:val="22"/>
                <w:lang w:val="el-GR" w:eastAsia="fr-FR"/>
              </w:rPr>
            </w:pPr>
            <w:r w:rsidRPr="00EB4C7A">
              <w:rPr>
                <w:bCs/>
                <w:color w:val="000000"/>
                <w:szCs w:val="22"/>
                <w:lang w:val="nl-NL" w:eastAsia="nl-NL"/>
              </w:rPr>
              <w:t>Διαταραχές των νεφρών και των ουροφόρων οδών</w:t>
            </w:r>
          </w:p>
        </w:tc>
        <w:tc>
          <w:tcPr>
            <w:tcW w:w="836" w:type="pct"/>
          </w:tcPr>
          <w:p w14:paraId="13295DCF" w14:textId="3C6875AB" w:rsidR="00061777" w:rsidRPr="00A254C8" w:rsidRDefault="00A254C8" w:rsidP="00B47D56">
            <w:pPr>
              <w:spacing w:after="0"/>
              <w:contextualSpacing/>
              <w:rPr>
                <w:szCs w:val="22"/>
                <w:lang w:val="el-GR" w:eastAsia="fr-FR"/>
              </w:rPr>
            </w:pPr>
            <w:r>
              <w:rPr>
                <w:szCs w:val="22"/>
                <w:lang w:val="el-GR" w:eastAsia="fr-FR"/>
              </w:rPr>
              <w:t>Συχνές</w:t>
            </w:r>
          </w:p>
        </w:tc>
        <w:tc>
          <w:tcPr>
            <w:tcW w:w="2509" w:type="pct"/>
          </w:tcPr>
          <w:p w14:paraId="350086EC" w14:textId="068BA5B6" w:rsidR="00061777" w:rsidRPr="00E17D2F" w:rsidRDefault="00A254C8" w:rsidP="004C771A">
            <w:pPr>
              <w:spacing w:after="0"/>
              <w:contextualSpacing/>
              <w:rPr>
                <w:rFonts w:eastAsia="MS Mincho"/>
                <w:szCs w:val="22"/>
                <w:lang w:val="el-GR" w:eastAsia="fr-FR"/>
              </w:rPr>
            </w:pPr>
            <w:r>
              <w:rPr>
                <w:szCs w:val="22"/>
                <w:lang w:val="el-GR"/>
              </w:rPr>
              <w:t>Παροδικά</w:t>
            </w:r>
            <w:r w:rsidR="00061777" w:rsidRPr="00E17D2F">
              <w:rPr>
                <w:szCs w:val="22"/>
                <w:lang w:val="el-GR"/>
              </w:rPr>
              <w:t xml:space="preserve"> σημαντικά αυξημένα επίπεδα ουρίας στο αίμα </w:t>
            </w:r>
            <w:r w:rsidR="00F569AE">
              <w:rPr>
                <w:szCs w:val="22"/>
                <w:lang w:val="el-GR"/>
              </w:rPr>
              <w:t>υπό θεραπεία</w:t>
            </w:r>
            <w:r w:rsidR="00061777" w:rsidRPr="00E17D2F">
              <w:rPr>
                <w:szCs w:val="22"/>
                <w:lang w:val="el-GR"/>
              </w:rPr>
              <w:t xml:space="preserve"> </w:t>
            </w:r>
            <w:proofErr w:type="spellStart"/>
            <w:r w:rsidR="00061777" w:rsidRPr="00E17D2F">
              <w:rPr>
                <w:szCs w:val="22"/>
                <w:lang w:val="el-GR"/>
              </w:rPr>
              <w:t>μελφαλάνη</w:t>
            </w:r>
            <w:r w:rsidR="00F569AE">
              <w:rPr>
                <w:szCs w:val="22"/>
                <w:lang w:val="el-GR"/>
              </w:rPr>
              <w:t>ς</w:t>
            </w:r>
            <w:proofErr w:type="spellEnd"/>
            <w:r w:rsidR="00061777" w:rsidRPr="00E17D2F">
              <w:rPr>
                <w:szCs w:val="22"/>
                <w:lang w:val="el-GR"/>
              </w:rPr>
              <w:t xml:space="preserve"> κατά τη διάρκεια των πρώτων κύκλων των ασθενών </w:t>
            </w:r>
            <w:r w:rsidR="00F569AE" w:rsidRPr="00E17D2F">
              <w:rPr>
                <w:szCs w:val="22"/>
                <w:lang w:val="el-GR"/>
              </w:rPr>
              <w:t xml:space="preserve">με </w:t>
            </w:r>
            <w:proofErr w:type="spellStart"/>
            <w:r w:rsidR="00F569AE" w:rsidRPr="00E17D2F">
              <w:rPr>
                <w:szCs w:val="22"/>
                <w:lang w:val="el-GR"/>
              </w:rPr>
              <w:t>πολλαπλ</w:t>
            </w:r>
            <w:r>
              <w:rPr>
                <w:szCs w:val="22"/>
                <w:lang w:val="el-GR"/>
              </w:rPr>
              <w:t>ούν</w:t>
            </w:r>
            <w:proofErr w:type="spellEnd"/>
            <w:r w:rsidR="00F569AE" w:rsidRPr="00E17D2F">
              <w:rPr>
                <w:szCs w:val="22"/>
                <w:lang w:val="el-GR"/>
              </w:rPr>
              <w:t xml:space="preserve"> </w:t>
            </w:r>
            <w:proofErr w:type="spellStart"/>
            <w:r w:rsidR="00F569AE" w:rsidRPr="00E17D2F">
              <w:rPr>
                <w:szCs w:val="22"/>
                <w:lang w:val="el-GR"/>
              </w:rPr>
              <w:t>μυέλωμα</w:t>
            </w:r>
            <w:proofErr w:type="spellEnd"/>
            <w:r w:rsidR="00F569AE" w:rsidRPr="00E17D2F">
              <w:rPr>
                <w:szCs w:val="22"/>
                <w:lang w:val="el-GR"/>
              </w:rPr>
              <w:t xml:space="preserve"> </w:t>
            </w:r>
            <w:r w:rsidR="00F569AE">
              <w:rPr>
                <w:szCs w:val="22"/>
                <w:lang w:val="el-GR"/>
              </w:rPr>
              <w:t>και</w:t>
            </w:r>
            <w:r w:rsidR="00F569AE" w:rsidRPr="00E17D2F">
              <w:rPr>
                <w:szCs w:val="22"/>
                <w:lang w:val="el-GR"/>
              </w:rPr>
              <w:t xml:space="preserve"> </w:t>
            </w:r>
            <w:r w:rsidR="00061777" w:rsidRPr="00E17D2F">
              <w:rPr>
                <w:szCs w:val="22"/>
                <w:lang w:val="el-GR"/>
              </w:rPr>
              <w:t>νεφρική</w:t>
            </w:r>
            <w:r w:rsidR="00CC2D6A">
              <w:rPr>
                <w:szCs w:val="22"/>
                <w:lang w:val="el-GR"/>
              </w:rPr>
              <w:t xml:space="preserve"> </w:t>
            </w:r>
            <w:r w:rsidR="004C771A">
              <w:rPr>
                <w:szCs w:val="22"/>
                <w:lang w:val="el-GR"/>
              </w:rPr>
              <w:t>δυσλειτουργία</w:t>
            </w:r>
            <w:r w:rsidR="00061777" w:rsidRPr="00E17D2F">
              <w:rPr>
                <w:szCs w:val="22"/>
                <w:lang w:val="el-GR"/>
              </w:rPr>
              <w:t>.</w:t>
            </w:r>
          </w:p>
        </w:tc>
      </w:tr>
      <w:tr w:rsidR="00061777" w:rsidRPr="00240BBA" w14:paraId="18E1C382" w14:textId="77777777" w:rsidTr="00B47D56">
        <w:trPr>
          <w:trHeight w:val="125"/>
        </w:trPr>
        <w:tc>
          <w:tcPr>
            <w:tcW w:w="1655" w:type="pct"/>
            <w:tcBorders>
              <w:top w:val="single" w:sz="4" w:space="0" w:color="auto"/>
              <w:bottom w:val="single" w:sz="4" w:space="0" w:color="auto"/>
            </w:tcBorders>
          </w:tcPr>
          <w:p w14:paraId="1B4B0B0E" w14:textId="77777777" w:rsidR="00061777" w:rsidRPr="00A11B6B" w:rsidRDefault="00061777" w:rsidP="00B47D56">
            <w:pPr>
              <w:spacing w:after="0"/>
              <w:rPr>
                <w:bCs/>
                <w:color w:val="000000"/>
                <w:szCs w:val="22"/>
                <w:lang w:val="nl-NL" w:eastAsia="nl-NL"/>
              </w:rPr>
            </w:pPr>
            <w:r>
              <w:rPr>
                <w:bCs/>
                <w:color w:val="000000"/>
                <w:szCs w:val="22"/>
                <w:lang w:val="nl-NL" w:eastAsia="nl-NL"/>
              </w:rPr>
              <w:t xml:space="preserve">Αναπαραγωγικό </w:t>
            </w:r>
            <w:r w:rsidRPr="00EB4C7A">
              <w:rPr>
                <w:bCs/>
                <w:color w:val="000000"/>
                <w:szCs w:val="22"/>
                <w:lang w:val="nl-NL" w:eastAsia="nl-NL"/>
              </w:rPr>
              <w:t xml:space="preserve">Σύστημα και διαταραχές του μαστού </w:t>
            </w:r>
          </w:p>
        </w:tc>
        <w:tc>
          <w:tcPr>
            <w:tcW w:w="836" w:type="pct"/>
            <w:tcBorders>
              <w:bottom w:val="single" w:sz="4" w:space="0" w:color="auto"/>
            </w:tcBorders>
          </w:tcPr>
          <w:p w14:paraId="28F3DA40" w14:textId="7730367B" w:rsidR="00061777" w:rsidRPr="00A254C8" w:rsidRDefault="00A254C8" w:rsidP="00B47D56">
            <w:pPr>
              <w:spacing w:after="0"/>
              <w:contextualSpacing/>
              <w:rPr>
                <w:szCs w:val="22"/>
                <w:lang w:val="el-GR" w:eastAsia="fr-FR"/>
              </w:rPr>
            </w:pPr>
            <w:r>
              <w:rPr>
                <w:szCs w:val="22"/>
                <w:lang w:val="el-GR" w:eastAsia="fr-FR"/>
              </w:rPr>
              <w:t>Συχνές</w:t>
            </w:r>
          </w:p>
        </w:tc>
        <w:tc>
          <w:tcPr>
            <w:tcW w:w="2509" w:type="pct"/>
            <w:tcBorders>
              <w:bottom w:val="single" w:sz="4" w:space="0" w:color="auto"/>
            </w:tcBorders>
          </w:tcPr>
          <w:p w14:paraId="2E088BA3" w14:textId="77777777" w:rsidR="00061777" w:rsidRPr="00A11B6B" w:rsidRDefault="00061777" w:rsidP="00B47D56">
            <w:pPr>
              <w:spacing w:after="0"/>
              <w:contextualSpacing/>
              <w:rPr>
                <w:bCs/>
                <w:iCs/>
                <w:color w:val="000000"/>
                <w:szCs w:val="22"/>
                <w:lang w:val="nl-NL" w:eastAsia="nl-NL"/>
              </w:rPr>
            </w:pPr>
            <w:proofErr w:type="spellStart"/>
            <w:r w:rsidRPr="00E17D2F">
              <w:rPr>
                <w:szCs w:val="22"/>
                <w:lang w:val="el-GR"/>
              </w:rPr>
              <w:t>Αζωοσπερμία</w:t>
            </w:r>
            <w:proofErr w:type="spellEnd"/>
            <w:r w:rsidRPr="00E17D2F">
              <w:rPr>
                <w:szCs w:val="22"/>
                <w:lang w:val="el-GR"/>
              </w:rPr>
              <w:t xml:space="preserve"> και αμηνόρροια (βλέπε παράγραφο 4.4)</w:t>
            </w:r>
          </w:p>
        </w:tc>
      </w:tr>
      <w:tr w:rsidR="00061777" w:rsidRPr="00240BBA" w14:paraId="7EBA07BA" w14:textId="77777777" w:rsidTr="00B47D56">
        <w:trPr>
          <w:trHeight w:val="125"/>
        </w:trPr>
        <w:tc>
          <w:tcPr>
            <w:tcW w:w="1655" w:type="pct"/>
            <w:tcBorders>
              <w:top w:val="single" w:sz="4" w:space="0" w:color="auto"/>
              <w:bottom w:val="single" w:sz="4" w:space="0" w:color="auto"/>
            </w:tcBorders>
          </w:tcPr>
          <w:p w14:paraId="28161D28" w14:textId="77777777" w:rsidR="00061777" w:rsidRDefault="00061777" w:rsidP="00B47D56">
            <w:pPr>
              <w:spacing w:after="0"/>
              <w:rPr>
                <w:bCs/>
                <w:color w:val="000000"/>
                <w:szCs w:val="22"/>
                <w:lang w:val="nl-NL" w:eastAsia="nl-NL"/>
              </w:rPr>
            </w:pPr>
            <w:r w:rsidRPr="00EB4C7A">
              <w:rPr>
                <w:bCs/>
                <w:color w:val="000000"/>
                <w:szCs w:val="22"/>
                <w:lang w:val="nl-NL" w:eastAsia="nl-NL"/>
              </w:rPr>
              <w:t xml:space="preserve">Γενικές διαταραχές και καταστάσεις της οδού </w:t>
            </w:r>
            <w:r w:rsidRPr="00EB4C7A">
              <w:rPr>
                <w:bCs/>
                <w:color w:val="000000"/>
                <w:szCs w:val="22"/>
                <w:lang w:val="nl-NL" w:eastAsia="nl-NL"/>
              </w:rPr>
              <w:lastRenderedPageBreak/>
              <w:t>χορήγησης</w:t>
            </w:r>
          </w:p>
        </w:tc>
        <w:tc>
          <w:tcPr>
            <w:tcW w:w="836" w:type="pct"/>
            <w:tcBorders>
              <w:bottom w:val="single" w:sz="4" w:space="0" w:color="auto"/>
            </w:tcBorders>
          </w:tcPr>
          <w:p w14:paraId="73695395" w14:textId="560AD2C6" w:rsidR="00061777" w:rsidRPr="00A254C8" w:rsidRDefault="00061777" w:rsidP="00B47D56">
            <w:pPr>
              <w:spacing w:after="0"/>
              <w:contextualSpacing/>
              <w:rPr>
                <w:szCs w:val="22"/>
                <w:lang w:val="el-GR" w:eastAsia="fr-FR"/>
              </w:rPr>
            </w:pPr>
            <w:proofErr w:type="spellStart"/>
            <w:r w:rsidRPr="00F429A4">
              <w:rPr>
                <w:szCs w:val="22"/>
                <w:lang w:eastAsia="fr-FR"/>
              </w:rPr>
              <w:lastRenderedPageBreak/>
              <w:t>Πολύ</w:t>
            </w:r>
            <w:proofErr w:type="spellEnd"/>
            <w:r w:rsidRPr="00F429A4">
              <w:rPr>
                <w:szCs w:val="22"/>
                <w:lang w:eastAsia="fr-FR"/>
              </w:rPr>
              <w:t xml:space="preserve"> </w:t>
            </w:r>
            <w:r w:rsidR="00A254C8">
              <w:rPr>
                <w:szCs w:val="22"/>
                <w:lang w:val="el-GR" w:eastAsia="fr-FR"/>
              </w:rPr>
              <w:t>συχνές</w:t>
            </w:r>
          </w:p>
        </w:tc>
        <w:tc>
          <w:tcPr>
            <w:tcW w:w="2509" w:type="pct"/>
            <w:tcBorders>
              <w:bottom w:val="single" w:sz="4" w:space="0" w:color="auto"/>
            </w:tcBorders>
          </w:tcPr>
          <w:p w14:paraId="2AB862FB" w14:textId="14E2E698" w:rsidR="00061777" w:rsidRPr="00E17D2F" w:rsidRDefault="00061777" w:rsidP="00B47D56">
            <w:pPr>
              <w:autoSpaceDE w:val="0"/>
              <w:autoSpaceDN w:val="0"/>
              <w:adjustRightInd w:val="0"/>
              <w:spacing w:after="0"/>
              <w:rPr>
                <w:szCs w:val="22"/>
                <w:lang w:val="el-GR"/>
              </w:rPr>
            </w:pPr>
            <w:r w:rsidRPr="00E17D2F">
              <w:rPr>
                <w:szCs w:val="22"/>
                <w:lang w:val="el-GR"/>
              </w:rPr>
              <w:t>Υποκειμενικ</w:t>
            </w:r>
            <w:r w:rsidR="00A254C8">
              <w:rPr>
                <w:szCs w:val="22"/>
                <w:lang w:val="el-GR"/>
              </w:rPr>
              <w:t>ή</w:t>
            </w:r>
            <w:r w:rsidRPr="00E17D2F">
              <w:rPr>
                <w:szCs w:val="22"/>
                <w:lang w:val="el-GR"/>
              </w:rPr>
              <w:t xml:space="preserve"> και παροδική αίσθηση θερμότητας ή / και μυρμηκίαση μετά τη </w:t>
            </w:r>
            <w:r w:rsidRPr="00E17D2F">
              <w:rPr>
                <w:szCs w:val="22"/>
                <w:lang w:val="el-GR"/>
              </w:rPr>
              <w:lastRenderedPageBreak/>
              <w:t xml:space="preserve">χορήγηση υψηλών δόσεων της </w:t>
            </w:r>
            <w:proofErr w:type="spellStart"/>
            <w:r w:rsidRPr="00E17D2F">
              <w:rPr>
                <w:szCs w:val="22"/>
                <w:lang w:val="el-GR"/>
              </w:rPr>
              <w:t>μελφαλάνης</w:t>
            </w:r>
            <w:proofErr w:type="spellEnd"/>
            <w:r w:rsidRPr="00E17D2F">
              <w:rPr>
                <w:szCs w:val="22"/>
                <w:lang w:val="el-GR"/>
              </w:rPr>
              <w:t xml:space="preserve"> μέσω ενός κεντρικού φλεβικού καθετήρα.</w:t>
            </w:r>
          </w:p>
        </w:tc>
      </w:tr>
    </w:tbl>
    <w:p w14:paraId="41C774E3" w14:textId="77777777" w:rsidR="00061777" w:rsidRPr="00E17D2F" w:rsidRDefault="00061777" w:rsidP="00061777">
      <w:pPr>
        <w:autoSpaceDE w:val="0"/>
        <w:autoSpaceDN w:val="0"/>
        <w:adjustRightInd w:val="0"/>
        <w:spacing w:after="0"/>
        <w:rPr>
          <w:szCs w:val="22"/>
          <w:lang w:val="el-GR"/>
        </w:rPr>
      </w:pPr>
    </w:p>
    <w:p w14:paraId="6813D2A1" w14:textId="77777777" w:rsidR="001361B5" w:rsidRDefault="001361B5" w:rsidP="001361B5">
      <w:pPr>
        <w:autoSpaceDE w:val="0"/>
        <w:autoSpaceDN w:val="0"/>
        <w:adjustRightInd w:val="0"/>
        <w:rPr>
          <w:noProof/>
          <w:szCs w:val="22"/>
          <w:u w:val="single"/>
          <w:lang w:val="el-GR"/>
        </w:rPr>
      </w:pPr>
    </w:p>
    <w:p w14:paraId="7EE19DCB" w14:textId="77777777" w:rsidR="001361B5" w:rsidRDefault="001361B5" w:rsidP="001361B5">
      <w:pPr>
        <w:autoSpaceDE w:val="0"/>
        <w:autoSpaceDN w:val="0"/>
        <w:adjustRightInd w:val="0"/>
        <w:rPr>
          <w:noProof/>
          <w:szCs w:val="22"/>
          <w:u w:val="single"/>
          <w:lang w:val="el-GR"/>
        </w:rPr>
      </w:pPr>
    </w:p>
    <w:p w14:paraId="3D6DD0E4" w14:textId="77777777" w:rsidR="001361B5" w:rsidRDefault="001361B5" w:rsidP="001361B5">
      <w:pPr>
        <w:autoSpaceDE w:val="0"/>
        <w:autoSpaceDN w:val="0"/>
        <w:adjustRightInd w:val="0"/>
        <w:rPr>
          <w:noProof/>
          <w:szCs w:val="22"/>
          <w:u w:val="single"/>
          <w:lang w:val="el-GR"/>
        </w:rPr>
      </w:pPr>
    </w:p>
    <w:p w14:paraId="5468BF6D" w14:textId="306F6B22" w:rsidR="001361B5" w:rsidRPr="001361B5" w:rsidRDefault="001361B5" w:rsidP="001361B5">
      <w:pPr>
        <w:autoSpaceDE w:val="0"/>
        <w:autoSpaceDN w:val="0"/>
        <w:adjustRightInd w:val="0"/>
        <w:rPr>
          <w:szCs w:val="22"/>
          <w:u w:val="single"/>
          <w:lang w:val="el-GR"/>
        </w:rPr>
      </w:pPr>
      <w:r w:rsidRPr="001361B5">
        <w:rPr>
          <w:noProof/>
          <w:szCs w:val="22"/>
          <w:u w:val="single"/>
          <w:lang w:val="el-GR"/>
        </w:rPr>
        <w:t>Αναφορά πιθανολογούμενων ανεπιθύμητων ενεργειών</w:t>
      </w:r>
    </w:p>
    <w:p w14:paraId="4EE34217" w14:textId="1F4A5C2B" w:rsidR="005A7E70" w:rsidRPr="005A7E70" w:rsidRDefault="00F934CA" w:rsidP="001361B5">
      <w:pPr>
        <w:tabs>
          <w:tab w:val="left" w:pos="567"/>
        </w:tabs>
        <w:rPr>
          <w:rFonts w:eastAsia="Calibri"/>
          <w:color w:val="0000FF"/>
          <w:szCs w:val="22"/>
          <w:u w:val="single"/>
          <w:lang w:val="el-GR" w:eastAsia="zh-CN"/>
        </w:rPr>
      </w:pPr>
      <w:r w:rsidRPr="00E56986">
        <w:rPr>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E56986">
        <w:rPr>
          <w:noProof/>
          <w:szCs w:val="22"/>
          <w:lang w:val="el-GR"/>
        </w:rPr>
        <w:t>.</w:t>
      </w:r>
      <w:r w:rsidRPr="00E56986">
        <w:rPr>
          <w:szCs w:val="22"/>
          <w:lang w:val="el-GR"/>
        </w:rPr>
        <w:t xml:space="preserve"> Επιτρέπει τη συνεχή παρακολούθηση της σχέσης οφέλους-κινδύνου του φαρμακευτικού προϊόντος</w:t>
      </w:r>
      <w:r w:rsidRPr="00E56986">
        <w:rPr>
          <w:noProof/>
          <w:szCs w:val="22"/>
          <w:lang w:val="el-GR"/>
        </w:rPr>
        <w:t>.</w:t>
      </w:r>
      <w:r w:rsidRPr="00E56986">
        <w:rPr>
          <w:szCs w:val="22"/>
          <w:lang w:val="el-GR"/>
        </w:rPr>
        <w:t xml:space="preserve"> Ζητείται από τους επαγγελματίες υγείας </w:t>
      </w:r>
      <w:r w:rsidR="005A7E70">
        <w:rPr>
          <w:szCs w:val="22"/>
          <w:lang w:val="el-GR"/>
        </w:rPr>
        <w:t xml:space="preserve">του τομέα της υγειονομικής περίθαλψης </w:t>
      </w:r>
      <w:r w:rsidRPr="00E56986">
        <w:rPr>
          <w:szCs w:val="22"/>
          <w:lang w:val="el-GR"/>
        </w:rPr>
        <w:t xml:space="preserve">να αναφέρουν οποιεσδήποτε πιθανολογούμενες ανεπιθύμητες ενέργειες </w:t>
      </w:r>
      <w:r w:rsidR="005A7E70" w:rsidRPr="00023DFD">
        <w:rPr>
          <w:rStyle w:val="A10"/>
          <w:color w:val="auto"/>
          <w:sz w:val="22"/>
          <w:szCs w:val="22"/>
          <w:lang w:val="el-GR"/>
        </w:rPr>
        <w:t xml:space="preserve">για την Ελλάδα </w:t>
      </w:r>
      <w:r w:rsidR="005A7E70" w:rsidRPr="00023DFD">
        <w:rPr>
          <w:rFonts w:eastAsia="Calibri"/>
          <w:szCs w:val="22"/>
          <w:lang w:val="el-GR" w:eastAsia="zh-CN"/>
        </w:rPr>
        <w:t xml:space="preserve">στον </w:t>
      </w:r>
      <w:r w:rsidR="005A7E70" w:rsidRPr="00023DFD">
        <w:rPr>
          <w:rFonts w:eastAsia="Calibri"/>
          <w:noProof/>
          <w:szCs w:val="22"/>
          <w:lang w:val="el-GR" w:eastAsia="zh-CN"/>
        </w:rPr>
        <w:t xml:space="preserve">Εθνικό Οργανισμό Φαρμάκων, Μεσογείων 284, </w:t>
      </w:r>
      <w:r w:rsidR="005A7E70" w:rsidRPr="005A7E70">
        <w:rPr>
          <w:rFonts w:eastAsia="Calibri"/>
          <w:noProof/>
          <w:szCs w:val="22"/>
          <w:lang w:eastAsia="zh-CN"/>
        </w:rPr>
        <w:t>GR</w:t>
      </w:r>
      <w:r w:rsidR="005A7E70" w:rsidRPr="00023DFD">
        <w:rPr>
          <w:rFonts w:eastAsia="Calibri"/>
          <w:noProof/>
          <w:szCs w:val="22"/>
          <w:lang w:val="el-GR" w:eastAsia="zh-CN"/>
        </w:rPr>
        <w:t xml:space="preserve">-15562 Χολαργός, Αθήνα, Τηλ: + 30 </w:t>
      </w:r>
      <w:r w:rsidR="005A7E70" w:rsidRPr="00023DFD">
        <w:rPr>
          <w:rFonts w:eastAsia="Calibri"/>
          <w:szCs w:val="22"/>
          <w:lang w:val="el-GR" w:eastAsia="zh-CN"/>
        </w:rPr>
        <w:t>21 32040380/337, Φαξ</w:t>
      </w:r>
      <w:r w:rsidR="005A7E70" w:rsidRPr="00023DFD">
        <w:rPr>
          <w:rFonts w:eastAsia="Calibri"/>
          <w:noProof/>
          <w:szCs w:val="22"/>
          <w:lang w:val="el-GR" w:eastAsia="zh-CN"/>
        </w:rPr>
        <w:t xml:space="preserve">: + 30 </w:t>
      </w:r>
      <w:r w:rsidR="005A7E70" w:rsidRPr="00023DFD">
        <w:rPr>
          <w:rFonts w:eastAsia="Calibri"/>
          <w:szCs w:val="22"/>
          <w:lang w:val="el-GR" w:eastAsia="zh-CN"/>
        </w:rPr>
        <w:t xml:space="preserve">21 06549585, </w:t>
      </w:r>
      <w:proofErr w:type="spellStart"/>
      <w:r w:rsidR="005A7E70" w:rsidRPr="00023DFD">
        <w:rPr>
          <w:rFonts w:eastAsia="Calibri"/>
          <w:szCs w:val="22"/>
          <w:lang w:val="el-GR" w:eastAsia="zh-CN"/>
        </w:rPr>
        <w:t>Ιστότοπος</w:t>
      </w:r>
      <w:proofErr w:type="spellEnd"/>
      <w:r w:rsidR="005A7E70" w:rsidRPr="00023DFD">
        <w:rPr>
          <w:rFonts w:eastAsia="Calibri"/>
          <w:noProof/>
          <w:szCs w:val="22"/>
          <w:lang w:val="el-GR" w:eastAsia="zh-CN"/>
        </w:rPr>
        <w:t xml:space="preserve">: </w:t>
      </w:r>
      <w:hyperlink r:id="rId9" w:history="1">
        <w:r w:rsidR="005A7E70" w:rsidRPr="005A7E70">
          <w:rPr>
            <w:rFonts w:eastAsia="Calibri"/>
            <w:color w:val="0000FF"/>
            <w:szCs w:val="22"/>
            <w:u w:val="single"/>
            <w:lang w:eastAsia="zh-CN"/>
          </w:rPr>
          <w:t>http</w:t>
        </w:r>
        <w:r w:rsidR="005A7E70" w:rsidRPr="00023DFD">
          <w:rPr>
            <w:rFonts w:eastAsia="Calibri"/>
            <w:color w:val="0000FF"/>
            <w:szCs w:val="22"/>
            <w:u w:val="single"/>
            <w:lang w:val="el-GR" w:eastAsia="zh-CN"/>
          </w:rPr>
          <w:t>://</w:t>
        </w:r>
        <w:r w:rsidR="005A7E70" w:rsidRPr="005A7E70">
          <w:rPr>
            <w:rFonts w:eastAsia="Calibri"/>
            <w:color w:val="0000FF"/>
            <w:szCs w:val="22"/>
            <w:u w:val="single"/>
            <w:lang w:eastAsia="zh-CN"/>
          </w:rPr>
          <w:t>www</w:t>
        </w:r>
        <w:r w:rsidR="005A7E70" w:rsidRPr="00023DFD">
          <w:rPr>
            <w:rFonts w:eastAsia="Calibri"/>
            <w:color w:val="0000FF"/>
            <w:szCs w:val="22"/>
            <w:u w:val="single"/>
            <w:lang w:val="el-GR" w:eastAsia="zh-CN"/>
          </w:rPr>
          <w:t>.</w:t>
        </w:r>
        <w:r w:rsidR="005A7E70" w:rsidRPr="005A7E70">
          <w:rPr>
            <w:rFonts w:eastAsia="Calibri"/>
            <w:color w:val="0000FF"/>
            <w:szCs w:val="22"/>
            <w:u w:val="single"/>
            <w:lang w:eastAsia="zh-CN"/>
          </w:rPr>
          <w:t>eof</w:t>
        </w:r>
        <w:r w:rsidR="005A7E70" w:rsidRPr="00023DFD">
          <w:rPr>
            <w:rFonts w:eastAsia="Calibri"/>
            <w:color w:val="0000FF"/>
            <w:szCs w:val="22"/>
            <w:u w:val="single"/>
            <w:lang w:val="el-GR" w:eastAsia="zh-CN"/>
          </w:rPr>
          <w:t>.</w:t>
        </w:r>
        <w:r w:rsidR="005A7E70" w:rsidRPr="005A7E70">
          <w:rPr>
            <w:rFonts w:eastAsia="Calibri"/>
            <w:color w:val="0000FF"/>
            <w:szCs w:val="22"/>
            <w:u w:val="single"/>
            <w:lang w:eastAsia="zh-CN"/>
          </w:rPr>
          <w:t>gr</w:t>
        </w:r>
      </w:hyperlink>
      <w:r w:rsidR="005A7E70" w:rsidRPr="00023DFD">
        <w:rPr>
          <w:rFonts w:eastAsia="Calibri"/>
          <w:szCs w:val="22"/>
          <w:lang w:val="el-GR" w:eastAsia="zh-CN"/>
        </w:rPr>
        <w:t xml:space="preserve"> </w:t>
      </w:r>
      <w:r w:rsidR="005A7E70" w:rsidRPr="00023DFD">
        <w:rPr>
          <w:rStyle w:val="A10"/>
          <w:color w:val="auto"/>
          <w:sz w:val="22"/>
          <w:szCs w:val="22"/>
          <w:lang w:val="el-GR"/>
        </w:rPr>
        <w:t xml:space="preserve">και για την Κύπρο στις Φαρμακευτικές Υπηρεσίες, Υπουργείο Υγείας, </w:t>
      </w:r>
      <w:r w:rsidR="005A7E70" w:rsidRPr="00023DFD">
        <w:rPr>
          <w:rStyle w:val="A10"/>
          <w:color w:val="auto"/>
          <w:sz w:val="22"/>
          <w:szCs w:val="22"/>
        </w:rPr>
        <w:t>CY</w:t>
      </w:r>
      <w:r w:rsidR="005A7E70" w:rsidRPr="00023DFD">
        <w:rPr>
          <w:rStyle w:val="A10"/>
          <w:color w:val="auto"/>
          <w:sz w:val="22"/>
          <w:szCs w:val="22"/>
          <w:lang w:val="el-GR"/>
        </w:rPr>
        <w:noBreakHyphen/>
        <w:t>1475</w:t>
      </w:r>
      <w:r w:rsidR="005A7E70" w:rsidRPr="00023DFD">
        <w:rPr>
          <w:rStyle w:val="A10"/>
          <w:color w:val="auto"/>
          <w:sz w:val="22"/>
          <w:szCs w:val="22"/>
        </w:rPr>
        <w:t> </w:t>
      </w:r>
      <w:r w:rsidR="005A7E70" w:rsidRPr="00023DFD">
        <w:rPr>
          <w:rStyle w:val="A10"/>
          <w:color w:val="auto"/>
          <w:sz w:val="22"/>
          <w:szCs w:val="22"/>
          <w:lang w:val="el-GR"/>
        </w:rPr>
        <w:t>Λευκωσία, Φαξ: +</w:t>
      </w:r>
      <w:r w:rsidR="005A7E70" w:rsidRPr="00023DFD">
        <w:rPr>
          <w:rStyle w:val="A10"/>
          <w:color w:val="auto"/>
          <w:sz w:val="22"/>
          <w:szCs w:val="22"/>
        </w:rPr>
        <w:t> </w:t>
      </w:r>
      <w:r w:rsidR="005A7E70" w:rsidRPr="00023DFD">
        <w:rPr>
          <w:rStyle w:val="A10"/>
          <w:color w:val="auto"/>
          <w:sz w:val="22"/>
          <w:szCs w:val="22"/>
          <w:lang w:val="el-GR"/>
        </w:rPr>
        <w:t>357</w:t>
      </w:r>
      <w:r w:rsidR="005A7E70" w:rsidRPr="00023DFD">
        <w:rPr>
          <w:rStyle w:val="A10"/>
          <w:color w:val="auto"/>
          <w:sz w:val="22"/>
          <w:szCs w:val="22"/>
        </w:rPr>
        <w:t> </w:t>
      </w:r>
      <w:r w:rsidR="005A7E70" w:rsidRPr="00023DFD">
        <w:rPr>
          <w:rStyle w:val="A10"/>
          <w:color w:val="auto"/>
          <w:sz w:val="22"/>
          <w:szCs w:val="22"/>
          <w:lang w:val="el-GR"/>
        </w:rPr>
        <w:t xml:space="preserve">22608649, </w:t>
      </w:r>
      <w:proofErr w:type="spellStart"/>
      <w:r w:rsidR="005A7E70" w:rsidRPr="00023DFD">
        <w:rPr>
          <w:rStyle w:val="A10"/>
          <w:color w:val="auto"/>
          <w:sz w:val="22"/>
          <w:szCs w:val="22"/>
          <w:lang w:val="el-GR"/>
        </w:rPr>
        <w:t>Ιστότοπος</w:t>
      </w:r>
      <w:proofErr w:type="spellEnd"/>
      <w:r w:rsidR="005A7E70" w:rsidRPr="00023DFD">
        <w:rPr>
          <w:rStyle w:val="A10"/>
          <w:color w:val="auto"/>
          <w:sz w:val="22"/>
          <w:szCs w:val="22"/>
          <w:lang w:val="el-GR"/>
        </w:rPr>
        <w:t xml:space="preserve">: </w:t>
      </w:r>
      <w:hyperlink r:id="rId10" w:history="1">
        <w:r w:rsidR="005A7E70" w:rsidRPr="005A7E70">
          <w:rPr>
            <w:rStyle w:val="-"/>
            <w:szCs w:val="22"/>
          </w:rPr>
          <w:t>www</w:t>
        </w:r>
        <w:r w:rsidR="005A7E70" w:rsidRPr="00023DFD">
          <w:rPr>
            <w:rStyle w:val="-"/>
            <w:szCs w:val="22"/>
            <w:lang w:val="el-GR"/>
          </w:rPr>
          <w:t>.</w:t>
        </w:r>
        <w:r w:rsidR="005A7E70" w:rsidRPr="005A7E70">
          <w:rPr>
            <w:rStyle w:val="-"/>
            <w:szCs w:val="22"/>
          </w:rPr>
          <w:t>moh</w:t>
        </w:r>
        <w:r w:rsidR="005A7E70" w:rsidRPr="00023DFD">
          <w:rPr>
            <w:rStyle w:val="-"/>
            <w:szCs w:val="22"/>
            <w:lang w:val="el-GR"/>
          </w:rPr>
          <w:t>.</w:t>
        </w:r>
        <w:r w:rsidR="005A7E70" w:rsidRPr="005A7E70">
          <w:rPr>
            <w:rStyle w:val="-"/>
            <w:szCs w:val="22"/>
          </w:rPr>
          <w:t>gov</w:t>
        </w:r>
        <w:r w:rsidR="005A7E70" w:rsidRPr="00023DFD">
          <w:rPr>
            <w:rStyle w:val="-"/>
            <w:szCs w:val="22"/>
            <w:lang w:val="el-GR"/>
          </w:rPr>
          <w:t>.</w:t>
        </w:r>
        <w:r w:rsidR="005A7E70" w:rsidRPr="005A7E70">
          <w:rPr>
            <w:rStyle w:val="-"/>
            <w:szCs w:val="22"/>
          </w:rPr>
          <w:t>cy</w:t>
        </w:r>
        <w:r w:rsidR="005A7E70" w:rsidRPr="00023DFD">
          <w:rPr>
            <w:rStyle w:val="-"/>
            <w:szCs w:val="22"/>
            <w:lang w:val="el-GR"/>
          </w:rPr>
          <w:t>/</w:t>
        </w:r>
        <w:proofErr w:type="spellStart"/>
        <w:r w:rsidR="005A7E70" w:rsidRPr="005A7E70">
          <w:rPr>
            <w:rStyle w:val="-"/>
            <w:szCs w:val="22"/>
          </w:rPr>
          <w:t>phs</w:t>
        </w:r>
        <w:proofErr w:type="spellEnd"/>
      </w:hyperlink>
      <w:r w:rsidR="005A7E70" w:rsidRPr="00023DFD">
        <w:rPr>
          <w:szCs w:val="22"/>
          <w:lang w:val="el-GR"/>
        </w:rPr>
        <w:t>.</w:t>
      </w:r>
      <w:r w:rsidR="005A7E70" w:rsidRPr="005A7E70">
        <w:rPr>
          <w:szCs w:val="22"/>
          <w:lang w:val="el-GR"/>
        </w:rPr>
        <w:t xml:space="preserve"> </w:t>
      </w:r>
    </w:p>
    <w:p w14:paraId="544DBCDB" w14:textId="77777777" w:rsidR="005A7E70" w:rsidRDefault="005A7E70" w:rsidP="001361B5">
      <w:pPr>
        <w:tabs>
          <w:tab w:val="left" w:pos="567"/>
        </w:tabs>
        <w:rPr>
          <w:rFonts w:eastAsia="Calibri"/>
          <w:color w:val="0000FF"/>
          <w:szCs w:val="22"/>
          <w:u w:val="single"/>
          <w:lang w:val="el-GR" w:eastAsia="zh-CN"/>
        </w:rPr>
      </w:pPr>
    </w:p>
    <w:p w14:paraId="3A699218" w14:textId="02BEA555" w:rsidR="005A7E70" w:rsidRPr="001361B5" w:rsidRDefault="005A7E70" w:rsidP="001361B5">
      <w:pPr>
        <w:tabs>
          <w:tab w:val="left" w:pos="567"/>
        </w:tabs>
        <w:rPr>
          <w:szCs w:val="22"/>
          <w:lang w:val="el-GR"/>
        </w:rPr>
      </w:pPr>
    </w:p>
    <w:p w14:paraId="4D7A209F" w14:textId="0332CDE1" w:rsidR="00061777" w:rsidRPr="00F13243" w:rsidRDefault="00F13243" w:rsidP="001361B5">
      <w:pPr>
        <w:autoSpaceDE w:val="0"/>
        <w:autoSpaceDN w:val="0"/>
        <w:adjustRightInd w:val="0"/>
        <w:rPr>
          <w:b/>
          <w:lang w:val="el-GR"/>
        </w:rPr>
      </w:pPr>
      <w:r w:rsidRPr="00F13243">
        <w:rPr>
          <w:b/>
          <w:lang w:val="el-GR"/>
        </w:rPr>
        <w:t>4.9</w:t>
      </w:r>
      <w:r w:rsidRPr="00F13243">
        <w:rPr>
          <w:b/>
          <w:lang w:val="el-GR"/>
        </w:rPr>
        <w:tab/>
      </w:r>
      <w:proofErr w:type="spellStart"/>
      <w:r w:rsidR="00970FC6" w:rsidRPr="00F13243">
        <w:rPr>
          <w:b/>
          <w:lang w:val="el-GR"/>
        </w:rPr>
        <w:t>Υπερδοσολογ</w:t>
      </w:r>
      <w:r w:rsidR="00F934CA" w:rsidRPr="00F13243">
        <w:rPr>
          <w:b/>
          <w:lang w:val="el-GR"/>
        </w:rPr>
        <w:t>ί</w:t>
      </w:r>
      <w:r w:rsidR="00970FC6" w:rsidRPr="00F13243">
        <w:rPr>
          <w:b/>
          <w:lang w:val="el-GR"/>
        </w:rPr>
        <w:t>α</w:t>
      </w:r>
      <w:proofErr w:type="spellEnd"/>
    </w:p>
    <w:p w14:paraId="61425791" w14:textId="3437B045" w:rsidR="00061777" w:rsidRPr="00E17D2F" w:rsidRDefault="00061777" w:rsidP="00061777">
      <w:pPr>
        <w:rPr>
          <w:noProof/>
          <w:lang w:val="el-GR"/>
        </w:rPr>
      </w:pPr>
      <w:r w:rsidRPr="00E17D2F">
        <w:rPr>
          <w:noProof/>
          <w:lang w:val="el-GR"/>
        </w:rPr>
        <w:t xml:space="preserve">Τα άμεσα αποτελέσματα της οξείας ενδοφλέβιας υπερδοσολογίας είναι ναυτία και έμετος. </w:t>
      </w:r>
      <w:r w:rsidR="00A254C8">
        <w:rPr>
          <w:noProof/>
          <w:lang w:val="el-GR"/>
        </w:rPr>
        <w:t>Έ</w:t>
      </w:r>
      <w:r w:rsidR="00F934CA" w:rsidRPr="00E17D2F">
        <w:rPr>
          <w:noProof/>
          <w:lang w:val="el-GR"/>
        </w:rPr>
        <w:t xml:space="preserve">χει αναφερθεί </w:t>
      </w:r>
      <w:r w:rsidR="00A254C8" w:rsidRPr="00E17D2F">
        <w:rPr>
          <w:noProof/>
          <w:lang w:val="el-GR"/>
        </w:rPr>
        <w:t xml:space="preserve">μετά από υπερδοσολογία </w:t>
      </w:r>
      <w:r w:rsidR="00A254C8">
        <w:rPr>
          <w:noProof/>
          <w:lang w:val="el-GR"/>
        </w:rPr>
        <w:t>β</w:t>
      </w:r>
      <w:r w:rsidR="007A7163">
        <w:rPr>
          <w:noProof/>
          <w:lang w:val="el-GR"/>
        </w:rPr>
        <w:t>λάβη στο γαστρ</w:t>
      </w:r>
      <w:r w:rsidRPr="00E17D2F">
        <w:rPr>
          <w:noProof/>
          <w:lang w:val="el-GR"/>
        </w:rPr>
        <w:t xml:space="preserve">εντερικό βλεννογόνο </w:t>
      </w:r>
      <w:r w:rsidR="00A254C8">
        <w:rPr>
          <w:noProof/>
          <w:lang w:val="el-GR"/>
        </w:rPr>
        <w:t xml:space="preserve">καθώς </w:t>
      </w:r>
      <w:r w:rsidRPr="00E17D2F">
        <w:rPr>
          <w:noProof/>
          <w:lang w:val="el-GR"/>
        </w:rPr>
        <w:t>επίσης και διάρ</w:t>
      </w:r>
      <w:r w:rsidR="007E3849">
        <w:rPr>
          <w:noProof/>
          <w:lang w:val="el-GR"/>
        </w:rPr>
        <w:t>ροια, μερικές φορές αιμορραγική</w:t>
      </w:r>
      <w:r w:rsidRPr="00E17D2F">
        <w:rPr>
          <w:noProof/>
          <w:lang w:val="el-GR"/>
        </w:rPr>
        <w:t>. Η κύρια τοξική επίδραση είναι η καταστολή του μυελού των οστών, που οδηγεί σε λευκοπενία, θρομβοκυτταροπενία και αναιμία.</w:t>
      </w:r>
    </w:p>
    <w:p w14:paraId="49262D6B" w14:textId="269CDD1A" w:rsidR="00061777" w:rsidRPr="00E17D2F" w:rsidRDefault="00061777" w:rsidP="00061777">
      <w:pPr>
        <w:rPr>
          <w:noProof/>
          <w:lang w:val="el-GR"/>
        </w:rPr>
      </w:pPr>
      <w:r w:rsidRPr="00E17D2F">
        <w:rPr>
          <w:noProof/>
          <w:lang w:val="el-GR"/>
        </w:rPr>
        <w:t xml:space="preserve">Γενικά υποστηρικτικά μέτρα, σε συνδυασμό με την κατάλληλη </w:t>
      </w:r>
      <w:r w:rsidR="00F934CA" w:rsidRPr="00E17D2F">
        <w:rPr>
          <w:noProof/>
          <w:lang w:val="el-GR"/>
        </w:rPr>
        <w:t>μεταγγίσ</w:t>
      </w:r>
      <w:r w:rsidR="00F934CA">
        <w:rPr>
          <w:noProof/>
          <w:lang w:val="el-GR"/>
        </w:rPr>
        <w:t>η</w:t>
      </w:r>
      <w:r w:rsidR="00F934CA" w:rsidRPr="00E17D2F">
        <w:rPr>
          <w:noProof/>
          <w:lang w:val="el-GR"/>
        </w:rPr>
        <w:t xml:space="preserve"> </w:t>
      </w:r>
      <w:r w:rsidRPr="00E17D2F">
        <w:rPr>
          <w:noProof/>
          <w:lang w:val="el-GR"/>
        </w:rPr>
        <w:t xml:space="preserve">αίματος και αιμοπεταλίων, θα πρέπει να συσταθεί αν </w:t>
      </w:r>
      <w:r w:rsidR="00F934CA">
        <w:rPr>
          <w:noProof/>
          <w:lang w:val="el-GR"/>
        </w:rPr>
        <w:t>απαιτείται</w:t>
      </w:r>
      <w:r w:rsidR="00F934CA" w:rsidRPr="00E17D2F">
        <w:rPr>
          <w:noProof/>
          <w:lang w:val="el-GR"/>
        </w:rPr>
        <w:t xml:space="preserve"> </w:t>
      </w:r>
      <w:r w:rsidRPr="00E17D2F">
        <w:rPr>
          <w:noProof/>
          <w:lang w:val="el-GR"/>
        </w:rPr>
        <w:t xml:space="preserve">και να εξεταστεί </w:t>
      </w:r>
      <w:r w:rsidR="00F934CA">
        <w:rPr>
          <w:noProof/>
          <w:lang w:val="el-GR"/>
        </w:rPr>
        <w:t xml:space="preserve">το ενδεχόμενο </w:t>
      </w:r>
      <w:r w:rsidR="007A7163">
        <w:rPr>
          <w:noProof/>
          <w:lang w:val="el-GR"/>
        </w:rPr>
        <w:t>νοσηλείας</w:t>
      </w:r>
      <w:r w:rsidR="00F934CA">
        <w:rPr>
          <w:noProof/>
          <w:lang w:val="el-GR"/>
        </w:rPr>
        <w:t xml:space="preserve"> σε νοσοκομείο</w:t>
      </w:r>
      <w:r w:rsidRPr="00E17D2F">
        <w:rPr>
          <w:noProof/>
          <w:lang w:val="el-GR"/>
        </w:rPr>
        <w:t>, αντιβιοτική</w:t>
      </w:r>
      <w:r w:rsidR="00F934CA">
        <w:rPr>
          <w:noProof/>
          <w:lang w:val="el-GR"/>
        </w:rPr>
        <w:t>ς</w:t>
      </w:r>
      <w:r w:rsidRPr="00E17D2F">
        <w:rPr>
          <w:noProof/>
          <w:lang w:val="el-GR"/>
        </w:rPr>
        <w:t xml:space="preserve"> κάλυψη</w:t>
      </w:r>
      <w:r w:rsidR="00F934CA">
        <w:rPr>
          <w:noProof/>
          <w:lang w:val="el-GR"/>
        </w:rPr>
        <w:t>ς</w:t>
      </w:r>
      <w:r w:rsidR="004B0BEF">
        <w:rPr>
          <w:noProof/>
          <w:lang w:val="el-GR"/>
        </w:rPr>
        <w:t xml:space="preserve"> και</w:t>
      </w:r>
      <w:r w:rsidRPr="00E17D2F">
        <w:rPr>
          <w:noProof/>
          <w:lang w:val="el-GR"/>
        </w:rPr>
        <w:t xml:space="preserve"> χρήση</w:t>
      </w:r>
      <w:r w:rsidR="00F934CA">
        <w:rPr>
          <w:noProof/>
          <w:lang w:val="el-GR"/>
        </w:rPr>
        <w:t>ς</w:t>
      </w:r>
      <w:r w:rsidRPr="00E17D2F">
        <w:rPr>
          <w:noProof/>
          <w:lang w:val="el-GR"/>
        </w:rPr>
        <w:t xml:space="preserve"> </w:t>
      </w:r>
      <w:r w:rsidR="007A7163">
        <w:rPr>
          <w:noProof/>
          <w:lang w:val="el-GR"/>
        </w:rPr>
        <w:t xml:space="preserve">αιμοπιητικών </w:t>
      </w:r>
      <w:r w:rsidRPr="00E17D2F">
        <w:rPr>
          <w:noProof/>
          <w:lang w:val="el-GR"/>
        </w:rPr>
        <w:t>αυξητικών παραγόντων.</w:t>
      </w:r>
    </w:p>
    <w:p w14:paraId="58A9303F" w14:textId="69AA5053" w:rsidR="00061777" w:rsidRPr="00E17D2F" w:rsidRDefault="00061777" w:rsidP="00061777">
      <w:pPr>
        <w:rPr>
          <w:lang w:val="el-GR"/>
        </w:rPr>
      </w:pPr>
      <w:r w:rsidRPr="00E17D2F">
        <w:rPr>
          <w:noProof/>
          <w:lang w:val="el-GR"/>
        </w:rPr>
        <w:t xml:space="preserve">Δεν υπάρχει ειδικό αντίδοτο. </w:t>
      </w:r>
      <w:r w:rsidR="001873DF">
        <w:rPr>
          <w:noProof/>
          <w:lang w:val="el-GR"/>
        </w:rPr>
        <w:t>Η αιματολογική εικόνα</w:t>
      </w:r>
      <w:r w:rsidRPr="00E17D2F">
        <w:rPr>
          <w:noProof/>
          <w:lang w:val="el-GR"/>
        </w:rPr>
        <w:t xml:space="preserve"> θα πρέπει να </w:t>
      </w:r>
      <w:r w:rsidR="00F934CA" w:rsidRPr="00E17D2F">
        <w:rPr>
          <w:noProof/>
          <w:lang w:val="el-GR"/>
        </w:rPr>
        <w:t>παρακολουθ</w:t>
      </w:r>
      <w:r w:rsidR="00F934CA">
        <w:rPr>
          <w:noProof/>
          <w:lang w:val="el-GR"/>
        </w:rPr>
        <w:t>είται</w:t>
      </w:r>
      <w:r w:rsidR="00F934CA" w:rsidRPr="00E17D2F">
        <w:rPr>
          <w:noProof/>
          <w:lang w:val="el-GR"/>
        </w:rPr>
        <w:t xml:space="preserve"> </w:t>
      </w:r>
      <w:r w:rsidRPr="00E17D2F">
        <w:rPr>
          <w:noProof/>
          <w:lang w:val="el-GR"/>
        </w:rPr>
        <w:t xml:space="preserve">στενά για τουλάχιστον τέσσερις εβδομάδες μετά από </w:t>
      </w:r>
      <w:r w:rsidR="001873DF">
        <w:rPr>
          <w:noProof/>
          <w:lang w:val="el-GR"/>
        </w:rPr>
        <w:t>υπερδοσολογία</w:t>
      </w:r>
      <w:r w:rsidRPr="00E17D2F">
        <w:rPr>
          <w:noProof/>
          <w:lang w:val="el-GR"/>
        </w:rPr>
        <w:t xml:space="preserve"> μέχρι να υπάρχουν ενδείξεις ανάκαμψης.</w:t>
      </w:r>
    </w:p>
    <w:p w14:paraId="6DACBA93" w14:textId="77777777" w:rsidR="00061777" w:rsidRDefault="00061777" w:rsidP="00061777">
      <w:pPr>
        <w:pStyle w:val="1"/>
      </w:pPr>
      <w:r w:rsidRPr="00E50C3F">
        <w:t>ΦΑΡΜΑΚΟΛΟΓΙΚΕΣ ΙΔΙΟΤΗΤΕΣ</w:t>
      </w:r>
    </w:p>
    <w:p w14:paraId="167E8381" w14:textId="77777777" w:rsidR="00061777" w:rsidRDefault="00061777" w:rsidP="00061777">
      <w:pPr>
        <w:pStyle w:val="2"/>
      </w:pPr>
      <w:r w:rsidRPr="00E50C3F">
        <w:t>Φα</w:t>
      </w:r>
      <w:proofErr w:type="spellStart"/>
      <w:r w:rsidRPr="00E50C3F">
        <w:t>ρμ</w:t>
      </w:r>
      <w:proofErr w:type="spellEnd"/>
      <w:r w:rsidRPr="00E50C3F">
        <w:t xml:space="preserve">ακοδυναμικές </w:t>
      </w:r>
      <w:proofErr w:type="spellStart"/>
      <w:r w:rsidRPr="00E50C3F">
        <w:t>ιδιότητες</w:t>
      </w:r>
      <w:proofErr w:type="spellEnd"/>
    </w:p>
    <w:p w14:paraId="49CDFE57" w14:textId="04D91D92" w:rsidR="004B0BEF" w:rsidRPr="00A917CA" w:rsidRDefault="004B0BEF" w:rsidP="004B0BEF">
      <w:pPr>
        <w:spacing w:after="0"/>
        <w:jc w:val="left"/>
        <w:rPr>
          <w:szCs w:val="22"/>
          <w:lang w:val="el-GR"/>
        </w:rPr>
      </w:pPr>
      <w:proofErr w:type="spellStart"/>
      <w:r w:rsidRPr="00A917CA">
        <w:rPr>
          <w:szCs w:val="22"/>
          <w:lang w:val="el-GR"/>
        </w:rPr>
        <w:t>Φαρμακοθεραπευτική</w:t>
      </w:r>
      <w:proofErr w:type="spellEnd"/>
      <w:r w:rsidRPr="00A917CA">
        <w:rPr>
          <w:szCs w:val="22"/>
          <w:lang w:val="el-GR"/>
        </w:rPr>
        <w:t xml:space="preserve"> κατηγορία:</w:t>
      </w:r>
      <w:r w:rsidRPr="003864F4">
        <w:rPr>
          <w:bCs/>
          <w:szCs w:val="22"/>
          <w:lang w:val="el-GR"/>
        </w:rPr>
        <w:t xml:space="preserve"> </w:t>
      </w:r>
      <w:proofErr w:type="spellStart"/>
      <w:r>
        <w:rPr>
          <w:bCs/>
          <w:szCs w:val="22"/>
          <w:lang w:val="el-GR"/>
        </w:rPr>
        <w:t>α</w:t>
      </w:r>
      <w:r w:rsidRPr="003864F4">
        <w:rPr>
          <w:bCs/>
          <w:szCs w:val="22"/>
          <w:lang w:val="el-GR"/>
        </w:rPr>
        <w:t>ντινεοπλασματικοί</w:t>
      </w:r>
      <w:proofErr w:type="spellEnd"/>
      <w:r w:rsidRPr="003864F4">
        <w:rPr>
          <w:bCs/>
          <w:szCs w:val="22"/>
          <w:lang w:val="el-GR"/>
        </w:rPr>
        <w:t xml:space="preserve"> και </w:t>
      </w:r>
      <w:proofErr w:type="spellStart"/>
      <w:r w:rsidRPr="003864F4">
        <w:rPr>
          <w:bCs/>
          <w:szCs w:val="22"/>
          <w:lang w:val="el-GR"/>
        </w:rPr>
        <w:t>ανοσοτροποποιητικοί</w:t>
      </w:r>
      <w:proofErr w:type="spellEnd"/>
      <w:r w:rsidRPr="003864F4">
        <w:rPr>
          <w:bCs/>
          <w:szCs w:val="22"/>
          <w:lang w:val="el-GR"/>
        </w:rPr>
        <w:t xml:space="preserve"> παράγοντες</w:t>
      </w:r>
      <w:r w:rsidRPr="00A917CA">
        <w:rPr>
          <w:szCs w:val="22"/>
          <w:lang w:val="el-GR"/>
        </w:rPr>
        <w:t xml:space="preserve">, </w:t>
      </w:r>
      <w:proofErr w:type="spellStart"/>
      <w:r w:rsidRPr="00A917CA">
        <w:rPr>
          <w:szCs w:val="22"/>
          <w:lang w:val="el-GR"/>
        </w:rPr>
        <w:t>Αντινεοπλασματικοί</w:t>
      </w:r>
      <w:proofErr w:type="spellEnd"/>
      <w:r w:rsidRPr="00A917CA">
        <w:rPr>
          <w:szCs w:val="22"/>
          <w:lang w:val="el-GR"/>
        </w:rPr>
        <w:t xml:space="preserve"> παράγοντες. </w:t>
      </w:r>
      <w:proofErr w:type="spellStart"/>
      <w:r w:rsidRPr="00A917CA">
        <w:rPr>
          <w:szCs w:val="22"/>
          <w:lang w:val="el-GR"/>
        </w:rPr>
        <w:t>Αλκυλιωτικοί</w:t>
      </w:r>
      <w:proofErr w:type="spellEnd"/>
      <w:r w:rsidRPr="00A917CA">
        <w:rPr>
          <w:szCs w:val="22"/>
          <w:lang w:val="el-GR"/>
        </w:rPr>
        <w:t xml:space="preserve"> παράγοντες. </w:t>
      </w:r>
      <w:r w:rsidRPr="003864F4">
        <w:rPr>
          <w:bCs/>
          <w:szCs w:val="22"/>
          <w:lang w:val="el-GR"/>
        </w:rPr>
        <w:t xml:space="preserve">Ανάλογα του </w:t>
      </w:r>
      <w:proofErr w:type="spellStart"/>
      <w:r w:rsidRPr="003864F4">
        <w:rPr>
          <w:bCs/>
          <w:szCs w:val="22"/>
          <w:lang w:val="el-GR"/>
        </w:rPr>
        <w:t>αζωθυπερίτη</w:t>
      </w:r>
      <w:proofErr w:type="spellEnd"/>
      <w:r w:rsidRPr="00A917CA">
        <w:rPr>
          <w:szCs w:val="22"/>
          <w:lang w:val="el-GR"/>
        </w:rPr>
        <w:t xml:space="preserve">, </w:t>
      </w:r>
      <w:r>
        <w:rPr>
          <w:szCs w:val="22"/>
          <w:lang w:val="el-GR"/>
        </w:rPr>
        <w:t>κ</w:t>
      </w:r>
      <w:r w:rsidRPr="00A917CA">
        <w:rPr>
          <w:szCs w:val="22"/>
          <w:lang w:val="el-GR"/>
        </w:rPr>
        <w:t xml:space="preserve">ωδικός </w:t>
      </w:r>
      <w:r w:rsidRPr="00A917CA">
        <w:rPr>
          <w:szCs w:val="22"/>
        </w:rPr>
        <w:t>ATC</w:t>
      </w:r>
      <w:r w:rsidRPr="00A917CA">
        <w:rPr>
          <w:szCs w:val="22"/>
          <w:lang w:val="el-GR"/>
        </w:rPr>
        <w:t xml:space="preserve">: </w:t>
      </w:r>
      <w:r w:rsidRPr="00A917CA">
        <w:rPr>
          <w:szCs w:val="22"/>
        </w:rPr>
        <w:t>L</w:t>
      </w:r>
      <w:r w:rsidRPr="00A917CA">
        <w:rPr>
          <w:szCs w:val="22"/>
          <w:lang w:val="el-GR"/>
        </w:rPr>
        <w:t>01</w:t>
      </w:r>
      <w:r w:rsidRPr="00A917CA">
        <w:rPr>
          <w:szCs w:val="22"/>
        </w:rPr>
        <w:t>AA</w:t>
      </w:r>
      <w:r w:rsidRPr="00A917CA">
        <w:rPr>
          <w:szCs w:val="22"/>
          <w:lang w:val="el-GR"/>
        </w:rPr>
        <w:t>03</w:t>
      </w:r>
    </w:p>
    <w:p w14:paraId="7EA31968" w14:textId="77777777" w:rsidR="004B0BEF" w:rsidRPr="00A917CA" w:rsidRDefault="004B0BEF" w:rsidP="004B0BEF">
      <w:pPr>
        <w:spacing w:after="0"/>
        <w:jc w:val="left"/>
        <w:rPr>
          <w:szCs w:val="22"/>
          <w:lang w:val="el-GR"/>
        </w:rPr>
      </w:pPr>
      <w:r w:rsidRPr="00A917CA">
        <w:rPr>
          <w:szCs w:val="22"/>
          <w:lang w:val="el-GR"/>
        </w:rPr>
        <w:t xml:space="preserve">Η </w:t>
      </w:r>
      <w:proofErr w:type="spellStart"/>
      <w:r w:rsidRPr="00A917CA">
        <w:rPr>
          <w:szCs w:val="22"/>
          <w:lang w:val="el-GR"/>
        </w:rPr>
        <w:t>μελφαλάνη</w:t>
      </w:r>
      <w:proofErr w:type="spellEnd"/>
      <w:r w:rsidRPr="00A917CA">
        <w:rPr>
          <w:szCs w:val="22"/>
          <w:lang w:val="el-GR"/>
        </w:rPr>
        <w:t xml:space="preserve"> είναι ένας </w:t>
      </w:r>
      <w:proofErr w:type="spellStart"/>
      <w:r w:rsidRPr="00A917CA">
        <w:rPr>
          <w:szCs w:val="22"/>
          <w:lang w:val="el-GR"/>
        </w:rPr>
        <w:t>διλειτουργικός</w:t>
      </w:r>
      <w:proofErr w:type="spellEnd"/>
      <w:r w:rsidRPr="00A917CA">
        <w:rPr>
          <w:szCs w:val="22"/>
          <w:lang w:val="el-GR"/>
        </w:rPr>
        <w:t xml:space="preserve"> </w:t>
      </w:r>
      <w:proofErr w:type="spellStart"/>
      <w:r w:rsidRPr="00A917CA">
        <w:rPr>
          <w:szCs w:val="22"/>
          <w:lang w:val="el-GR"/>
        </w:rPr>
        <w:t>αλκυλιωτικός</w:t>
      </w:r>
      <w:proofErr w:type="spellEnd"/>
      <w:r w:rsidRPr="00A917CA">
        <w:rPr>
          <w:szCs w:val="22"/>
          <w:lang w:val="el-GR"/>
        </w:rPr>
        <w:t xml:space="preserve"> παράγοντας. Ο σχηματισμός ενδιαμέσων </w:t>
      </w:r>
      <w:proofErr w:type="spellStart"/>
      <w:r>
        <w:rPr>
          <w:szCs w:val="22"/>
          <w:lang w:val="el-GR"/>
        </w:rPr>
        <w:t>καρβονικών</w:t>
      </w:r>
      <w:proofErr w:type="spellEnd"/>
      <w:r>
        <w:rPr>
          <w:szCs w:val="22"/>
          <w:lang w:val="el-GR"/>
        </w:rPr>
        <w:t xml:space="preserve"> ενώσεων</w:t>
      </w:r>
      <w:r w:rsidRPr="00A917CA">
        <w:rPr>
          <w:szCs w:val="22"/>
          <w:lang w:val="el-GR"/>
        </w:rPr>
        <w:t xml:space="preserve"> από καθεμία από τις δύο δις-2-χλωροαιθυλ ομάδες επιτρέπει την </w:t>
      </w:r>
      <w:proofErr w:type="spellStart"/>
      <w:r w:rsidRPr="00A917CA">
        <w:rPr>
          <w:szCs w:val="22"/>
          <w:lang w:val="el-GR"/>
        </w:rPr>
        <w:t>αλκυλίωση</w:t>
      </w:r>
      <w:proofErr w:type="spellEnd"/>
      <w:r w:rsidRPr="00A917CA">
        <w:rPr>
          <w:szCs w:val="22"/>
          <w:lang w:val="el-GR"/>
        </w:rPr>
        <w:t xml:space="preserve"> μέσω ομοιοπολικού δεσμού με το 7-</w:t>
      </w:r>
      <w:r>
        <w:rPr>
          <w:szCs w:val="22"/>
          <w:lang w:val="el-GR"/>
        </w:rPr>
        <w:t>άζωτο</w:t>
      </w:r>
      <w:r w:rsidRPr="00A917CA">
        <w:rPr>
          <w:szCs w:val="22"/>
          <w:lang w:val="el-GR"/>
        </w:rPr>
        <w:t xml:space="preserve"> της </w:t>
      </w:r>
      <w:proofErr w:type="spellStart"/>
      <w:r w:rsidRPr="00A917CA">
        <w:rPr>
          <w:szCs w:val="22"/>
          <w:lang w:val="el-GR"/>
        </w:rPr>
        <w:t>γουανίνης</w:t>
      </w:r>
      <w:proofErr w:type="spellEnd"/>
      <w:r w:rsidRPr="00A917CA">
        <w:rPr>
          <w:szCs w:val="22"/>
          <w:lang w:val="el-GR"/>
        </w:rPr>
        <w:t xml:space="preserve"> στο </w:t>
      </w:r>
      <w:r w:rsidRPr="00A917CA">
        <w:rPr>
          <w:szCs w:val="22"/>
        </w:rPr>
        <w:t>DNA</w:t>
      </w:r>
      <w:r w:rsidRPr="00A917CA">
        <w:rPr>
          <w:szCs w:val="22"/>
          <w:lang w:val="el-GR"/>
        </w:rPr>
        <w:t>, το</w:t>
      </w:r>
      <w:r>
        <w:rPr>
          <w:szCs w:val="22"/>
          <w:lang w:val="el-GR"/>
        </w:rPr>
        <w:t>ν</w:t>
      </w:r>
      <w:r w:rsidRPr="00A917CA">
        <w:rPr>
          <w:szCs w:val="22"/>
          <w:lang w:val="el-GR"/>
        </w:rPr>
        <w:t xml:space="preserve"> σχηματισμό διασταυρούμενων δεσμών των δύο αλυσίδων του </w:t>
      </w:r>
      <w:r w:rsidRPr="00A917CA">
        <w:rPr>
          <w:szCs w:val="22"/>
        </w:rPr>
        <w:t>DNA</w:t>
      </w:r>
      <w:r w:rsidRPr="00A917CA">
        <w:rPr>
          <w:szCs w:val="22"/>
          <w:lang w:val="el-GR"/>
        </w:rPr>
        <w:t xml:space="preserve"> και αποτρέπει έτσι τον πολλαπλασιασμό των κυττάρων.</w:t>
      </w:r>
    </w:p>
    <w:p w14:paraId="5304E563" w14:textId="7A4E6C7C" w:rsidR="00061777" w:rsidRPr="00E17D2F" w:rsidRDefault="00061777" w:rsidP="00061777">
      <w:pPr>
        <w:rPr>
          <w:szCs w:val="22"/>
          <w:lang w:val="el-GR"/>
        </w:rPr>
      </w:pPr>
    </w:p>
    <w:p w14:paraId="67F68C52" w14:textId="77777777" w:rsidR="004B0BEF" w:rsidRPr="007238DA" w:rsidRDefault="00970FC6" w:rsidP="00A34926">
      <w:pPr>
        <w:pStyle w:val="2"/>
        <w:rPr>
          <w:lang w:val="el-GR"/>
        </w:rPr>
      </w:pPr>
      <w:r w:rsidRPr="007238DA">
        <w:rPr>
          <w:lang w:val="el-GR"/>
        </w:rPr>
        <w:lastRenderedPageBreak/>
        <w:t>Φ</w:t>
      </w:r>
      <w:r w:rsidR="00061777" w:rsidRPr="007238DA">
        <w:t>α</w:t>
      </w:r>
      <w:proofErr w:type="spellStart"/>
      <w:r w:rsidR="00061777" w:rsidRPr="007238DA">
        <w:t>ρμ</w:t>
      </w:r>
      <w:proofErr w:type="spellEnd"/>
      <w:r w:rsidR="00061777" w:rsidRPr="007238DA">
        <w:t xml:space="preserve">ακοκινητικές </w:t>
      </w:r>
      <w:proofErr w:type="spellStart"/>
      <w:r w:rsidR="00061777" w:rsidRPr="007238DA">
        <w:t>ιδιότητες</w:t>
      </w:r>
      <w:proofErr w:type="spellEnd"/>
    </w:p>
    <w:p w14:paraId="02079AFF" w14:textId="77777777" w:rsidR="004B0BEF" w:rsidRPr="003864F4" w:rsidRDefault="004B0BEF" w:rsidP="004B0BEF">
      <w:pPr>
        <w:spacing w:after="0"/>
        <w:jc w:val="left"/>
        <w:rPr>
          <w:szCs w:val="22"/>
          <w:u w:val="single"/>
          <w:lang w:val="el-GR"/>
        </w:rPr>
      </w:pPr>
      <w:bookmarkStart w:id="8" w:name="_Hlk482378925"/>
      <w:r w:rsidRPr="003864F4">
        <w:rPr>
          <w:szCs w:val="22"/>
          <w:u w:val="single"/>
          <w:lang w:val="el-GR"/>
        </w:rPr>
        <w:t>Απορρόφηση</w:t>
      </w:r>
    </w:p>
    <w:p w14:paraId="78D1E434" w14:textId="77777777" w:rsidR="004B0BEF" w:rsidRPr="003864F4" w:rsidRDefault="004B0BEF" w:rsidP="004B0BEF">
      <w:pPr>
        <w:spacing w:after="0"/>
        <w:jc w:val="left"/>
        <w:rPr>
          <w:szCs w:val="22"/>
          <w:lang w:val="el-GR"/>
        </w:rPr>
      </w:pPr>
      <w:r w:rsidRPr="003864F4">
        <w:rPr>
          <w:szCs w:val="22"/>
          <w:lang w:val="el-GR"/>
        </w:rPr>
        <w:t xml:space="preserve">Η απορρόφηση της από του στόματος </w:t>
      </w:r>
      <w:proofErr w:type="spellStart"/>
      <w:r w:rsidRPr="00A917CA">
        <w:rPr>
          <w:szCs w:val="22"/>
          <w:lang w:val="el-GR"/>
        </w:rPr>
        <w:t>μελφαλάνης</w:t>
      </w:r>
      <w:proofErr w:type="spellEnd"/>
      <w:r w:rsidRPr="003864F4">
        <w:rPr>
          <w:szCs w:val="22"/>
          <w:lang w:val="el-GR"/>
        </w:rPr>
        <w:t xml:space="preserve"> είναι εξαιρετικά μεταβλητή σε σχέση </w:t>
      </w:r>
      <w:r>
        <w:rPr>
          <w:szCs w:val="22"/>
          <w:lang w:val="el-GR"/>
        </w:rPr>
        <w:t xml:space="preserve">τόσο </w:t>
      </w:r>
      <w:r w:rsidRPr="003864F4">
        <w:rPr>
          <w:szCs w:val="22"/>
          <w:lang w:val="el-GR"/>
        </w:rPr>
        <w:t xml:space="preserve">με τον χρόνο μέχρι την πρώτη εμφάνιση του φαρμάκου </w:t>
      </w:r>
      <w:r>
        <w:rPr>
          <w:szCs w:val="22"/>
          <w:lang w:val="el-GR"/>
        </w:rPr>
        <w:t xml:space="preserve">στο πλάσμα όσο </w:t>
      </w:r>
      <w:r w:rsidRPr="00A917CA">
        <w:rPr>
          <w:szCs w:val="22"/>
          <w:lang w:val="el-GR"/>
        </w:rPr>
        <w:t xml:space="preserve">και </w:t>
      </w:r>
      <w:r>
        <w:rPr>
          <w:szCs w:val="22"/>
          <w:lang w:val="el-GR"/>
        </w:rPr>
        <w:t xml:space="preserve">με </w:t>
      </w:r>
      <w:r w:rsidRPr="003864F4">
        <w:rPr>
          <w:szCs w:val="22"/>
          <w:lang w:val="el-GR"/>
        </w:rPr>
        <w:t xml:space="preserve">τη </w:t>
      </w:r>
      <w:r w:rsidRPr="00A917CA">
        <w:rPr>
          <w:szCs w:val="22"/>
          <w:lang w:val="el-GR"/>
        </w:rPr>
        <w:t xml:space="preserve">μέγιστη </w:t>
      </w:r>
      <w:r w:rsidRPr="003864F4">
        <w:rPr>
          <w:szCs w:val="22"/>
          <w:lang w:val="el-GR"/>
        </w:rPr>
        <w:t xml:space="preserve">συγκέντρωση </w:t>
      </w:r>
      <w:r w:rsidRPr="00A917CA">
        <w:rPr>
          <w:szCs w:val="22"/>
          <w:lang w:val="el-GR"/>
        </w:rPr>
        <w:t xml:space="preserve">στο </w:t>
      </w:r>
      <w:r w:rsidRPr="003864F4">
        <w:rPr>
          <w:szCs w:val="22"/>
          <w:lang w:val="el-GR"/>
        </w:rPr>
        <w:t>πλάσμα.</w:t>
      </w:r>
    </w:p>
    <w:p w14:paraId="272C883E" w14:textId="77777777" w:rsidR="004B0BEF" w:rsidRPr="003864F4" w:rsidRDefault="004B0BEF" w:rsidP="004B0BEF">
      <w:pPr>
        <w:spacing w:after="0"/>
        <w:jc w:val="left"/>
        <w:rPr>
          <w:szCs w:val="22"/>
          <w:lang w:val="el-GR"/>
        </w:rPr>
      </w:pPr>
      <w:r w:rsidRPr="003864F4">
        <w:rPr>
          <w:szCs w:val="22"/>
          <w:lang w:val="el-GR"/>
        </w:rPr>
        <w:t>Σε μελέτες απόλυτη</w:t>
      </w:r>
      <w:r w:rsidRPr="00A917CA">
        <w:rPr>
          <w:szCs w:val="22"/>
          <w:lang w:val="el-GR"/>
        </w:rPr>
        <w:t>ς</w:t>
      </w:r>
      <w:r w:rsidRPr="003864F4">
        <w:rPr>
          <w:szCs w:val="22"/>
          <w:lang w:val="el-GR"/>
        </w:rPr>
        <w:t xml:space="preserve"> βιοδιαθεσιμότητα</w:t>
      </w:r>
      <w:r w:rsidRPr="00A917CA">
        <w:rPr>
          <w:szCs w:val="22"/>
          <w:lang w:val="el-GR"/>
        </w:rPr>
        <w:t>ς</w:t>
      </w:r>
      <w:r w:rsidRPr="003864F4">
        <w:rPr>
          <w:szCs w:val="22"/>
          <w:lang w:val="el-GR"/>
        </w:rPr>
        <w:t xml:space="preserve"> </w:t>
      </w:r>
      <w:r w:rsidRPr="00A917CA">
        <w:rPr>
          <w:szCs w:val="22"/>
          <w:lang w:val="el-GR"/>
        </w:rPr>
        <w:t xml:space="preserve">της </w:t>
      </w:r>
      <w:proofErr w:type="spellStart"/>
      <w:r w:rsidRPr="00A917CA">
        <w:rPr>
          <w:szCs w:val="22"/>
          <w:lang w:val="el-GR"/>
        </w:rPr>
        <w:t>μελφαλάνης</w:t>
      </w:r>
      <w:proofErr w:type="spellEnd"/>
      <w:r w:rsidRPr="003864F4">
        <w:rPr>
          <w:szCs w:val="22"/>
          <w:lang w:val="el-GR"/>
        </w:rPr>
        <w:t xml:space="preserve"> η μέση απόλυτη βιοδιαθεσιμότητα κυμαινόταν από 56 </w:t>
      </w:r>
      <w:r>
        <w:rPr>
          <w:szCs w:val="22"/>
          <w:lang w:val="el-GR"/>
        </w:rPr>
        <w:t>έως</w:t>
      </w:r>
      <w:r w:rsidRPr="003864F4">
        <w:rPr>
          <w:szCs w:val="22"/>
          <w:lang w:val="el-GR"/>
        </w:rPr>
        <w:t xml:space="preserve"> 85%.</w:t>
      </w:r>
    </w:p>
    <w:p w14:paraId="72738BE9" w14:textId="77777777" w:rsidR="004B0BEF" w:rsidRPr="003864F4" w:rsidRDefault="004B0BEF" w:rsidP="004B0BEF">
      <w:pPr>
        <w:spacing w:after="0"/>
        <w:jc w:val="left"/>
        <w:rPr>
          <w:szCs w:val="22"/>
          <w:lang w:val="el-GR"/>
        </w:rPr>
      </w:pPr>
      <w:r w:rsidRPr="003864F4">
        <w:rPr>
          <w:szCs w:val="22"/>
          <w:lang w:val="el-GR"/>
        </w:rPr>
        <w:t>Η ενδοφλέβια χορήγηση μπορεί να χρησιμοποιηθεί</w:t>
      </w:r>
      <w:r>
        <w:rPr>
          <w:szCs w:val="22"/>
          <w:lang w:val="el-GR"/>
        </w:rPr>
        <w:t>,</w:t>
      </w:r>
      <w:r w:rsidRPr="003864F4">
        <w:rPr>
          <w:szCs w:val="22"/>
          <w:lang w:val="el-GR"/>
        </w:rPr>
        <w:t xml:space="preserve"> για να αποφευχθεί η μεταβλητότητα της απορρόφησης που σχετίζεται με </w:t>
      </w:r>
      <w:r>
        <w:rPr>
          <w:szCs w:val="22"/>
          <w:lang w:val="el-GR"/>
        </w:rPr>
        <w:t xml:space="preserve">τη </w:t>
      </w:r>
      <w:proofErr w:type="spellStart"/>
      <w:r w:rsidRPr="003864F4">
        <w:rPr>
          <w:szCs w:val="22"/>
          <w:lang w:val="el-GR"/>
        </w:rPr>
        <w:t>μυελοεκκαθαριστική</w:t>
      </w:r>
      <w:proofErr w:type="spellEnd"/>
      <w:r w:rsidRPr="003864F4">
        <w:rPr>
          <w:szCs w:val="22"/>
          <w:lang w:val="el-GR"/>
        </w:rPr>
        <w:t xml:space="preserve"> θεραπεία.</w:t>
      </w:r>
    </w:p>
    <w:p w14:paraId="55CB5E3B" w14:textId="77777777" w:rsidR="004B0BEF" w:rsidRPr="00A917CA" w:rsidRDefault="004B0BEF" w:rsidP="004B0BEF">
      <w:pPr>
        <w:spacing w:after="0"/>
        <w:jc w:val="left"/>
        <w:rPr>
          <w:szCs w:val="22"/>
          <w:u w:val="single"/>
          <w:lang w:val="el-GR"/>
        </w:rPr>
      </w:pPr>
    </w:p>
    <w:p w14:paraId="75EAEF8C" w14:textId="77777777" w:rsidR="004B0BEF" w:rsidRPr="003864F4" w:rsidRDefault="004B0BEF" w:rsidP="004B0BEF">
      <w:pPr>
        <w:spacing w:after="0"/>
        <w:jc w:val="left"/>
        <w:rPr>
          <w:szCs w:val="22"/>
          <w:u w:val="single"/>
          <w:lang w:val="el-GR"/>
        </w:rPr>
      </w:pPr>
      <w:r w:rsidRPr="00A917CA">
        <w:rPr>
          <w:szCs w:val="22"/>
          <w:u w:val="single"/>
          <w:lang w:val="el-GR"/>
        </w:rPr>
        <w:t>Κατανομή</w:t>
      </w:r>
    </w:p>
    <w:p w14:paraId="50F4C033" w14:textId="77777777" w:rsidR="004B0BEF" w:rsidRPr="003864F4" w:rsidRDefault="004B0BEF" w:rsidP="004B0BEF">
      <w:pPr>
        <w:spacing w:after="0"/>
        <w:jc w:val="left"/>
        <w:rPr>
          <w:szCs w:val="22"/>
          <w:lang w:val="el-GR"/>
        </w:rPr>
      </w:pPr>
      <w:r w:rsidRPr="003864F4">
        <w:rPr>
          <w:szCs w:val="22"/>
          <w:lang w:val="el-GR"/>
        </w:rPr>
        <w:t xml:space="preserve">Η </w:t>
      </w:r>
      <w:proofErr w:type="spellStart"/>
      <w:r w:rsidRPr="00A917CA">
        <w:rPr>
          <w:szCs w:val="22"/>
          <w:lang w:val="el-GR"/>
        </w:rPr>
        <w:t>μελφαλάνη</w:t>
      </w:r>
      <w:proofErr w:type="spellEnd"/>
      <w:r w:rsidRPr="003864F4">
        <w:rPr>
          <w:szCs w:val="22"/>
          <w:lang w:val="el-GR"/>
        </w:rPr>
        <w:t xml:space="preserve"> συνδέεται σε μέτριο βαθμό με τις πρωτεΐνες του πλάσματος με </w:t>
      </w:r>
      <w:r w:rsidRPr="00A917CA">
        <w:rPr>
          <w:szCs w:val="22"/>
          <w:lang w:val="el-GR"/>
        </w:rPr>
        <w:t xml:space="preserve">το ποσοστό σύνδεσης </w:t>
      </w:r>
      <w:r>
        <w:rPr>
          <w:szCs w:val="22"/>
          <w:lang w:val="el-GR"/>
        </w:rPr>
        <w:t xml:space="preserve">που αναφέρεται </w:t>
      </w:r>
      <w:r w:rsidRPr="00A917CA">
        <w:rPr>
          <w:szCs w:val="22"/>
          <w:lang w:val="el-GR"/>
        </w:rPr>
        <w:t>να</w:t>
      </w:r>
      <w:r w:rsidRPr="003864F4">
        <w:rPr>
          <w:szCs w:val="22"/>
          <w:lang w:val="el-GR"/>
        </w:rPr>
        <w:t xml:space="preserve"> κυμαίν</w:t>
      </w:r>
      <w:r w:rsidRPr="00A917CA">
        <w:rPr>
          <w:szCs w:val="22"/>
          <w:lang w:val="el-GR"/>
        </w:rPr>
        <w:t>ε</w:t>
      </w:r>
      <w:r w:rsidRPr="003864F4">
        <w:rPr>
          <w:szCs w:val="22"/>
          <w:lang w:val="el-GR"/>
        </w:rPr>
        <w:t>ται από 69% έως 78%. Υπάρχουν ενδείξεις ότι η</w:t>
      </w:r>
      <w:r w:rsidRPr="00A917CA">
        <w:rPr>
          <w:szCs w:val="22"/>
          <w:lang w:val="el-GR"/>
        </w:rPr>
        <w:t xml:space="preserve"> σύνδεση με τις</w:t>
      </w:r>
      <w:r w:rsidRPr="003864F4">
        <w:rPr>
          <w:szCs w:val="22"/>
          <w:lang w:val="el-GR"/>
        </w:rPr>
        <w:t xml:space="preserve"> πρωτεΐν</w:t>
      </w:r>
      <w:r w:rsidRPr="00A917CA">
        <w:rPr>
          <w:szCs w:val="22"/>
          <w:lang w:val="el-GR"/>
        </w:rPr>
        <w:t>ες</w:t>
      </w:r>
      <w:r w:rsidRPr="003864F4">
        <w:rPr>
          <w:szCs w:val="22"/>
          <w:lang w:val="el-GR"/>
        </w:rPr>
        <w:t xml:space="preserve"> είναι γραμμική στο εύρος των συγκεντρώσεων στο πλάσμα </w:t>
      </w:r>
      <w:r w:rsidRPr="00A917CA">
        <w:rPr>
          <w:szCs w:val="22"/>
          <w:lang w:val="el-GR"/>
        </w:rPr>
        <w:t xml:space="preserve">που </w:t>
      </w:r>
      <w:r w:rsidRPr="003864F4">
        <w:rPr>
          <w:szCs w:val="22"/>
          <w:lang w:val="el-GR"/>
        </w:rPr>
        <w:t xml:space="preserve">επιτυγχάνονται συνήθως </w:t>
      </w:r>
      <w:r w:rsidRPr="00A917CA">
        <w:rPr>
          <w:szCs w:val="22"/>
          <w:lang w:val="el-GR"/>
        </w:rPr>
        <w:t>με τη θεραπεία πρότυπης δόσης</w:t>
      </w:r>
      <w:r w:rsidRPr="003864F4">
        <w:rPr>
          <w:szCs w:val="22"/>
          <w:lang w:val="el-GR"/>
        </w:rPr>
        <w:t xml:space="preserve">, αλλά ότι η σύνδεση μπορεί να </w:t>
      </w:r>
      <w:r w:rsidRPr="00A917CA">
        <w:rPr>
          <w:szCs w:val="22"/>
          <w:lang w:val="el-GR"/>
        </w:rPr>
        <w:t>καταστεί</w:t>
      </w:r>
      <w:r w:rsidRPr="003864F4">
        <w:rPr>
          <w:szCs w:val="22"/>
          <w:lang w:val="el-GR"/>
        </w:rPr>
        <w:t xml:space="preserve"> εξαρτώμενη από τη συγκέντρωση στις συγκεντρώσεις που παρατηρούνται σε θεραπεία υψηλής δόσης. </w:t>
      </w:r>
      <w:r w:rsidRPr="00A917CA">
        <w:rPr>
          <w:szCs w:val="22"/>
          <w:lang w:val="el-GR"/>
        </w:rPr>
        <w:t xml:space="preserve">Η </w:t>
      </w:r>
      <w:proofErr w:type="spellStart"/>
      <w:r>
        <w:rPr>
          <w:szCs w:val="22"/>
          <w:lang w:val="el-GR"/>
        </w:rPr>
        <w:t>λευκωματίνη</w:t>
      </w:r>
      <w:proofErr w:type="spellEnd"/>
      <w:r w:rsidRPr="00A917CA">
        <w:rPr>
          <w:szCs w:val="22"/>
          <w:lang w:val="el-GR"/>
        </w:rPr>
        <w:t xml:space="preserve"> ορού</w:t>
      </w:r>
      <w:r w:rsidRPr="003864F4">
        <w:rPr>
          <w:szCs w:val="22"/>
          <w:lang w:val="el-GR"/>
        </w:rPr>
        <w:t xml:space="preserve"> είναι η κύρια πρωτεΐνη </w:t>
      </w:r>
      <w:r w:rsidRPr="00A917CA">
        <w:rPr>
          <w:szCs w:val="22"/>
          <w:lang w:val="el-GR"/>
        </w:rPr>
        <w:t>σύνδεσης</w:t>
      </w:r>
      <w:r w:rsidRPr="003864F4">
        <w:rPr>
          <w:szCs w:val="22"/>
          <w:lang w:val="el-GR"/>
        </w:rPr>
        <w:t xml:space="preserve">, αντιπροσωπεύοντας περίπου το 55 έως 60% </w:t>
      </w:r>
      <w:r w:rsidRPr="00A917CA">
        <w:rPr>
          <w:szCs w:val="22"/>
          <w:lang w:val="el-GR"/>
        </w:rPr>
        <w:t>τ</w:t>
      </w:r>
      <w:r w:rsidRPr="003864F4">
        <w:rPr>
          <w:szCs w:val="22"/>
          <w:lang w:val="el-GR"/>
        </w:rPr>
        <w:t>η</w:t>
      </w:r>
      <w:r w:rsidRPr="00A917CA">
        <w:rPr>
          <w:szCs w:val="22"/>
          <w:lang w:val="el-GR"/>
        </w:rPr>
        <w:t>ς</w:t>
      </w:r>
      <w:r w:rsidRPr="003864F4">
        <w:rPr>
          <w:szCs w:val="22"/>
          <w:lang w:val="el-GR"/>
        </w:rPr>
        <w:t xml:space="preserve"> σύνδεση</w:t>
      </w:r>
      <w:r w:rsidRPr="00A917CA">
        <w:rPr>
          <w:szCs w:val="22"/>
          <w:lang w:val="el-GR"/>
        </w:rPr>
        <w:t>ς</w:t>
      </w:r>
      <w:r w:rsidRPr="003864F4">
        <w:rPr>
          <w:szCs w:val="22"/>
          <w:lang w:val="el-GR"/>
        </w:rPr>
        <w:t xml:space="preserve">, και </w:t>
      </w:r>
      <w:r>
        <w:rPr>
          <w:szCs w:val="22"/>
          <w:lang w:val="el-GR"/>
        </w:rPr>
        <w:t xml:space="preserve">το </w:t>
      </w:r>
      <w:r w:rsidRPr="003864F4">
        <w:rPr>
          <w:szCs w:val="22"/>
          <w:lang w:val="el-GR"/>
        </w:rPr>
        <w:t xml:space="preserve">20% είναι συνδεδεμένο με </w:t>
      </w:r>
      <w:r w:rsidRPr="00A917CA">
        <w:rPr>
          <w:szCs w:val="22"/>
          <w:lang w:val="el-GR"/>
        </w:rPr>
        <w:t xml:space="preserve">την </w:t>
      </w:r>
      <w:r w:rsidRPr="003864F4">
        <w:rPr>
          <w:szCs w:val="22"/>
          <w:lang w:val="el-GR"/>
        </w:rPr>
        <w:t xml:space="preserve">α1-όξινη </w:t>
      </w:r>
      <w:proofErr w:type="spellStart"/>
      <w:r w:rsidRPr="003864F4">
        <w:rPr>
          <w:szCs w:val="22"/>
          <w:lang w:val="el-GR"/>
        </w:rPr>
        <w:t>γλυκοπρωτεΐνη</w:t>
      </w:r>
      <w:proofErr w:type="spellEnd"/>
      <w:r w:rsidRPr="003864F4">
        <w:rPr>
          <w:szCs w:val="22"/>
          <w:lang w:val="el-GR"/>
        </w:rPr>
        <w:t xml:space="preserve">. Επιπλέον, </w:t>
      </w:r>
      <w:r w:rsidRPr="00A917CA">
        <w:rPr>
          <w:szCs w:val="22"/>
          <w:lang w:val="el-GR"/>
        </w:rPr>
        <w:t>μ</w:t>
      </w:r>
      <w:r w:rsidRPr="003864F4">
        <w:rPr>
          <w:szCs w:val="22"/>
          <w:lang w:val="el-GR"/>
        </w:rPr>
        <w:t xml:space="preserve">ελέτες </w:t>
      </w:r>
      <w:r w:rsidRPr="00A917CA">
        <w:rPr>
          <w:szCs w:val="22"/>
          <w:lang w:val="el-GR"/>
        </w:rPr>
        <w:t xml:space="preserve">σύνδεσης της </w:t>
      </w:r>
      <w:proofErr w:type="spellStart"/>
      <w:r w:rsidRPr="00A917CA">
        <w:rPr>
          <w:szCs w:val="22"/>
          <w:lang w:val="el-GR"/>
        </w:rPr>
        <w:t>μελφαλάνης</w:t>
      </w:r>
      <w:proofErr w:type="spellEnd"/>
      <w:r w:rsidRPr="003864F4">
        <w:rPr>
          <w:szCs w:val="22"/>
          <w:lang w:val="el-GR"/>
        </w:rPr>
        <w:t xml:space="preserve"> αποκάλυψαν την ύπαρξη </w:t>
      </w:r>
      <w:r w:rsidRPr="00A917CA">
        <w:rPr>
          <w:szCs w:val="22"/>
          <w:lang w:val="el-GR"/>
        </w:rPr>
        <w:t>ενός</w:t>
      </w:r>
      <w:r w:rsidRPr="003864F4">
        <w:rPr>
          <w:szCs w:val="22"/>
          <w:lang w:val="el-GR"/>
        </w:rPr>
        <w:t xml:space="preserve"> μη αναστρέψιμ</w:t>
      </w:r>
      <w:r w:rsidRPr="00A917CA">
        <w:rPr>
          <w:szCs w:val="22"/>
          <w:lang w:val="el-GR"/>
        </w:rPr>
        <w:t>ου</w:t>
      </w:r>
      <w:r w:rsidRPr="003864F4">
        <w:rPr>
          <w:szCs w:val="22"/>
          <w:lang w:val="el-GR"/>
        </w:rPr>
        <w:t xml:space="preserve"> συστατικού που αποδίδεται στην αντίδραση </w:t>
      </w:r>
      <w:proofErr w:type="spellStart"/>
      <w:r w:rsidRPr="003864F4">
        <w:rPr>
          <w:szCs w:val="22"/>
          <w:lang w:val="el-GR"/>
        </w:rPr>
        <w:t>αλκυλίωση</w:t>
      </w:r>
      <w:r w:rsidRPr="00A917CA">
        <w:rPr>
          <w:szCs w:val="22"/>
          <w:lang w:val="el-GR"/>
        </w:rPr>
        <w:t>ς</w:t>
      </w:r>
      <w:proofErr w:type="spellEnd"/>
      <w:r w:rsidRPr="003864F4">
        <w:rPr>
          <w:szCs w:val="22"/>
          <w:lang w:val="el-GR"/>
        </w:rPr>
        <w:t xml:space="preserve"> με τις πρωτεΐνες του πλάσματος.</w:t>
      </w:r>
    </w:p>
    <w:p w14:paraId="587E458F" w14:textId="77777777" w:rsidR="004B0BEF" w:rsidRPr="00A917CA" w:rsidRDefault="004B0BEF" w:rsidP="004B0BEF">
      <w:pPr>
        <w:spacing w:after="0"/>
        <w:jc w:val="left"/>
        <w:rPr>
          <w:szCs w:val="22"/>
          <w:lang w:val="el-GR"/>
        </w:rPr>
      </w:pPr>
    </w:p>
    <w:p w14:paraId="7F3F6167" w14:textId="77777777" w:rsidR="004B0BEF" w:rsidRPr="003864F4" w:rsidRDefault="004B0BEF" w:rsidP="004B0BEF">
      <w:pPr>
        <w:spacing w:after="0"/>
        <w:jc w:val="left"/>
        <w:rPr>
          <w:szCs w:val="22"/>
          <w:lang w:val="el-GR"/>
        </w:rPr>
      </w:pPr>
      <w:r w:rsidRPr="003864F4">
        <w:rPr>
          <w:szCs w:val="22"/>
          <w:lang w:val="el-GR"/>
        </w:rPr>
        <w:t>Μετά τη χορήγηση</w:t>
      </w:r>
      <w:r>
        <w:rPr>
          <w:szCs w:val="22"/>
          <w:lang w:val="el-GR"/>
        </w:rPr>
        <w:t>,</w:t>
      </w:r>
      <w:r w:rsidRPr="003864F4">
        <w:rPr>
          <w:szCs w:val="22"/>
          <w:lang w:val="el-GR"/>
        </w:rPr>
        <w:t xml:space="preserve"> </w:t>
      </w:r>
      <w:r w:rsidRPr="00A917CA">
        <w:rPr>
          <w:szCs w:val="22"/>
          <w:lang w:val="el-GR"/>
        </w:rPr>
        <w:t xml:space="preserve">με </w:t>
      </w:r>
      <w:r w:rsidRPr="003864F4">
        <w:rPr>
          <w:szCs w:val="22"/>
          <w:lang w:val="el-GR"/>
        </w:rPr>
        <w:t>έγχυση δύο λεπτών</w:t>
      </w:r>
      <w:r>
        <w:rPr>
          <w:szCs w:val="22"/>
          <w:lang w:val="el-GR"/>
        </w:rPr>
        <w:t>,</w:t>
      </w:r>
      <w:r w:rsidRPr="003864F4">
        <w:rPr>
          <w:szCs w:val="22"/>
          <w:lang w:val="el-GR"/>
        </w:rPr>
        <w:t xml:space="preserve"> δόσεων που κυμαίνονται από 5 έως 23</w:t>
      </w:r>
      <w:r w:rsidRPr="00A917CA">
        <w:rPr>
          <w:szCs w:val="22"/>
          <w:lang w:val="el-GR"/>
        </w:rPr>
        <w:t> </w:t>
      </w:r>
      <w:r w:rsidRPr="003864F4">
        <w:rPr>
          <w:szCs w:val="22"/>
          <w:lang w:val="en-US"/>
        </w:rPr>
        <w:t>mg</w:t>
      </w:r>
      <w:r w:rsidRPr="003864F4">
        <w:rPr>
          <w:szCs w:val="22"/>
          <w:lang w:val="el-GR"/>
        </w:rPr>
        <w:t>/</w:t>
      </w:r>
      <w:r w:rsidRPr="003864F4">
        <w:rPr>
          <w:szCs w:val="22"/>
          <w:lang w:val="en-US"/>
        </w:rPr>
        <w:t>m</w:t>
      </w:r>
      <w:r w:rsidRPr="003864F4">
        <w:rPr>
          <w:szCs w:val="22"/>
          <w:vertAlign w:val="superscript"/>
          <w:lang w:val="el-GR"/>
        </w:rPr>
        <w:t>2</w:t>
      </w:r>
      <w:r w:rsidRPr="003864F4">
        <w:rPr>
          <w:szCs w:val="22"/>
          <w:lang w:val="el-GR"/>
        </w:rPr>
        <w:t xml:space="preserve"> επιφάνειας σώματος (περίπου 0,1 έως 0,6</w:t>
      </w:r>
      <w:r>
        <w:rPr>
          <w:szCs w:val="22"/>
          <w:lang w:val="el-GR"/>
        </w:rPr>
        <w:t> </w:t>
      </w:r>
      <w:r w:rsidRPr="003864F4">
        <w:rPr>
          <w:szCs w:val="22"/>
          <w:lang w:val="en-US"/>
        </w:rPr>
        <w:t>mg</w:t>
      </w:r>
      <w:r w:rsidRPr="003864F4">
        <w:rPr>
          <w:szCs w:val="22"/>
          <w:lang w:val="el-GR"/>
        </w:rPr>
        <w:t>/</w:t>
      </w:r>
      <w:r w:rsidRPr="003864F4">
        <w:rPr>
          <w:szCs w:val="22"/>
          <w:lang w:val="en-US"/>
        </w:rPr>
        <w:t>kg</w:t>
      </w:r>
      <w:r w:rsidRPr="003864F4">
        <w:rPr>
          <w:szCs w:val="22"/>
          <w:lang w:val="el-GR"/>
        </w:rPr>
        <w:t xml:space="preserve"> σωματικού βάρους) σε 10 ασθενείς με καρκίνο των ωοθηκών ή πολλαπλό </w:t>
      </w:r>
      <w:proofErr w:type="spellStart"/>
      <w:r w:rsidRPr="003864F4">
        <w:rPr>
          <w:szCs w:val="22"/>
          <w:lang w:val="el-GR"/>
        </w:rPr>
        <w:t>μυέλωμα</w:t>
      </w:r>
      <w:proofErr w:type="spellEnd"/>
      <w:r w:rsidRPr="003864F4">
        <w:rPr>
          <w:szCs w:val="22"/>
          <w:lang w:val="el-GR"/>
        </w:rPr>
        <w:t xml:space="preserve">, οι μέσοι όγκοι κατανομής </w:t>
      </w:r>
      <w:r w:rsidRPr="00A917CA">
        <w:rPr>
          <w:szCs w:val="22"/>
          <w:lang w:val="el-GR"/>
        </w:rPr>
        <w:t>στη</w:t>
      </w:r>
      <w:r w:rsidRPr="003864F4">
        <w:rPr>
          <w:szCs w:val="22"/>
          <w:lang w:val="el-GR"/>
        </w:rPr>
        <w:t xml:space="preserve"> </w:t>
      </w:r>
      <w:r w:rsidRPr="00A917CA">
        <w:rPr>
          <w:szCs w:val="22"/>
          <w:lang w:val="el-GR"/>
        </w:rPr>
        <w:t>σταθεροποιημένη</w:t>
      </w:r>
      <w:r w:rsidRPr="003864F4">
        <w:rPr>
          <w:szCs w:val="22"/>
          <w:lang w:val="el-GR"/>
        </w:rPr>
        <w:t xml:space="preserve"> κατάσταση και </w:t>
      </w:r>
      <w:r w:rsidRPr="00A917CA">
        <w:rPr>
          <w:szCs w:val="22"/>
          <w:lang w:val="el-GR"/>
        </w:rPr>
        <w:t xml:space="preserve">στο </w:t>
      </w:r>
      <w:r w:rsidRPr="003864F4">
        <w:rPr>
          <w:szCs w:val="22"/>
          <w:lang w:val="el-GR"/>
        </w:rPr>
        <w:t>κεντρικό διαμέρισμα ήταν 29</w:t>
      </w:r>
      <w:r>
        <w:rPr>
          <w:szCs w:val="22"/>
          <w:lang w:val="el-GR"/>
        </w:rPr>
        <w:t>,</w:t>
      </w:r>
      <w:r w:rsidRPr="003864F4">
        <w:rPr>
          <w:szCs w:val="22"/>
          <w:lang w:val="el-GR"/>
        </w:rPr>
        <w:t>1 ± 13</w:t>
      </w:r>
      <w:r w:rsidRPr="00A917CA">
        <w:rPr>
          <w:szCs w:val="22"/>
          <w:lang w:val="el-GR"/>
        </w:rPr>
        <w:t>,</w:t>
      </w:r>
      <w:r w:rsidRPr="003864F4">
        <w:rPr>
          <w:szCs w:val="22"/>
          <w:lang w:val="el-GR"/>
        </w:rPr>
        <w:t xml:space="preserve">6 λίτρα και 12,2 ± 6,5 λίτρα, </w:t>
      </w:r>
      <w:r w:rsidRPr="00A917CA">
        <w:rPr>
          <w:szCs w:val="22"/>
          <w:lang w:val="el-GR"/>
        </w:rPr>
        <w:t>αντίστοιχα</w:t>
      </w:r>
      <w:r w:rsidRPr="003864F4">
        <w:rPr>
          <w:szCs w:val="22"/>
          <w:lang w:val="el-GR"/>
        </w:rPr>
        <w:t>.</w:t>
      </w:r>
    </w:p>
    <w:p w14:paraId="3D88A02F" w14:textId="77777777" w:rsidR="004B0BEF" w:rsidRPr="00A917CA" w:rsidRDefault="004B0BEF" w:rsidP="004B0BEF">
      <w:pPr>
        <w:spacing w:after="0"/>
        <w:jc w:val="left"/>
        <w:rPr>
          <w:szCs w:val="22"/>
          <w:lang w:val="el-GR"/>
        </w:rPr>
      </w:pPr>
    </w:p>
    <w:p w14:paraId="3D75F6FA" w14:textId="77777777" w:rsidR="004B0BEF" w:rsidRPr="003864F4" w:rsidRDefault="004B0BEF" w:rsidP="004B0BEF">
      <w:pPr>
        <w:spacing w:after="0"/>
        <w:jc w:val="left"/>
        <w:rPr>
          <w:szCs w:val="22"/>
          <w:lang w:val="el-GR"/>
        </w:rPr>
      </w:pPr>
      <w:r w:rsidRPr="003864F4">
        <w:rPr>
          <w:szCs w:val="22"/>
          <w:lang w:val="el-GR"/>
        </w:rPr>
        <w:t>Σε 28 ασθενείς με διάφορες κακοήθειες</w:t>
      </w:r>
      <w:r w:rsidRPr="00A917CA">
        <w:rPr>
          <w:szCs w:val="22"/>
          <w:lang w:val="el-GR"/>
        </w:rPr>
        <w:t>,</w:t>
      </w:r>
      <w:r w:rsidRPr="003864F4">
        <w:rPr>
          <w:szCs w:val="22"/>
          <w:lang w:val="el-GR"/>
        </w:rPr>
        <w:t xml:space="preserve"> </w:t>
      </w:r>
      <w:r w:rsidRPr="00A917CA">
        <w:rPr>
          <w:szCs w:val="22"/>
          <w:lang w:val="el-GR"/>
        </w:rPr>
        <w:t>στους οποίους</w:t>
      </w:r>
      <w:r w:rsidRPr="003864F4">
        <w:rPr>
          <w:szCs w:val="22"/>
          <w:lang w:val="el-GR"/>
        </w:rPr>
        <w:t xml:space="preserve"> </w:t>
      </w:r>
      <w:r>
        <w:rPr>
          <w:szCs w:val="22"/>
          <w:lang w:val="el-GR"/>
        </w:rPr>
        <w:t>χορηγήθηκαν</w:t>
      </w:r>
      <w:r w:rsidRPr="003864F4">
        <w:rPr>
          <w:szCs w:val="22"/>
          <w:lang w:val="el-GR"/>
        </w:rPr>
        <w:t xml:space="preserve"> δόσεις μεταξύ 70 και 200</w:t>
      </w:r>
      <w:r w:rsidRPr="00A917CA">
        <w:rPr>
          <w:szCs w:val="22"/>
          <w:lang w:val="el-GR"/>
        </w:rPr>
        <w:t> </w:t>
      </w:r>
      <w:r w:rsidRPr="003864F4">
        <w:rPr>
          <w:szCs w:val="22"/>
          <w:lang w:val="en-US"/>
        </w:rPr>
        <w:t>mg</w:t>
      </w:r>
      <w:r w:rsidRPr="003864F4">
        <w:rPr>
          <w:szCs w:val="22"/>
          <w:lang w:val="el-GR"/>
        </w:rPr>
        <w:t>/</w:t>
      </w:r>
      <w:r w:rsidRPr="003864F4">
        <w:rPr>
          <w:szCs w:val="22"/>
          <w:lang w:val="en-US"/>
        </w:rPr>
        <w:t>m</w:t>
      </w:r>
      <w:r w:rsidRPr="003864F4">
        <w:rPr>
          <w:szCs w:val="22"/>
          <w:vertAlign w:val="superscript"/>
          <w:lang w:val="el-GR"/>
        </w:rPr>
        <w:t>2</w:t>
      </w:r>
      <w:r w:rsidRPr="003864F4">
        <w:rPr>
          <w:szCs w:val="22"/>
          <w:lang w:val="el-GR"/>
        </w:rPr>
        <w:t xml:space="preserve"> επιφάνειας σώματος</w:t>
      </w:r>
      <w:r>
        <w:rPr>
          <w:szCs w:val="22"/>
          <w:lang w:val="el-GR"/>
        </w:rPr>
        <w:t>,</w:t>
      </w:r>
      <w:r w:rsidRPr="003864F4">
        <w:rPr>
          <w:szCs w:val="22"/>
          <w:lang w:val="el-GR"/>
        </w:rPr>
        <w:t xml:space="preserve"> ως </w:t>
      </w:r>
      <w:r w:rsidRPr="00A917CA">
        <w:rPr>
          <w:szCs w:val="22"/>
          <w:lang w:val="el-GR"/>
        </w:rPr>
        <w:t xml:space="preserve">έγχυση </w:t>
      </w:r>
      <w:r w:rsidRPr="003864F4">
        <w:rPr>
          <w:szCs w:val="22"/>
          <w:lang w:val="el-GR"/>
        </w:rPr>
        <w:t>2- έως 20-λεπτ</w:t>
      </w:r>
      <w:r w:rsidRPr="00A917CA">
        <w:rPr>
          <w:szCs w:val="22"/>
          <w:lang w:val="el-GR"/>
        </w:rPr>
        <w:t>ών</w:t>
      </w:r>
      <w:r w:rsidRPr="003864F4">
        <w:rPr>
          <w:szCs w:val="22"/>
          <w:lang w:val="el-GR"/>
        </w:rPr>
        <w:t>, οι μέσ</w:t>
      </w:r>
      <w:r w:rsidRPr="00A917CA">
        <w:rPr>
          <w:szCs w:val="22"/>
          <w:lang w:val="el-GR"/>
        </w:rPr>
        <w:t>οι</w:t>
      </w:r>
      <w:r w:rsidRPr="003864F4">
        <w:rPr>
          <w:szCs w:val="22"/>
          <w:lang w:val="el-GR"/>
        </w:rPr>
        <w:t xml:space="preserve"> όγκοι κατανομής </w:t>
      </w:r>
      <w:r w:rsidRPr="00A917CA">
        <w:rPr>
          <w:szCs w:val="22"/>
          <w:lang w:val="el-GR"/>
        </w:rPr>
        <w:t>στη</w:t>
      </w:r>
      <w:r w:rsidRPr="003864F4">
        <w:rPr>
          <w:szCs w:val="22"/>
          <w:lang w:val="el-GR"/>
        </w:rPr>
        <w:t xml:space="preserve"> </w:t>
      </w:r>
      <w:r w:rsidRPr="00A917CA">
        <w:rPr>
          <w:szCs w:val="22"/>
          <w:lang w:val="el-GR"/>
        </w:rPr>
        <w:t>σταθεροποιημένη</w:t>
      </w:r>
      <w:r w:rsidRPr="003864F4">
        <w:rPr>
          <w:szCs w:val="22"/>
          <w:lang w:val="el-GR"/>
        </w:rPr>
        <w:t xml:space="preserve"> κατάσταση και </w:t>
      </w:r>
      <w:r w:rsidRPr="00A917CA">
        <w:rPr>
          <w:szCs w:val="22"/>
          <w:lang w:val="el-GR"/>
        </w:rPr>
        <w:t xml:space="preserve">στο </w:t>
      </w:r>
      <w:r w:rsidRPr="003864F4">
        <w:rPr>
          <w:szCs w:val="22"/>
          <w:lang w:val="el-GR"/>
        </w:rPr>
        <w:t>κεντρικό διαμέρισμα ήταν, αντίστοιχα, 40,2 ± 18,3 λίτρα και 18</w:t>
      </w:r>
      <w:r w:rsidRPr="00A917CA">
        <w:rPr>
          <w:szCs w:val="22"/>
          <w:lang w:val="el-GR"/>
        </w:rPr>
        <w:t>,</w:t>
      </w:r>
      <w:r w:rsidRPr="003864F4">
        <w:rPr>
          <w:szCs w:val="22"/>
          <w:lang w:val="el-GR"/>
        </w:rPr>
        <w:t>2 ± 11</w:t>
      </w:r>
      <w:r w:rsidRPr="00A917CA">
        <w:rPr>
          <w:szCs w:val="22"/>
          <w:lang w:val="el-GR"/>
        </w:rPr>
        <w:t>,</w:t>
      </w:r>
      <w:r w:rsidRPr="003864F4">
        <w:rPr>
          <w:szCs w:val="22"/>
          <w:lang w:val="el-GR"/>
        </w:rPr>
        <w:t>7 λίτρα.</w:t>
      </w:r>
    </w:p>
    <w:p w14:paraId="7190AEBB" w14:textId="77777777" w:rsidR="004B0BEF" w:rsidRPr="00A917CA" w:rsidRDefault="004B0BEF" w:rsidP="004B0BEF">
      <w:pPr>
        <w:spacing w:after="0"/>
        <w:jc w:val="left"/>
        <w:rPr>
          <w:szCs w:val="22"/>
          <w:lang w:val="el-GR"/>
        </w:rPr>
      </w:pPr>
    </w:p>
    <w:p w14:paraId="568C3AF0" w14:textId="14AC8826" w:rsidR="004B0BEF" w:rsidRDefault="004B0BEF" w:rsidP="004B0BEF">
      <w:pPr>
        <w:spacing w:after="0"/>
        <w:jc w:val="left"/>
        <w:rPr>
          <w:szCs w:val="22"/>
          <w:lang w:val="el-GR"/>
        </w:rPr>
      </w:pPr>
      <w:r w:rsidRPr="00A917CA">
        <w:rPr>
          <w:szCs w:val="22"/>
          <w:lang w:val="el-GR"/>
        </w:rPr>
        <w:t xml:space="preserve">Η </w:t>
      </w:r>
      <w:proofErr w:type="spellStart"/>
      <w:r w:rsidRPr="00A917CA">
        <w:rPr>
          <w:szCs w:val="22"/>
          <w:lang w:val="el-GR"/>
        </w:rPr>
        <w:t>μελφαλάνη</w:t>
      </w:r>
      <w:proofErr w:type="spellEnd"/>
      <w:r w:rsidRPr="003864F4">
        <w:rPr>
          <w:szCs w:val="22"/>
          <w:lang w:val="el-GR"/>
        </w:rPr>
        <w:t xml:space="preserve"> επιδεικνύει περιορισμένη διείσδυση του </w:t>
      </w:r>
      <w:proofErr w:type="spellStart"/>
      <w:r w:rsidRPr="00A917CA">
        <w:rPr>
          <w:szCs w:val="22"/>
          <w:lang w:val="el-GR"/>
        </w:rPr>
        <w:t>αιματοεγκεφαλικού</w:t>
      </w:r>
      <w:proofErr w:type="spellEnd"/>
      <w:r w:rsidRPr="00A917CA">
        <w:rPr>
          <w:szCs w:val="22"/>
          <w:lang w:val="el-GR"/>
        </w:rPr>
        <w:t xml:space="preserve"> φραγμού</w:t>
      </w:r>
      <w:r w:rsidRPr="003864F4">
        <w:rPr>
          <w:szCs w:val="22"/>
          <w:lang w:val="el-GR"/>
        </w:rPr>
        <w:t xml:space="preserve">. Αρκετοί ερευνητές </w:t>
      </w:r>
      <w:r w:rsidRPr="00A917CA">
        <w:rPr>
          <w:szCs w:val="22"/>
          <w:lang w:val="el-GR"/>
        </w:rPr>
        <w:t>πραγματοπο</w:t>
      </w:r>
      <w:r>
        <w:rPr>
          <w:szCs w:val="22"/>
          <w:lang w:val="el-GR"/>
        </w:rPr>
        <w:t>ίη</w:t>
      </w:r>
      <w:r w:rsidRPr="00A917CA">
        <w:rPr>
          <w:szCs w:val="22"/>
          <w:lang w:val="el-GR"/>
        </w:rPr>
        <w:t>σ</w:t>
      </w:r>
      <w:r>
        <w:rPr>
          <w:szCs w:val="22"/>
          <w:lang w:val="el-GR"/>
        </w:rPr>
        <w:t>αν</w:t>
      </w:r>
      <w:r w:rsidRPr="00A917CA">
        <w:rPr>
          <w:szCs w:val="22"/>
          <w:lang w:val="el-GR"/>
        </w:rPr>
        <w:t xml:space="preserve"> δειγματοληψία</w:t>
      </w:r>
      <w:r w:rsidRPr="003864F4">
        <w:rPr>
          <w:szCs w:val="22"/>
          <w:lang w:val="el-GR"/>
        </w:rPr>
        <w:t xml:space="preserve"> εγκεφαλονωτιαίο</w:t>
      </w:r>
      <w:r w:rsidRPr="00A917CA">
        <w:rPr>
          <w:szCs w:val="22"/>
          <w:lang w:val="el-GR"/>
        </w:rPr>
        <w:t>υ</w:t>
      </w:r>
      <w:r w:rsidRPr="003864F4">
        <w:rPr>
          <w:szCs w:val="22"/>
          <w:lang w:val="el-GR"/>
        </w:rPr>
        <w:t xml:space="preserve"> </w:t>
      </w:r>
      <w:r w:rsidRPr="00A917CA">
        <w:rPr>
          <w:szCs w:val="22"/>
          <w:lang w:val="el-GR"/>
        </w:rPr>
        <w:t>υγρού</w:t>
      </w:r>
      <w:r w:rsidRPr="003864F4">
        <w:rPr>
          <w:szCs w:val="22"/>
          <w:lang w:val="el-GR"/>
        </w:rPr>
        <w:t xml:space="preserve"> και δεν βρήκ</w:t>
      </w:r>
      <w:r w:rsidRPr="00A917CA">
        <w:rPr>
          <w:szCs w:val="22"/>
          <w:lang w:val="el-GR"/>
        </w:rPr>
        <w:t>αν</w:t>
      </w:r>
      <w:r w:rsidRPr="003864F4">
        <w:rPr>
          <w:szCs w:val="22"/>
          <w:lang w:val="el-GR"/>
        </w:rPr>
        <w:t xml:space="preserve"> μετρήσιμη φαρμάκου</w:t>
      </w:r>
      <w:r w:rsidRPr="00A917CA">
        <w:rPr>
          <w:szCs w:val="22"/>
          <w:lang w:val="el-GR"/>
        </w:rPr>
        <w:t xml:space="preserve"> ποσότητα</w:t>
      </w:r>
      <w:r w:rsidRPr="003864F4">
        <w:rPr>
          <w:szCs w:val="22"/>
          <w:lang w:val="el-GR"/>
        </w:rPr>
        <w:t xml:space="preserve">. Χαμηλές συγκεντρώσεις (~ 10% αυτής στο πλάσμα) παρατηρήθηκαν σε μία μελέτη </w:t>
      </w:r>
      <w:r w:rsidRPr="00DC7465">
        <w:rPr>
          <w:szCs w:val="22"/>
          <w:lang w:val="el-GR"/>
        </w:rPr>
        <w:t>εφάπαξ</w:t>
      </w:r>
      <w:r w:rsidRPr="00A917CA">
        <w:rPr>
          <w:szCs w:val="22"/>
          <w:lang w:val="el-GR"/>
        </w:rPr>
        <w:t xml:space="preserve"> </w:t>
      </w:r>
      <w:r w:rsidRPr="003864F4">
        <w:rPr>
          <w:szCs w:val="22"/>
          <w:lang w:val="el-GR"/>
        </w:rPr>
        <w:t>υψηλής δόσης σε παιδιά.</w:t>
      </w:r>
    </w:p>
    <w:p w14:paraId="39EFE0EA" w14:textId="429432F2" w:rsidR="00E4372D" w:rsidRDefault="00E4372D" w:rsidP="004B0BEF">
      <w:pPr>
        <w:spacing w:after="0"/>
        <w:jc w:val="left"/>
        <w:rPr>
          <w:szCs w:val="22"/>
          <w:lang w:val="el-GR"/>
        </w:rPr>
      </w:pPr>
    </w:p>
    <w:p w14:paraId="3960BD19" w14:textId="347FC509" w:rsidR="00E4372D" w:rsidRPr="003E4140" w:rsidRDefault="003E4140" w:rsidP="00E4372D">
      <w:pPr>
        <w:spacing w:after="0"/>
        <w:jc w:val="left"/>
        <w:rPr>
          <w:szCs w:val="22"/>
          <w:u w:val="single"/>
          <w:lang w:val="el-GR"/>
        </w:rPr>
      </w:pPr>
      <w:proofErr w:type="spellStart"/>
      <w:r>
        <w:rPr>
          <w:szCs w:val="22"/>
          <w:u w:val="single"/>
          <w:lang w:val="el-GR"/>
        </w:rPr>
        <w:t>Βιομετασχηματισμός</w:t>
      </w:r>
      <w:proofErr w:type="spellEnd"/>
    </w:p>
    <w:p w14:paraId="1CAA9939" w14:textId="77777777" w:rsidR="00E4372D" w:rsidRPr="003E4140" w:rsidRDefault="00E4372D" w:rsidP="00E4372D">
      <w:pPr>
        <w:spacing w:after="0"/>
        <w:jc w:val="left"/>
        <w:rPr>
          <w:szCs w:val="22"/>
          <w:u w:val="single"/>
          <w:lang w:val="el-GR"/>
        </w:rPr>
      </w:pPr>
    </w:p>
    <w:p w14:paraId="4A7341C2" w14:textId="5557DF0F" w:rsidR="00E4372D" w:rsidRPr="003E4140" w:rsidRDefault="003E4140" w:rsidP="00E4372D">
      <w:pPr>
        <w:spacing w:after="0"/>
        <w:jc w:val="left"/>
        <w:rPr>
          <w:szCs w:val="22"/>
          <w:lang w:val="el-GR"/>
        </w:rPr>
      </w:pPr>
      <w:r>
        <w:rPr>
          <w:szCs w:val="22"/>
          <w:lang w:val="el-GR"/>
        </w:rPr>
        <w:t>Τα</w:t>
      </w:r>
      <w:r w:rsidRPr="003E4140">
        <w:rPr>
          <w:szCs w:val="22"/>
          <w:lang w:val="el-GR"/>
        </w:rPr>
        <w:t xml:space="preserve"> </w:t>
      </w:r>
      <w:r>
        <w:rPr>
          <w:szCs w:val="22"/>
          <w:lang w:val="el-GR"/>
        </w:rPr>
        <w:t>δεδομένα</w:t>
      </w:r>
      <w:r w:rsidRPr="003E4140">
        <w:rPr>
          <w:szCs w:val="22"/>
          <w:lang w:val="el-GR"/>
        </w:rPr>
        <w:t xml:space="preserve"> </w:t>
      </w:r>
      <w:r w:rsidR="004D4277">
        <w:rPr>
          <w:szCs w:val="22"/>
          <w:lang w:val="en-US"/>
        </w:rPr>
        <w:t>in</w:t>
      </w:r>
      <w:r w:rsidR="004D4277" w:rsidRPr="004D4277">
        <w:rPr>
          <w:szCs w:val="22"/>
          <w:lang w:val="el-GR"/>
        </w:rPr>
        <w:t xml:space="preserve"> </w:t>
      </w:r>
      <w:r w:rsidR="00E4372D" w:rsidRPr="003E4140">
        <w:rPr>
          <w:szCs w:val="22"/>
          <w:lang w:val="en-US"/>
        </w:rPr>
        <w:t>vivo</w:t>
      </w:r>
      <w:r w:rsidR="00E4372D" w:rsidRPr="003E4140">
        <w:rPr>
          <w:szCs w:val="22"/>
          <w:lang w:val="el-GR"/>
        </w:rPr>
        <w:t xml:space="preserve"> </w:t>
      </w:r>
      <w:r>
        <w:rPr>
          <w:szCs w:val="22"/>
          <w:lang w:val="el-GR"/>
        </w:rPr>
        <w:t>και</w:t>
      </w:r>
      <w:r w:rsidR="00E4372D" w:rsidRPr="003E4140">
        <w:rPr>
          <w:szCs w:val="22"/>
          <w:lang w:val="el-GR"/>
        </w:rPr>
        <w:t xml:space="preserve"> </w:t>
      </w:r>
      <w:r w:rsidR="00E4372D" w:rsidRPr="003E4140">
        <w:rPr>
          <w:szCs w:val="22"/>
          <w:lang w:val="en-US"/>
        </w:rPr>
        <w:t>in</w:t>
      </w:r>
      <w:r w:rsidR="00E4372D" w:rsidRPr="003E4140">
        <w:rPr>
          <w:szCs w:val="22"/>
          <w:lang w:val="el-GR"/>
        </w:rPr>
        <w:t xml:space="preserve"> </w:t>
      </w:r>
      <w:r w:rsidR="00E4372D" w:rsidRPr="003E4140">
        <w:rPr>
          <w:szCs w:val="22"/>
          <w:lang w:val="en-US"/>
        </w:rPr>
        <w:t>vitro</w:t>
      </w:r>
      <w:r w:rsidR="00E4372D" w:rsidRPr="003E4140">
        <w:rPr>
          <w:szCs w:val="22"/>
          <w:lang w:val="el-GR"/>
        </w:rPr>
        <w:t xml:space="preserve"> </w:t>
      </w:r>
      <w:r>
        <w:rPr>
          <w:szCs w:val="22"/>
          <w:lang w:val="el-GR"/>
        </w:rPr>
        <w:t>δεικνύουν</w:t>
      </w:r>
      <w:r w:rsidRPr="003E4140">
        <w:rPr>
          <w:szCs w:val="22"/>
          <w:lang w:val="el-GR"/>
        </w:rPr>
        <w:t xml:space="preserve"> </w:t>
      </w:r>
      <w:r>
        <w:rPr>
          <w:szCs w:val="22"/>
          <w:lang w:val="el-GR"/>
        </w:rPr>
        <w:t>ότι</w:t>
      </w:r>
      <w:r w:rsidRPr="003E4140">
        <w:rPr>
          <w:szCs w:val="22"/>
          <w:lang w:val="el-GR"/>
        </w:rPr>
        <w:t xml:space="preserve"> </w:t>
      </w:r>
      <w:r>
        <w:rPr>
          <w:szCs w:val="22"/>
          <w:lang w:val="el-GR"/>
        </w:rPr>
        <w:t>η</w:t>
      </w:r>
      <w:r w:rsidRPr="003E4140">
        <w:rPr>
          <w:szCs w:val="22"/>
          <w:lang w:val="el-GR"/>
        </w:rPr>
        <w:t xml:space="preserve"> </w:t>
      </w:r>
      <w:r>
        <w:rPr>
          <w:szCs w:val="22"/>
          <w:lang w:val="el-GR"/>
        </w:rPr>
        <w:t>αυθόρμητη</w:t>
      </w:r>
      <w:r w:rsidRPr="003E4140">
        <w:rPr>
          <w:szCs w:val="22"/>
          <w:lang w:val="el-GR"/>
        </w:rPr>
        <w:t xml:space="preserve"> </w:t>
      </w:r>
      <w:r>
        <w:rPr>
          <w:szCs w:val="22"/>
          <w:lang w:val="el-GR"/>
        </w:rPr>
        <w:t>αποδόμηση</w:t>
      </w:r>
      <w:r w:rsidRPr="003E4140">
        <w:rPr>
          <w:szCs w:val="22"/>
          <w:lang w:val="el-GR"/>
        </w:rPr>
        <w:t xml:space="preserve"> </w:t>
      </w:r>
      <w:r>
        <w:rPr>
          <w:szCs w:val="22"/>
          <w:lang w:val="el-GR"/>
        </w:rPr>
        <w:t>παρά</w:t>
      </w:r>
      <w:r w:rsidRPr="003E4140">
        <w:rPr>
          <w:szCs w:val="22"/>
          <w:lang w:val="el-GR"/>
        </w:rPr>
        <w:t xml:space="preserve"> </w:t>
      </w:r>
      <w:r>
        <w:rPr>
          <w:szCs w:val="22"/>
          <w:lang w:val="el-GR"/>
        </w:rPr>
        <w:t>ο</w:t>
      </w:r>
      <w:r w:rsidRPr="003E4140">
        <w:rPr>
          <w:szCs w:val="22"/>
          <w:lang w:val="el-GR"/>
        </w:rPr>
        <w:t xml:space="preserve"> </w:t>
      </w:r>
      <w:proofErr w:type="spellStart"/>
      <w:r>
        <w:rPr>
          <w:szCs w:val="22"/>
          <w:lang w:val="el-GR"/>
        </w:rPr>
        <w:t>ενζυμικός</w:t>
      </w:r>
      <w:proofErr w:type="spellEnd"/>
      <w:r w:rsidRPr="003E4140">
        <w:rPr>
          <w:szCs w:val="22"/>
          <w:lang w:val="el-GR"/>
        </w:rPr>
        <w:t xml:space="preserve"> </w:t>
      </w:r>
      <w:r>
        <w:rPr>
          <w:szCs w:val="22"/>
          <w:lang w:val="el-GR"/>
        </w:rPr>
        <w:t>μεταβολισμός</w:t>
      </w:r>
      <w:r w:rsidRPr="003E4140">
        <w:rPr>
          <w:szCs w:val="22"/>
          <w:lang w:val="el-GR"/>
        </w:rPr>
        <w:t xml:space="preserve"> </w:t>
      </w:r>
      <w:r>
        <w:rPr>
          <w:szCs w:val="22"/>
          <w:lang w:val="el-GR"/>
        </w:rPr>
        <w:t>καθορίζει</w:t>
      </w:r>
      <w:r w:rsidRPr="003E4140">
        <w:rPr>
          <w:szCs w:val="22"/>
          <w:lang w:val="el-GR"/>
        </w:rPr>
        <w:t xml:space="preserve"> </w:t>
      </w:r>
      <w:r>
        <w:rPr>
          <w:szCs w:val="22"/>
          <w:lang w:val="el-GR"/>
        </w:rPr>
        <w:t>κατά</w:t>
      </w:r>
      <w:r w:rsidRPr="003E4140">
        <w:rPr>
          <w:szCs w:val="22"/>
          <w:lang w:val="el-GR"/>
        </w:rPr>
        <w:t xml:space="preserve"> </w:t>
      </w:r>
      <w:r>
        <w:rPr>
          <w:szCs w:val="22"/>
          <w:lang w:val="el-GR"/>
        </w:rPr>
        <w:t>το</w:t>
      </w:r>
      <w:r w:rsidRPr="003E4140">
        <w:rPr>
          <w:szCs w:val="22"/>
          <w:lang w:val="el-GR"/>
        </w:rPr>
        <w:t xml:space="preserve"> </w:t>
      </w:r>
      <w:r>
        <w:rPr>
          <w:szCs w:val="22"/>
          <w:lang w:val="el-GR"/>
        </w:rPr>
        <w:t>μέγιστο</w:t>
      </w:r>
      <w:r w:rsidRPr="003E4140">
        <w:rPr>
          <w:szCs w:val="22"/>
          <w:lang w:val="el-GR"/>
        </w:rPr>
        <w:t xml:space="preserve"> </w:t>
      </w:r>
      <w:r>
        <w:rPr>
          <w:szCs w:val="22"/>
          <w:lang w:val="el-GR"/>
        </w:rPr>
        <w:t>το</w:t>
      </w:r>
      <w:r w:rsidRPr="003E4140">
        <w:rPr>
          <w:szCs w:val="22"/>
          <w:lang w:val="el-GR"/>
        </w:rPr>
        <w:t xml:space="preserve"> </w:t>
      </w:r>
      <w:r>
        <w:rPr>
          <w:szCs w:val="22"/>
          <w:lang w:val="el-GR"/>
        </w:rPr>
        <w:t>χρόνο</w:t>
      </w:r>
      <w:r w:rsidRPr="003E4140">
        <w:rPr>
          <w:szCs w:val="22"/>
          <w:lang w:val="el-GR"/>
        </w:rPr>
        <w:t xml:space="preserve"> </w:t>
      </w:r>
      <w:r>
        <w:rPr>
          <w:szCs w:val="22"/>
          <w:lang w:val="el-GR"/>
        </w:rPr>
        <w:t>ημίσειας</w:t>
      </w:r>
      <w:r w:rsidRPr="003E4140">
        <w:rPr>
          <w:szCs w:val="22"/>
          <w:lang w:val="el-GR"/>
        </w:rPr>
        <w:t xml:space="preserve"> </w:t>
      </w:r>
      <w:r>
        <w:rPr>
          <w:szCs w:val="22"/>
          <w:lang w:val="el-GR"/>
        </w:rPr>
        <w:t>ζωής</w:t>
      </w:r>
      <w:r w:rsidRPr="003E4140">
        <w:rPr>
          <w:szCs w:val="22"/>
          <w:lang w:val="el-GR"/>
        </w:rPr>
        <w:t xml:space="preserve"> </w:t>
      </w:r>
      <w:r>
        <w:rPr>
          <w:szCs w:val="22"/>
          <w:lang w:val="el-GR"/>
        </w:rPr>
        <w:t>στον</w:t>
      </w:r>
      <w:r w:rsidRPr="003E4140">
        <w:rPr>
          <w:szCs w:val="22"/>
          <w:lang w:val="el-GR"/>
        </w:rPr>
        <w:t xml:space="preserve"> </w:t>
      </w:r>
      <w:r>
        <w:rPr>
          <w:szCs w:val="22"/>
          <w:lang w:val="el-GR"/>
        </w:rPr>
        <w:t>άνθρωπο</w:t>
      </w:r>
      <w:r w:rsidRPr="003E4140">
        <w:rPr>
          <w:szCs w:val="22"/>
          <w:lang w:val="el-GR"/>
        </w:rPr>
        <w:t>.</w:t>
      </w:r>
      <w:r w:rsidR="00E4372D" w:rsidRPr="003E4140">
        <w:rPr>
          <w:szCs w:val="22"/>
          <w:lang w:val="el-GR"/>
        </w:rPr>
        <w:t xml:space="preserve"> </w:t>
      </w:r>
    </w:p>
    <w:p w14:paraId="5CBDDE88" w14:textId="77777777" w:rsidR="004B0BEF" w:rsidRPr="003E4140" w:rsidRDefault="004B0BEF" w:rsidP="004B0BEF">
      <w:pPr>
        <w:spacing w:after="0"/>
        <w:jc w:val="left"/>
        <w:rPr>
          <w:noProof/>
          <w:szCs w:val="22"/>
          <w:u w:val="single"/>
          <w:lang w:val="el-GR"/>
        </w:rPr>
      </w:pPr>
    </w:p>
    <w:p w14:paraId="7B0EDCF9" w14:textId="77777777" w:rsidR="004B0BEF" w:rsidRPr="003864F4" w:rsidRDefault="004B0BEF" w:rsidP="004B0BEF">
      <w:pPr>
        <w:spacing w:after="0"/>
        <w:jc w:val="left"/>
        <w:rPr>
          <w:noProof/>
          <w:szCs w:val="22"/>
          <w:u w:val="single"/>
          <w:lang w:val="el-GR"/>
        </w:rPr>
      </w:pPr>
      <w:r w:rsidRPr="00A917CA">
        <w:rPr>
          <w:noProof/>
          <w:szCs w:val="22"/>
          <w:u w:val="single"/>
          <w:lang w:val="el-GR"/>
        </w:rPr>
        <w:t>Αποβολή</w:t>
      </w:r>
    </w:p>
    <w:p w14:paraId="044026EF" w14:textId="77777777" w:rsidR="004B0BEF" w:rsidRPr="00A917CA" w:rsidRDefault="004B0BEF" w:rsidP="004B0BEF">
      <w:pPr>
        <w:spacing w:after="0"/>
        <w:jc w:val="left"/>
        <w:rPr>
          <w:noProof/>
          <w:szCs w:val="22"/>
          <w:lang w:val="el-GR"/>
        </w:rPr>
      </w:pPr>
      <w:r w:rsidRPr="003864F4">
        <w:rPr>
          <w:noProof/>
          <w:szCs w:val="22"/>
          <w:lang w:val="el-GR"/>
        </w:rPr>
        <w:t>Σε 13 ασθενείς</w:t>
      </w:r>
      <w:r>
        <w:rPr>
          <w:noProof/>
          <w:szCs w:val="22"/>
          <w:lang w:val="el-GR"/>
        </w:rPr>
        <w:t>,</w:t>
      </w:r>
      <w:r w:rsidRPr="003864F4">
        <w:rPr>
          <w:noProof/>
          <w:szCs w:val="22"/>
          <w:lang w:val="el-GR"/>
        </w:rPr>
        <w:t xml:space="preserve"> στους οποίους χορηγήθηκε από του στόματος </w:t>
      </w:r>
      <w:r w:rsidRPr="00A917CA">
        <w:rPr>
          <w:noProof/>
          <w:szCs w:val="22"/>
          <w:lang w:val="el-GR"/>
        </w:rPr>
        <w:t>μελφαλάνη</w:t>
      </w:r>
      <w:r w:rsidRPr="003864F4">
        <w:rPr>
          <w:noProof/>
          <w:szCs w:val="22"/>
          <w:lang w:val="el-GR"/>
        </w:rPr>
        <w:t xml:space="preserve"> στα 0</w:t>
      </w:r>
      <w:r w:rsidRPr="00A917CA">
        <w:rPr>
          <w:noProof/>
          <w:szCs w:val="22"/>
          <w:lang w:val="el-GR"/>
        </w:rPr>
        <w:t>,</w:t>
      </w:r>
      <w:r w:rsidRPr="003864F4">
        <w:rPr>
          <w:noProof/>
          <w:szCs w:val="22"/>
          <w:lang w:val="el-GR"/>
        </w:rPr>
        <w:t>6</w:t>
      </w:r>
      <w:r w:rsidRPr="00A917CA">
        <w:rPr>
          <w:noProof/>
          <w:szCs w:val="22"/>
          <w:lang w:val="el-GR"/>
        </w:rPr>
        <w:t> </w:t>
      </w:r>
      <w:r w:rsidRPr="003864F4">
        <w:rPr>
          <w:noProof/>
          <w:szCs w:val="22"/>
          <w:lang w:val="en-US"/>
        </w:rPr>
        <w:t>mg</w:t>
      </w:r>
      <w:r w:rsidRPr="003864F4">
        <w:rPr>
          <w:noProof/>
          <w:szCs w:val="22"/>
          <w:lang w:val="el-GR"/>
        </w:rPr>
        <w:t>/</w:t>
      </w:r>
      <w:r w:rsidRPr="003864F4">
        <w:rPr>
          <w:noProof/>
          <w:szCs w:val="22"/>
          <w:lang w:val="en-US"/>
        </w:rPr>
        <w:t>kg</w:t>
      </w:r>
      <w:r w:rsidRPr="003864F4">
        <w:rPr>
          <w:noProof/>
          <w:szCs w:val="22"/>
          <w:lang w:val="el-GR"/>
        </w:rPr>
        <w:t xml:space="preserve"> σωματικού βάρους, ο τελικός χρόνος ημίσειας ζωής </w:t>
      </w:r>
      <w:r w:rsidRPr="00A917CA">
        <w:rPr>
          <w:noProof/>
          <w:szCs w:val="22"/>
          <w:lang w:val="el-GR"/>
        </w:rPr>
        <w:t xml:space="preserve">πλάσματος </w:t>
      </w:r>
      <w:r w:rsidRPr="003864F4">
        <w:rPr>
          <w:noProof/>
          <w:szCs w:val="22"/>
          <w:lang w:val="el-GR"/>
        </w:rPr>
        <w:t>ήταν 90 ± 57</w:t>
      </w:r>
      <w:r w:rsidRPr="00A917CA">
        <w:rPr>
          <w:noProof/>
          <w:szCs w:val="22"/>
          <w:lang w:val="el-GR"/>
        </w:rPr>
        <w:t> </w:t>
      </w:r>
      <w:r w:rsidRPr="003864F4">
        <w:rPr>
          <w:noProof/>
          <w:szCs w:val="22"/>
          <w:lang w:val="en-US"/>
        </w:rPr>
        <w:t>min</w:t>
      </w:r>
      <w:r w:rsidRPr="003864F4">
        <w:rPr>
          <w:noProof/>
          <w:szCs w:val="22"/>
          <w:lang w:val="el-GR"/>
        </w:rPr>
        <w:t xml:space="preserve"> με </w:t>
      </w:r>
      <w:r w:rsidRPr="00A917CA">
        <w:rPr>
          <w:noProof/>
          <w:szCs w:val="22"/>
          <w:lang w:val="el-GR"/>
        </w:rPr>
        <w:t xml:space="preserve">το </w:t>
      </w:r>
      <w:r w:rsidRPr="003864F4">
        <w:rPr>
          <w:noProof/>
          <w:szCs w:val="22"/>
          <w:lang w:val="el-GR"/>
        </w:rPr>
        <w:t xml:space="preserve">11% του φαρμάκου </w:t>
      </w:r>
      <w:r w:rsidRPr="00A917CA">
        <w:rPr>
          <w:noProof/>
          <w:szCs w:val="22"/>
          <w:lang w:val="el-GR"/>
        </w:rPr>
        <w:t>να ανακτάται</w:t>
      </w:r>
      <w:r w:rsidRPr="003864F4">
        <w:rPr>
          <w:noProof/>
          <w:szCs w:val="22"/>
          <w:lang w:val="el-GR"/>
        </w:rPr>
        <w:t xml:space="preserve"> στα ούρα κατά τη διάρκεια 24 </w:t>
      </w:r>
      <w:r w:rsidRPr="00A917CA">
        <w:rPr>
          <w:noProof/>
          <w:szCs w:val="22"/>
          <w:lang w:val="el-GR"/>
        </w:rPr>
        <w:t>ωρών</w:t>
      </w:r>
      <w:r w:rsidRPr="003864F4">
        <w:rPr>
          <w:noProof/>
          <w:szCs w:val="22"/>
          <w:lang w:val="el-GR"/>
        </w:rPr>
        <w:t>.</w:t>
      </w:r>
    </w:p>
    <w:p w14:paraId="2C2256A6" w14:textId="77777777" w:rsidR="004B0BEF" w:rsidRPr="003864F4" w:rsidRDefault="004B0BEF" w:rsidP="004B0BEF">
      <w:pPr>
        <w:spacing w:after="0"/>
        <w:jc w:val="left"/>
        <w:rPr>
          <w:noProof/>
          <w:szCs w:val="22"/>
          <w:lang w:val="el-GR"/>
        </w:rPr>
      </w:pPr>
    </w:p>
    <w:p w14:paraId="3C62DE25" w14:textId="77777777" w:rsidR="004B0BEF" w:rsidRPr="00A917CA" w:rsidRDefault="004B0BEF" w:rsidP="004B0BEF">
      <w:pPr>
        <w:spacing w:after="0"/>
        <w:jc w:val="left"/>
        <w:rPr>
          <w:noProof/>
          <w:szCs w:val="22"/>
          <w:lang w:val="el-GR"/>
        </w:rPr>
      </w:pPr>
      <w:r w:rsidRPr="003864F4">
        <w:rPr>
          <w:noProof/>
          <w:szCs w:val="22"/>
          <w:lang w:val="el-GR"/>
        </w:rPr>
        <w:t>Σε 8 ασθενείς</w:t>
      </w:r>
      <w:r w:rsidRPr="00A917CA">
        <w:rPr>
          <w:noProof/>
          <w:szCs w:val="22"/>
          <w:lang w:val="el-GR"/>
        </w:rPr>
        <w:t>,</w:t>
      </w:r>
      <w:r w:rsidRPr="003864F4">
        <w:rPr>
          <w:noProof/>
          <w:szCs w:val="22"/>
          <w:lang w:val="el-GR"/>
        </w:rPr>
        <w:t xml:space="preserve"> </w:t>
      </w:r>
      <w:r w:rsidRPr="00A917CA">
        <w:rPr>
          <w:noProof/>
          <w:szCs w:val="22"/>
          <w:lang w:val="el-GR"/>
        </w:rPr>
        <w:t>στους οποίους χορηγήθηκε</w:t>
      </w:r>
      <w:r w:rsidRPr="003864F4">
        <w:rPr>
          <w:noProof/>
          <w:szCs w:val="22"/>
          <w:lang w:val="el-GR"/>
        </w:rPr>
        <w:t xml:space="preserve"> </w:t>
      </w:r>
      <w:r w:rsidRPr="00A917CA">
        <w:rPr>
          <w:noProof/>
          <w:szCs w:val="22"/>
          <w:lang w:val="el-GR"/>
        </w:rPr>
        <w:t>μία εφάπαξ</w:t>
      </w:r>
      <w:r w:rsidRPr="003864F4">
        <w:rPr>
          <w:noProof/>
          <w:szCs w:val="22"/>
          <w:lang w:val="el-GR"/>
        </w:rPr>
        <w:t xml:space="preserve"> δόση </w:t>
      </w:r>
      <w:r w:rsidRPr="00A917CA">
        <w:rPr>
          <w:noProof/>
          <w:szCs w:val="22"/>
          <w:lang w:val="el-GR"/>
        </w:rPr>
        <w:t>εφόδου (</w:t>
      </w:r>
      <w:r w:rsidRPr="00A917CA">
        <w:rPr>
          <w:noProof/>
          <w:szCs w:val="22"/>
          <w:lang w:val="en-US"/>
        </w:rPr>
        <w:t>bolous</w:t>
      </w:r>
      <w:r w:rsidRPr="00A917CA">
        <w:rPr>
          <w:noProof/>
          <w:szCs w:val="22"/>
          <w:lang w:val="el-GR"/>
        </w:rPr>
        <w:t>)</w:t>
      </w:r>
      <w:r w:rsidRPr="003864F4">
        <w:rPr>
          <w:noProof/>
          <w:szCs w:val="22"/>
          <w:lang w:val="el-GR"/>
        </w:rPr>
        <w:t xml:space="preserve"> 0,5 έως 0,6</w:t>
      </w:r>
      <w:r w:rsidRPr="00A917CA">
        <w:rPr>
          <w:noProof/>
          <w:szCs w:val="22"/>
          <w:lang w:val="en-US"/>
        </w:rPr>
        <w:t> </w:t>
      </w:r>
      <w:r w:rsidRPr="003864F4">
        <w:rPr>
          <w:noProof/>
          <w:szCs w:val="22"/>
          <w:lang w:val="en-US"/>
        </w:rPr>
        <w:t>mg</w:t>
      </w:r>
      <w:r w:rsidRPr="003864F4">
        <w:rPr>
          <w:noProof/>
          <w:szCs w:val="22"/>
          <w:lang w:val="el-GR"/>
        </w:rPr>
        <w:t>/</w:t>
      </w:r>
      <w:r w:rsidRPr="003864F4">
        <w:rPr>
          <w:noProof/>
          <w:szCs w:val="22"/>
          <w:lang w:val="en-US"/>
        </w:rPr>
        <w:t>kg</w:t>
      </w:r>
      <w:r w:rsidRPr="003864F4">
        <w:rPr>
          <w:noProof/>
          <w:szCs w:val="22"/>
          <w:lang w:val="el-GR"/>
        </w:rPr>
        <w:t xml:space="preserve"> σωματικού βάρους, </w:t>
      </w:r>
      <w:r w:rsidRPr="00A917CA">
        <w:rPr>
          <w:noProof/>
          <w:szCs w:val="22"/>
          <w:lang w:val="el-GR"/>
        </w:rPr>
        <w:t>ο</w:t>
      </w:r>
      <w:r w:rsidRPr="003864F4">
        <w:rPr>
          <w:noProof/>
          <w:szCs w:val="22"/>
          <w:lang w:val="el-GR"/>
        </w:rPr>
        <w:t xml:space="preserve"> σύνθετ</w:t>
      </w:r>
      <w:r w:rsidRPr="00A917CA">
        <w:rPr>
          <w:noProof/>
          <w:szCs w:val="22"/>
          <w:lang w:val="el-GR"/>
        </w:rPr>
        <w:t>ος</w:t>
      </w:r>
      <w:r w:rsidRPr="003864F4">
        <w:rPr>
          <w:noProof/>
          <w:szCs w:val="22"/>
          <w:lang w:val="el-GR"/>
        </w:rPr>
        <w:t xml:space="preserve"> αρχικ</w:t>
      </w:r>
      <w:r w:rsidRPr="00A917CA">
        <w:rPr>
          <w:noProof/>
          <w:szCs w:val="22"/>
          <w:lang w:val="el-GR"/>
        </w:rPr>
        <w:t>ός</w:t>
      </w:r>
      <w:r w:rsidRPr="003864F4">
        <w:rPr>
          <w:noProof/>
          <w:szCs w:val="22"/>
          <w:lang w:val="el-GR"/>
        </w:rPr>
        <w:t xml:space="preserve"> και τελικ</w:t>
      </w:r>
      <w:r w:rsidRPr="00A917CA">
        <w:rPr>
          <w:noProof/>
          <w:szCs w:val="22"/>
          <w:lang w:val="el-GR"/>
        </w:rPr>
        <w:t>ός χρόνος</w:t>
      </w:r>
      <w:r w:rsidRPr="003864F4">
        <w:rPr>
          <w:noProof/>
          <w:szCs w:val="22"/>
          <w:lang w:val="el-GR"/>
        </w:rPr>
        <w:t xml:space="preserve"> ημίσεια</w:t>
      </w:r>
      <w:r w:rsidRPr="00A917CA">
        <w:rPr>
          <w:noProof/>
          <w:szCs w:val="22"/>
          <w:lang w:val="el-GR"/>
        </w:rPr>
        <w:t>ς</w:t>
      </w:r>
      <w:r w:rsidRPr="003864F4">
        <w:rPr>
          <w:noProof/>
          <w:szCs w:val="22"/>
          <w:lang w:val="el-GR"/>
        </w:rPr>
        <w:t xml:space="preserve"> ζωή</w:t>
      </w:r>
      <w:r w:rsidRPr="00A917CA">
        <w:rPr>
          <w:noProof/>
          <w:szCs w:val="22"/>
          <w:lang w:val="el-GR"/>
        </w:rPr>
        <w:t>ς</w:t>
      </w:r>
      <w:r w:rsidRPr="003864F4">
        <w:rPr>
          <w:noProof/>
          <w:szCs w:val="22"/>
          <w:lang w:val="el-GR"/>
        </w:rPr>
        <w:t xml:space="preserve"> </w:t>
      </w:r>
      <w:r w:rsidRPr="00A917CA">
        <w:rPr>
          <w:noProof/>
          <w:szCs w:val="22"/>
          <w:lang w:val="el-GR"/>
        </w:rPr>
        <w:t xml:space="preserve">αναφέρθηκαν </w:t>
      </w:r>
      <w:r w:rsidRPr="003864F4">
        <w:rPr>
          <w:noProof/>
          <w:szCs w:val="22"/>
          <w:lang w:val="el-GR"/>
        </w:rPr>
        <w:t>να είναι 7,7 ± 3,3</w:t>
      </w:r>
      <w:r>
        <w:rPr>
          <w:noProof/>
          <w:szCs w:val="22"/>
          <w:lang w:val="el-GR"/>
        </w:rPr>
        <w:t> </w:t>
      </w:r>
      <w:r>
        <w:rPr>
          <w:noProof/>
          <w:szCs w:val="22"/>
          <w:lang w:val="en-US"/>
        </w:rPr>
        <w:t>min</w:t>
      </w:r>
      <w:r w:rsidRPr="003864F4">
        <w:rPr>
          <w:noProof/>
          <w:szCs w:val="22"/>
          <w:lang w:val="el-GR"/>
        </w:rPr>
        <w:t xml:space="preserve"> και 108 ± 20</w:t>
      </w:r>
      <w:r w:rsidRPr="00A917CA">
        <w:rPr>
          <w:noProof/>
          <w:szCs w:val="22"/>
          <w:lang w:val="el-GR"/>
        </w:rPr>
        <w:t>,</w:t>
      </w:r>
      <w:r w:rsidRPr="003864F4">
        <w:rPr>
          <w:noProof/>
          <w:szCs w:val="22"/>
          <w:lang w:val="el-GR"/>
        </w:rPr>
        <w:t>8</w:t>
      </w:r>
      <w:r>
        <w:rPr>
          <w:noProof/>
          <w:szCs w:val="22"/>
          <w:lang w:val="en-US"/>
        </w:rPr>
        <w:t> </w:t>
      </w:r>
      <w:r w:rsidRPr="003864F4">
        <w:rPr>
          <w:noProof/>
          <w:szCs w:val="22"/>
          <w:lang w:val="en-US"/>
        </w:rPr>
        <w:t>min</w:t>
      </w:r>
      <w:r w:rsidRPr="003864F4">
        <w:rPr>
          <w:noProof/>
          <w:szCs w:val="22"/>
          <w:lang w:val="el-GR"/>
        </w:rPr>
        <w:t xml:space="preserve">, αντίστοιχα. Μετά την ένεση </w:t>
      </w:r>
      <w:r w:rsidRPr="00A917CA">
        <w:rPr>
          <w:noProof/>
          <w:szCs w:val="22"/>
          <w:lang w:val="el-GR"/>
        </w:rPr>
        <w:t>μελφαλάνης</w:t>
      </w:r>
      <w:r w:rsidRPr="003864F4">
        <w:rPr>
          <w:noProof/>
          <w:szCs w:val="22"/>
          <w:lang w:val="el-GR"/>
        </w:rPr>
        <w:t xml:space="preserve">, </w:t>
      </w:r>
      <w:r>
        <w:rPr>
          <w:noProof/>
          <w:szCs w:val="22"/>
          <w:lang w:val="el-GR"/>
        </w:rPr>
        <w:t xml:space="preserve">η </w:t>
      </w:r>
      <w:r w:rsidRPr="00A917CA">
        <w:rPr>
          <w:noProof/>
          <w:szCs w:val="22"/>
          <w:lang w:val="el-GR"/>
        </w:rPr>
        <w:t>μονοϋδροξυμελφαλάνη</w:t>
      </w:r>
      <w:r w:rsidRPr="003864F4">
        <w:rPr>
          <w:noProof/>
          <w:szCs w:val="22"/>
          <w:lang w:val="el-GR"/>
        </w:rPr>
        <w:t xml:space="preserve"> και </w:t>
      </w:r>
      <w:r>
        <w:rPr>
          <w:noProof/>
          <w:szCs w:val="22"/>
          <w:lang w:val="el-GR"/>
        </w:rPr>
        <w:t xml:space="preserve">η </w:t>
      </w:r>
      <w:r w:rsidRPr="00A917CA">
        <w:rPr>
          <w:noProof/>
          <w:szCs w:val="22"/>
          <w:lang w:val="el-GR"/>
        </w:rPr>
        <w:t>διυ</w:t>
      </w:r>
      <w:r>
        <w:rPr>
          <w:noProof/>
          <w:szCs w:val="22"/>
          <w:lang w:val="el-GR"/>
        </w:rPr>
        <w:t>δ</w:t>
      </w:r>
      <w:r w:rsidRPr="00A917CA">
        <w:rPr>
          <w:noProof/>
          <w:szCs w:val="22"/>
          <w:lang w:val="el-GR"/>
        </w:rPr>
        <w:t>ροξυμελφαλάνη</w:t>
      </w:r>
      <w:r w:rsidRPr="003864F4">
        <w:rPr>
          <w:noProof/>
          <w:szCs w:val="22"/>
          <w:lang w:val="el-GR"/>
        </w:rPr>
        <w:t xml:space="preserve"> ανιχνεύθηκαν στο πλάσμα των ασθενών, </w:t>
      </w:r>
      <w:r w:rsidRPr="00A917CA">
        <w:rPr>
          <w:noProof/>
          <w:szCs w:val="22"/>
          <w:lang w:val="el-GR"/>
        </w:rPr>
        <w:t xml:space="preserve">με τα μέγιστα </w:t>
      </w:r>
      <w:r w:rsidRPr="003864F4">
        <w:rPr>
          <w:noProof/>
          <w:szCs w:val="22"/>
          <w:lang w:val="el-GR"/>
        </w:rPr>
        <w:t xml:space="preserve">επίπεδα </w:t>
      </w:r>
      <w:r w:rsidRPr="00A917CA">
        <w:rPr>
          <w:noProof/>
          <w:szCs w:val="22"/>
          <w:lang w:val="el-GR"/>
        </w:rPr>
        <w:t>να επιτυγχάνονται</w:t>
      </w:r>
      <w:r w:rsidRPr="003864F4">
        <w:rPr>
          <w:noProof/>
          <w:szCs w:val="22"/>
          <w:lang w:val="el-GR"/>
        </w:rPr>
        <w:t xml:space="preserve"> σε περίπου 60 λεπτά και 105 λεπτά, αντίστοιχα. </w:t>
      </w:r>
      <w:r w:rsidRPr="00A917CA">
        <w:rPr>
          <w:noProof/>
          <w:szCs w:val="22"/>
          <w:lang w:val="el-GR"/>
        </w:rPr>
        <w:t>Ένας</w:t>
      </w:r>
      <w:r w:rsidRPr="003864F4">
        <w:rPr>
          <w:noProof/>
          <w:szCs w:val="22"/>
          <w:lang w:val="el-GR"/>
        </w:rPr>
        <w:t xml:space="preserve"> παρόμοι</w:t>
      </w:r>
      <w:r w:rsidRPr="00A917CA">
        <w:rPr>
          <w:noProof/>
          <w:szCs w:val="22"/>
          <w:lang w:val="el-GR"/>
        </w:rPr>
        <w:t>ος</w:t>
      </w:r>
      <w:r w:rsidRPr="003864F4">
        <w:rPr>
          <w:noProof/>
          <w:szCs w:val="22"/>
          <w:lang w:val="el-GR"/>
        </w:rPr>
        <w:t xml:space="preserve"> χρόνος ημίσειας ζωής των 126 ± 6</w:t>
      </w:r>
      <w:r w:rsidRPr="00A917CA">
        <w:rPr>
          <w:lang w:val="el-GR"/>
        </w:rPr>
        <w:t> </w:t>
      </w:r>
      <w:r w:rsidRPr="003864F4">
        <w:rPr>
          <w:noProof/>
          <w:szCs w:val="22"/>
          <w:lang w:val="en-US"/>
        </w:rPr>
        <w:t>min</w:t>
      </w:r>
      <w:r w:rsidRPr="003864F4">
        <w:rPr>
          <w:noProof/>
          <w:szCs w:val="22"/>
          <w:lang w:val="el-GR"/>
        </w:rPr>
        <w:t xml:space="preserve"> παρατηρήθηκε, όταν η </w:t>
      </w:r>
      <w:r w:rsidRPr="003864F4">
        <w:rPr>
          <w:noProof/>
          <w:szCs w:val="22"/>
          <w:lang w:val="el-GR"/>
        </w:rPr>
        <w:lastRenderedPageBreak/>
        <w:t xml:space="preserve">μελφαλάνη προστέθηκε στον ορό των ασθενών </w:t>
      </w:r>
      <w:r w:rsidRPr="003864F4">
        <w:rPr>
          <w:i/>
          <w:noProof/>
          <w:szCs w:val="22"/>
          <w:lang w:val="en-US"/>
        </w:rPr>
        <w:t>in</w:t>
      </w:r>
      <w:r w:rsidRPr="003864F4">
        <w:rPr>
          <w:i/>
          <w:noProof/>
          <w:szCs w:val="22"/>
          <w:lang w:val="el-GR"/>
        </w:rPr>
        <w:t xml:space="preserve"> </w:t>
      </w:r>
      <w:r w:rsidRPr="003864F4">
        <w:rPr>
          <w:i/>
          <w:noProof/>
          <w:szCs w:val="22"/>
          <w:lang w:val="en-US"/>
        </w:rPr>
        <w:t>vitro</w:t>
      </w:r>
      <w:r w:rsidRPr="003864F4">
        <w:rPr>
          <w:noProof/>
          <w:szCs w:val="22"/>
          <w:lang w:val="el-GR"/>
        </w:rPr>
        <w:t xml:space="preserve"> (37°</w:t>
      </w:r>
      <w:r w:rsidRPr="003864F4">
        <w:rPr>
          <w:noProof/>
          <w:szCs w:val="22"/>
          <w:lang w:val="en-US"/>
        </w:rPr>
        <w:t>C</w:t>
      </w:r>
      <w:r w:rsidRPr="003864F4">
        <w:rPr>
          <w:noProof/>
          <w:szCs w:val="22"/>
          <w:lang w:val="el-GR"/>
        </w:rPr>
        <w:t xml:space="preserve">), υποδηλώνοντας ότι η αυθόρμητη αποικοδόμηση </w:t>
      </w:r>
      <w:r>
        <w:rPr>
          <w:noProof/>
          <w:szCs w:val="22"/>
          <w:lang w:val="el-GR"/>
        </w:rPr>
        <w:t xml:space="preserve">μάλλον, </w:t>
      </w:r>
      <w:r w:rsidRPr="003864F4">
        <w:rPr>
          <w:noProof/>
          <w:szCs w:val="22"/>
          <w:lang w:val="el-GR"/>
        </w:rPr>
        <w:t xml:space="preserve">παρά </w:t>
      </w:r>
      <w:r w:rsidRPr="00A917CA">
        <w:rPr>
          <w:noProof/>
          <w:szCs w:val="22"/>
          <w:lang w:val="el-GR"/>
        </w:rPr>
        <w:t xml:space="preserve">ο </w:t>
      </w:r>
      <w:r w:rsidRPr="003864F4">
        <w:rPr>
          <w:noProof/>
          <w:szCs w:val="22"/>
          <w:lang w:val="el-GR"/>
        </w:rPr>
        <w:t>ενζυμ</w:t>
      </w:r>
      <w:r w:rsidRPr="00A917CA">
        <w:rPr>
          <w:noProof/>
          <w:szCs w:val="22"/>
          <w:lang w:val="el-GR"/>
        </w:rPr>
        <w:t>ατ</w:t>
      </w:r>
      <w:r w:rsidRPr="003864F4">
        <w:rPr>
          <w:noProof/>
          <w:szCs w:val="22"/>
          <w:lang w:val="el-GR"/>
        </w:rPr>
        <w:t>ικ</w:t>
      </w:r>
      <w:r w:rsidRPr="00A917CA">
        <w:rPr>
          <w:noProof/>
          <w:szCs w:val="22"/>
          <w:lang w:val="el-GR"/>
        </w:rPr>
        <w:t>ός</w:t>
      </w:r>
      <w:r w:rsidRPr="003864F4">
        <w:rPr>
          <w:noProof/>
          <w:szCs w:val="22"/>
          <w:lang w:val="el-GR"/>
        </w:rPr>
        <w:t xml:space="preserve"> μεταβολισμό</w:t>
      </w:r>
      <w:r w:rsidRPr="00A917CA">
        <w:rPr>
          <w:noProof/>
          <w:szCs w:val="22"/>
          <w:lang w:val="el-GR"/>
        </w:rPr>
        <w:t>ς</w:t>
      </w:r>
      <w:r>
        <w:rPr>
          <w:noProof/>
          <w:szCs w:val="22"/>
          <w:lang w:val="el-GR"/>
        </w:rPr>
        <w:t>,</w:t>
      </w:r>
      <w:r w:rsidRPr="003864F4">
        <w:rPr>
          <w:noProof/>
          <w:szCs w:val="22"/>
          <w:lang w:val="el-GR"/>
        </w:rPr>
        <w:t xml:space="preserve"> </w:t>
      </w:r>
      <w:r w:rsidRPr="00A917CA">
        <w:rPr>
          <w:noProof/>
          <w:szCs w:val="22"/>
          <w:lang w:val="el-GR"/>
        </w:rPr>
        <w:t>ενδέχεται</w:t>
      </w:r>
      <w:r w:rsidRPr="003864F4">
        <w:rPr>
          <w:noProof/>
          <w:szCs w:val="22"/>
          <w:lang w:val="el-GR"/>
        </w:rPr>
        <w:t xml:space="preserve"> να είναι ο κύριος καθοριστικός παράγοντας </w:t>
      </w:r>
      <w:r w:rsidRPr="00A917CA">
        <w:rPr>
          <w:noProof/>
          <w:szCs w:val="22"/>
          <w:lang w:val="el-GR"/>
        </w:rPr>
        <w:t>του χρόνου</w:t>
      </w:r>
      <w:r w:rsidRPr="003864F4">
        <w:rPr>
          <w:noProof/>
          <w:szCs w:val="22"/>
          <w:lang w:val="el-GR"/>
        </w:rPr>
        <w:t xml:space="preserve"> ημίσειας ζωής του φαρμάκου στον άνθρωπο.</w:t>
      </w:r>
    </w:p>
    <w:p w14:paraId="37F101FD" w14:textId="77777777" w:rsidR="004B0BEF" w:rsidRPr="003864F4" w:rsidRDefault="004B0BEF" w:rsidP="004B0BEF">
      <w:pPr>
        <w:spacing w:after="0"/>
        <w:jc w:val="left"/>
        <w:rPr>
          <w:noProof/>
          <w:szCs w:val="22"/>
          <w:lang w:val="el-GR"/>
        </w:rPr>
      </w:pPr>
    </w:p>
    <w:p w14:paraId="33E62ADE" w14:textId="77777777" w:rsidR="004B0BEF" w:rsidRPr="003864F4" w:rsidRDefault="004B0BEF" w:rsidP="004B0BEF">
      <w:pPr>
        <w:spacing w:after="0"/>
        <w:jc w:val="left"/>
        <w:rPr>
          <w:noProof/>
          <w:szCs w:val="22"/>
          <w:lang w:val="el-GR"/>
        </w:rPr>
      </w:pPr>
      <w:r w:rsidRPr="003864F4">
        <w:rPr>
          <w:noProof/>
          <w:szCs w:val="22"/>
          <w:lang w:val="el-GR"/>
        </w:rPr>
        <w:t>Μετά τη χορήγηση</w:t>
      </w:r>
      <w:r w:rsidRPr="00A917CA">
        <w:rPr>
          <w:noProof/>
          <w:szCs w:val="22"/>
          <w:lang w:val="el-GR"/>
        </w:rPr>
        <w:t>,</w:t>
      </w:r>
      <w:r w:rsidRPr="003864F4">
        <w:rPr>
          <w:noProof/>
          <w:szCs w:val="22"/>
          <w:lang w:val="el-GR"/>
        </w:rPr>
        <w:t xml:space="preserve"> </w:t>
      </w:r>
      <w:r w:rsidRPr="00A917CA">
        <w:rPr>
          <w:noProof/>
          <w:szCs w:val="22"/>
          <w:lang w:val="el-GR"/>
        </w:rPr>
        <w:t>μ</w:t>
      </w:r>
      <w:r w:rsidRPr="003864F4">
        <w:rPr>
          <w:noProof/>
          <w:szCs w:val="22"/>
          <w:lang w:val="el-GR"/>
        </w:rPr>
        <w:t>ε έγχυση δύο λεπτών</w:t>
      </w:r>
      <w:r w:rsidRPr="00A917CA">
        <w:rPr>
          <w:noProof/>
          <w:szCs w:val="22"/>
          <w:lang w:val="el-GR"/>
        </w:rPr>
        <w:t>,</w:t>
      </w:r>
      <w:r w:rsidRPr="003864F4">
        <w:rPr>
          <w:noProof/>
          <w:szCs w:val="22"/>
          <w:lang w:val="el-GR"/>
        </w:rPr>
        <w:t xml:space="preserve"> δόσεων που κυμαίνονται από 5 έως 23</w:t>
      </w:r>
      <w:r w:rsidRPr="00A917CA">
        <w:rPr>
          <w:noProof/>
          <w:szCs w:val="22"/>
          <w:lang w:val="el-GR"/>
        </w:rPr>
        <w:t> </w:t>
      </w:r>
      <w:r w:rsidRPr="003864F4">
        <w:rPr>
          <w:noProof/>
          <w:szCs w:val="22"/>
          <w:lang w:val="en-US"/>
        </w:rPr>
        <w:t>mg</w:t>
      </w:r>
      <w:r w:rsidRPr="003864F4">
        <w:rPr>
          <w:noProof/>
          <w:szCs w:val="22"/>
          <w:lang w:val="el-GR"/>
        </w:rPr>
        <w:t>/</w:t>
      </w:r>
      <w:r w:rsidRPr="003864F4">
        <w:rPr>
          <w:noProof/>
          <w:szCs w:val="22"/>
          <w:lang w:val="en-US"/>
        </w:rPr>
        <w:t>m</w:t>
      </w:r>
      <w:r w:rsidRPr="003864F4">
        <w:rPr>
          <w:noProof/>
          <w:szCs w:val="22"/>
          <w:vertAlign w:val="superscript"/>
          <w:lang w:val="el-GR"/>
        </w:rPr>
        <w:t>2</w:t>
      </w:r>
      <w:r w:rsidRPr="003864F4">
        <w:rPr>
          <w:noProof/>
          <w:szCs w:val="22"/>
          <w:lang w:val="el-GR"/>
        </w:rPr>
        <w:t xml:space="preserve"> επιφάνειας σώματος (περίπου 0,1 έως 0,6</w:t>
      </w:r>
      <w:r w:rsidRPr="00A917CA">
        <w:rPr>
          <w:noProof/>
          <w:szCs w:val="22"/>
          <w:lang w:val="el-GR"/>
        </w:rPr>
        <w:t> </w:t>
      </w:r>
      <w:r w:rsidRPr="003864F4">
        <w:rPr>
          <w:noProof/>
          <w:szCs w:val="22"/>
          <w:lang w:val="en-US"/>
        </w:rPr>
        <w:t>mg</w:t>
      </w:r>
      <w:r w:rsidRPr="003864F4">
        <w:rPr>
          <w:noProof/>
          <w:szCs w:val="22"/>
          <w:lang w:val="el-GR"/>
        </w:rPr>
        <w:t>/</w:t>
      </w:r>
      <w:r w:rsidRPr="003864F4">
        <w:rPr>
          <w:noProof/>
          <w:szCs w:val="22"/>
          <w:lang w:val="en-US"/>
        </w:rPr>
        <w:t>kg</w:t>
      </w:r>
      <w:r w:rsidRPr="003864F4">
        <w:rPr>
          <w:noProof/>
          <w:szCs w:val="22"/>
          <w:lang w:val="el-GR"/>
        </w:rPr>
        <w:t xml:space="preserve"> σωματικού βάρους) σε 10 ασθενείς με καρκίνο των ωοθηκών ή πολλαπλό μυέλωμα, </w:t>
      </w:r>
      <w:r w:rsidRPr="00A917CA">
        <w:rPr>
          <w:noProof/>
          <w:szCs w:val="22"/>
          <w:lang w:val="el-GR"/>
        </w:rPr>
        <w:t>ο</w:t>
      </w:r>
      <w:r w:rsidRPr="003864F4">
        <w:rPr>
          <w:noProof/>
          <w:szCs w:val="22"/>
          <w:lang w:val="el-GR"/>
        </w:rPr>
        <w:t xml:space="preserve"> </w:t>
      </w:r>
      <w:r w:rsidRPr="00A917CA">
        <w:rPr>
          <w:noProof/>
          <w:szCs w:val="22"/>
          <w:lang w:val="el-GR"/>
        </w:rPr>
        <w:t>συγκεντρωτικός</w:t>
      </w:r>
      <w:r w:rsidRPr="003864F4">
        <w:rPr>
          <w:noProof/>
          <w:szCs w:val="22"/>
          <w:lang w:val="el-GR"/>
        </w:rPr>
        <w:t xml:space="preserve"> αρχικ</w:t>
      </w:r>
      <w:r w:rsidRPr="00A917CA">
        <w:rPr>
          <w:noProof/>
          <w:szCs w:val="22"/>
          <w:lang w:val="el-GR"/>
        </w:rPr>
        <w:t>ός</w:t>
      </w:r>
      <w:r w:rsidRPr="003864F4">
        <w:rPr>
          <w:noProof/>
          <w:szCs w:val="22"/>
          <w:lang w:val="el-GR"/>
        </w:rPr>
        <w:t xml:space="preserve"> και τελικ</w:t>
      </w:r>
      <w:r w:rsidRPr="00A917CA">
        <w:rPr>
          <w:noProof/>
          <w:szCs w:val="22"/>
          <w:lang w:val="el-GR"/>
        </w:rPr>
        <w:t>ός</w:t>
      </w:r>
      <w:r w:rsidRPr="003864F4">
        <w:rPr>
          <w:noProof/>
          <w:szCs w:val="22"/>
          <w:lang w:val="el-GR"/>
        </w:rPr>
        <w:t xml:space="preserve"> </w:t>
      </w:r>
      <w:r w:rsidRPr="00A917CA">
        <w:rPr>
          <w:noProof/>
          <w:szCs w:val="22"/>
          <w:lang w:val="el-GR"/>
        </w:rPr>
        <w:t xml:space="preserve">χρόνος </w:t>
      </w:r>
      <w:r w:rsidRPr="003864F4">
        <w:rPr>
          <w:noProof/>
          <w:szCs w:val="22"/>
          <w:lang w:val="el-GR"/>
        </w:rPr>
        <w:t>ημίσεια</w:t>
      </w:r>
      <w:r w:rsidRPr="00A917CA">
        <w:rPr>
          <w:noProof/>
          <w:szCs w:val="22"/>
          <w:lang w:val="el-GR"/>
        </w:rPr>
        <w:t>ς</w:t>
      </w:r>
      <w:r w:rsidRPr="003864F4">
        <w:rPr>
          <w:noProof/>
          <w:szCs w:val="22"/>
          <w:lang w:val="el-GR"/>
        </w:rPr>
        <w:t xml:space="preserve"> ζωή</w:t>
      </w:r>
      <w:r w:rsidRPr="00A917CA">
        <w:rPr>
          <w:noProof/>
          <w:szCs w:val="22"/>
          <w:lang w:val="el-GR"/>
        </w:rPr>
        <w:t>ς</w:t>
      </w:r>
      <w:r w:rsidRPr="003864F4">
        <w:rPr>
          <w:noProof/>
          <w:szCs w:val="22"/>
          <w:lang w:val="el-GR"/>
        </w:rPr>
        <w:t xml:space="preserve"> ήταν, αντίστοιχα, 8,1 ± 6,6 λεπτά και 76</w:t>
      </w:r>
      <w:r w:rsidRPr="00A917CA">
        <w:rPr>
          <w:noProof/>
          <w:szCs w:val="22"/>
          <w:lang w:val="el-GR"/>
        </w:rPr>
        <w:t>,</w:t>
      </w:r>
      <w:r w:rsidRPr="003864F4">
        <w:rPr>
          <w:noProof/>
          <w:szCs w:val="22"/>
          <w:lang w:val="el-GR"/>
        </w:rPr>
        <w:t>9 ± 40</w:t>
      </w:r>
      <w:r w:rsidRPr="00A917CA">
        <w:rPr>
          <w:noProof/>
          <w:szCs w:val="22"/>
          <w:lang w:val="el-GR"/>
        </w:rPr>
        <w:t>,</w:t>
      </w:r>
      <w:r w:rsidRPr="003864F4">
        <w:rPr>
          <w:noProof/>
          <w:szCs w:val="22"/>
          <w:lang w:val="el-GR"/>
        </w:rPr>
        <w:t xml:space="preserve">7 λεπτά. </w:t>
      </w:r>
      <w:r w:rsidRPr="00A917CA">
        <w:rPr>
          <w:noProof/>
          <w:szCs w:val="22"/>
          <w:lang w:val="el-GR"/>
        </w:rPr>
        <w:t>Καταγράφηκε μ</w:t>
      </w:r>
      <w:r w:rsidRPr="003864F4">
        <w:rPr>
          <w:noProof/>
          <w:szCs w:val="22"/>
          <w:lang w:val="el-GR"/>
        </w:rPr>
        <w:t>ια μέση κάθαρση των 342,7 ± 96,8</w:t>
      </w:r>
      <w:r w:rsidRPr="00A917CA">
        <w:rPr>
          <w:noProof/>
          <w:szCs w:val="22"/>
          <w:lang w:val="el-GR"/>
        </w:rPr>
        <w:t> </w:t>
      </w:r>
      <w:r w:rsidRPr="003864F4">
        <w:rPr>
          <w:noProof/>
          <w:szCs w:val="22"/>
          <w:lang w:val="en-US"/>
        </w:rPr>
        <w:t>ml</w:t>
      </w:r>
      <w:r w:rsidRPr="003864F4">
        <w:rPr>
          <w:noProof/>
          <w:szCs w:val="22"/>
          <w:lang w:val="el-GR"/>
        </w:rPr>
        <w:t>/</w:t>
      </w:r>
      <w:r w:rsidRPr="003864F4">
        <w:rPr>
          <w:noProof/>
          <w:szCs w:val="22"/>
          <w:lang w:val="en-US"/>
        </w:rPr>
        <w:t>min</w:t>
      </w:r>
      <w:r w:rsidRPr="003864F4">
        <w:rPr>
          <w:noProof/>
          <w:szCs w:val="22"/>
          <w:lang w:val="el-GR"/>
        </w:rPr>
        <w:t>.</w:t>
      </w:r>
    </w:p>
    <w:p w14:paraId="200745F7" w14:textId="77777777" w:rsidR="004B0BEF" w:rsidRPr="00A917CA" w:rsidRDefault="004B0BEF" w:rsidP="004B0BEF">
      <w:pPr>
        <w:spacing w:after="0"/>
        <w:jc w:val="left"/>
        <w:rPr>
          <w:noProof/>
          <w:szCs w:val="22"/>
          <w:lang w:val="el-GR"/>
        </w:rPr>
      </w:pPr>
    </w:p>
    <w:p w14:paraId="5213DADD" w14:textId="77777777" w:rsidR="004B0BEF" w:rsidRPr="003864F4" w:rsidRDefault="004B0BEF" w:rsidP="004B0BEF">
      <w:pPr>
        <w:spacing w:after="0"/>
        <w:jc w:val="left"/>
        <w:rPr>
          <w:noProof/>
          <w:szCs w:val="22"/>
          <w:lang w:val="el-GR"/>
        </w:rPr>
      </w:pPr>
      <w:r w:rsidRPr="003864F4">
        <w:rPr>
          <w:noProof/>
          <w:szCs w:val="22"/>
          <w:lang w:val="el-GR"/>
        </w:rPr>
        <w:t>Σε 15 παιδιά και 11 ενήλικες</w:t>
      </w:r>
      <w:r w:rsidRPr="00A917CA">
        <w:rPr>
          <w:noProof/>
          <w:szCs w:val="22"/>
          <w:lang w:val="el-GR"/>
        </w:rPr>
        <w:t>, στους οποίους χορηγήθηκε</w:t>
      </w:r>
      <w:r w:rsidRPr="003864F4">
        <w:rPr>
          <w:noProof/>
          <w:szCs w:val="22"/>
          <w:lang w:val="el-GR"/>
        </w:rPr>
        <w:t xml:space="preserve"> ενδοφλέβια </w:t>
      </w:r>
      <w:r w:rsidRPr="00A917CA">
        <w:rPr>
          <w:noProof/>
          <w:szCs w:val="22"/>
          <w:lang w:val="el-GR"/>
        </w:rPr>
        <w:t xml:space="preserve">υψηλή δόση </w:t>
      </w:r>
      <w:r w:rsidRPr="003864F4">
        <w:rPr>
          <w:noProof/>
          <w:szCs w:val="22"/>
          <w:lang w:val="el-GR"/>
        </w:rPr>
        <w:t>μελφαλάνη</w:t>
      </w:r>
      <w:r w:rsidRPr="00A917CA">
        <w:rPr>
          <w:noProof/>
          <w:szCs w:val="22"/>
          <w:lang w:val="el-GR"/>
        </w:rPr>
        <w:t>ς</w:t>
      </w:r>
      <w:r w:rsidRPr="003864F4">
        <w:rPr>
          <w:noProof/>
          <w:szCs w:val="22"/>
          <w:lang w:val="el-GR"/>
        </w:rPr>
        <w:t xml:space="preserve"> (140</w:t>
      </w:r>
      <w:r w:rsidRPr="00A917CA">
        <w:rPr>
          <w:noProof/>
          <w:szCs w:val="22"/>
          <w:lang w:val="el-GR"/>
        </w:rPr>
        <w:t> </w:t>
      </w:r>
      <w:r w:rsidRPr="003864F4">
        <w:rPr>
          <w:noProof/>
          <w:szCs w:val="22"/>
          <w:lang w:val="en-US"/>
        </w:rPr>
        <w:t>mg</w:t>
      </w:r>
      <w:r w:rsidRPr="003864F4">
        <w:rPr>
          <w:noProof/>
          <w:szCs w:val="22"/>
          <w:lang w:val="el-GR"/>
        </w:rPr>
        <w:t>/</w:t>
      </w:r>
      <w:r w:rsidRPr="003864F4">
        <w:rPr>
          <w:noProof/>
          <w:szCs w:val="22"/>
          <w:lang w:val="en-US"/>
        </w:rPr>
        <w:t>m</w:t>
      </w:r>
      <w:r w:rsidRPr="003864F4">
        <w:rPr>
          <w:noProof/>
          <w:szCs w:val="22"/>
          <w:vertAlign w:val="superscript"/>
          <w:lang w:val="el-GR"/>
        </w:rPr>
        <w:t>2</w:t>
      </w:r>
      <w:r w:rsidRPr="003864F4">
        <w:rPr>
          <w:noProof/>
          <w:szCs w:val="22"/>
          <w:lang w:val="el-GR"/>
        </w:rPr>
        <w:t xml:space="preserve"> επιφάνειας σώματος)</w:t>
      </w:r>
      <w:r w:rsidRPr="00A917CA">
        <w:rPr>
          <w:noProof/>
          <w:szCs w:val="22"/>
          <w:lang w:val="el-GR"/>
        </w:rPr>
        <w:t>,</w:t>
      </w:r>
      <w:r w:rsidRPr="003864F4">
        <w:rPr>
          <w:noProof/>
          <w:szCs w:val="22"/>
          <w:lang w:val="el-GR"/>
        </w:rPr>
        <w:t xml:space="preserve"> με </w:t>
      </w:r>
      <w:r w:rsidRPr="00A917CA">
        <w:rPr>
          <w:noProof/>
          <w:szCs w:val="22"/>
          <w:lang w:val="el-GR"/>
        </w:rPr>
        <w:t>εξαναγκασμένη</w:t>
      </w:r>
      <w:r w:rsidRPr="003864F4">
        <w:rPr>
          <w:noProof/>
          <w:szCs w:val="22"/>
          <w:lang w:val="el-GR"/>
        </w:rPr>
        <w:t xml:space="preserve"> διούρηση, ο μέσ</w:t>
      </w:r>
      <w:r w:rsidRPr="00A917CA">
        <w:rPr>
          <w:noProof/>
          <w:szCs w:val="22"/>
          <w:lang w:val="el-GR"/>
        </w:rPr>
        <w:t>ο</w:t>
      </w:r>
      <w:r w:rsidRPr="003864F4">
        <w:rPr>
          <w:noProof/>
          <w:szCs w:val="22"/>
          <w:lang w:val="el-GR"/>
        </w:rPr>
        <w:t>ς αρχικ</w:t>
      </w:r>
      <w:r w:rsidRPr="00A917CA">
        <w:rPr>
          <w:noProof/>
          <w:szCs w:val="22"/>
          <w:lang w:val="el-GR"/>
        </w:rPr>
        <w:t>ό</w:t>
      </w:r>
      <w:r w:rsidRPr="003864F4">
        <w:rPr>
          <w:noProof/>
          <w:szCs w:val="22"/>
          <w:lang w:val="el-GR"/>
        </w:rPr>
        <w:t>ς και τελικ</w:t>
      </w:r>
      <w:r w:rsidRPr="00A917CA">
        <w:rPr>
          <w:noProof/>
          <w:szCs w:val="22"/>
          <w:lang w:val="el-GR"/>
        </w:rPr>
        <w:t>ό</w:t>
      </w:r>
      <w:r w:rsidRPr="003864F4">
        <w:rPr>
          <w:noProof/>
          <w:szCs w:val="22"/>
          <w:lang w:val="el-GR"/>
        </w:rPr>
        <w:t xml:space="preserve">ς </w:t>
      </w:r>
      <w:r w:rsidRPr="00A917CA">
        <w:rPr>
          <w:noProof/>
          <w:szCs w:val="22"/>
          <w:lang w:val="el-GR"/>
        </w:rPr>
        <w:t>χρόνος ημίσειας ζωής</w:t>
      </w:r>
      <w:r w:rsidRPr="003864F4">
        <w:rPr>
          <w:noProof/>
          <w:szCs w:val="22"/>
          <w:lang w:val="el-GR"/>
        </w:rPr>
        <w:t xml:space="preserve"> βρέθηκαν να είναι 6,5 ± 3,6</w:t>
      </w:r>
      <w:r w:rsidRPr="00A917CA">
        <w:rPr>
          <w:noProof/>
          <w:szCs w:val="22"/>
          <w:lang w:val="el-GR"/>
        </w:rPr>
        <w:t> </w:t>
      </w:r>
      <w:r w:rsidRPr="00A917CA">
        <w:rPr>
          <w:noProof/>
          <w:szCs w:val="22"/>
          <w:lang w:val="en-US"/>
        </w:rPr>
        <w:t>min</w:t>
      </w:r>
      <w:r w:rsidRPr="003864F4">
        <w:rPr>
          <w:noProof/>
          <w:szCs w:val="22"/>
          <w:lang w:val="el-GR"/>
        </w:rPr>
        <w:t xml:space="preserve"> και 41,4 ± 16,5</w:t>
      </w:r>
      <w:r w:rsidRPr="00A917CA">
        <w:rPr>
          <w:noProof/>
          <w:szCs w:val="22"/>
          <w:lang w:val="el-GR"/>
        </w:rPr>
        <w:t> </w:t>
      </w:r>
      <w:r w:rsidRPr="003864F4">
        <w:rPr>
          <w:noProof/>
          <w:szCs w:val="22"/>
          <w:lang w:val="en-US"/>
        </w:rPr>
        <w:t>min</w:t>
      </w:r>
      <w:r w:rsidRPr="003864F4">
        <w:rPr>
          <w:noProof/>
          <w:szCs w:val="22"/>
          <w:lang w:val="el-GR"/>
        </w:rPr>
        <w:t xml:space="preserve">, αντίστοιχα. </w:t>
      </w:r>
      <w:r w:rsidRPr="00A917CA">
        <w:rPr>
          <w:noProof/>
          <w:szCs w:val="22"/>
          <w:lang w:val="el-GR"/>
        </w:rPr>
        <w:t>Μ</w:t>
      </w:r>
      <w:r w:rsidRPr="003864F4">
        <w:rPr>
          <w:noProof/>
          <w:szCs w:val="22"/>
          <w:lang w:val="el-GR"/>
        </w:rPr>
        <w:t>έσ</w:t>
      </w:r>
      <w:r w:rsidRPr="00A917CA">
        <w:rPr>
          <w:noProof/>
          <w:szCs w:val="22"/>
          <w:lang w:val="el-GR"/>
        </w:rPr>
        <w:t>ος</w:t>
      </w:r>
      <w:r w:rsidRPr="003864F4">
        <w:rPr>
          <w:noProof/>
          <w:szCs w:val="22"/>
          <w:lang w:val="el-GR"/>
        </w:rPr>
        <w:t xml:space="preserve"> αρχικ</w:t>
      </w:r>
      <w:r w:rsidRPr="00A917CA">
        <w:rPr>
          <w:noProof/>
          <w:szCs w:val="22"/>
          <w:lang w:val="el-GR"/>
        </w:rPr>
        <w:t>ός</w:t>
      </w:r>
      <w:r w:rsidRPr="003864F4">
        <w:rPr>
          <w:noProof/>
          <w:szCs w:val="22"/>
          <w:lang w:val="el-GR"/>
        </w:rPr>
        <w:t xml:space="preserve"> και τελικ</w:t>
      </w:r>
      <w:r w:rsidRPr="00A917CA">
        <w:rPr>
          <w:noProof/>
          <w:szCs w:val="22"/>
          <w:lang w:val="el-GR"/>
        </w:rPr>
        <w:t>ός</w:t>
      </w:r>
      <w:r w:rsidRPr="003864F4">
        <w:rPr>
          <w:noProof/>
          <w:szCs w:val="22"/>
          <w:lang w:val="el-GR"/>
        </w:rPr>
        <w:t xml:space="preserve"> </w:t>
      </w:r>
      <w:r w:rsidRPr="00A917CA">
        <w:rPr>
          <w:noProof/>
          <w:szCs w:val="22"/>
          <w:lang w:val="el-GR"/>
        </w:rPr>
        <w:t xml:space="preserve">χρόνος </w:t>
      </w:r>
      <w:r w:rsidRPr="003864F4">
        <w:rPr>
          <w:noProof/>
          <w:szCs w:val="22"/>
          <w:lang w:val="el-GR"/>
        </w:rPr>
        <w:t>ημίσεια</w:t>
      </w:r>
      <w:r w:rsidRPr="00A917CA">
        <w:rPr>
          <w:noProof/>
          <w:szCs w:val="22"/>
          <w:lang w:val="el-GR"/>
        </w:rPr>
        <w:t>ς</w:t>
      </w:r>
      <w:r w:rsidRPr="003864F4">
        <w:rPr>
          <w:noProof/>
          <w:szCs w:val="22"/>
          <w:lang w:val="el-GR"/>
        </w:rPr>
        <w:t xml:space="preserve"> ζωή </w:t>
      </w:r>
      <w:r w:rsidRPr="00A917CA">
        <w:rPr>
          <w:noProof/>
          <w:szCs w:val="22"/>
          <w:lang w:val="el-GR"/>
        </w:rPr>
        <w:t>των</w:t>
      </w:r>
      <w:r w:rsidRPr="003864F4">
        <w:rPr>
          <w:noProof/>
          <w:szCs w:val="22"/>
          <w:lang w:val="el-GR"/>
        </w:rPr>
        <w:t xml:space="preserve"> 8</w:t>
      </w:r>
      <w:r w:rsidRPr="00A917CA">
        <w:rPr>
          <w:noProof/>
          <w:szCs w:val="22"/>
          <w:lang w:val="el-GR"/>
        </w:rPr>
        <w:t>,</w:t>
      </w:r>
      <w:r w:rsidRPr="003864F4">
        <w:rPr>
          <w:noProof/>
          <w:szCs w:val="22"/>
          <w:lang w:val="el-GR"/>
        </w:rPr>
        <w:t>8 ± 6</w:t>
      </w:r>
      <w:r w:rsidRPr="00A917CA">
        <w:rPr>
          <w:noProof/>
          <w:szCs w:val="22"/>
          <w:lang w:val="el-GR"/>
        </w:rPr>
        <w:t>,</w:t>
      </w:r>
      <w:r w:rsidRPr="003864F4">
        <w:rPr>
          <w:noProof/>
          <w:szCs w:val="22"/>
          <w:lang w:val="el-GR"/>
        </w:rPr>
        <w:t>6</w:t>
      </w:r>
      <w:r w:rsidRPr="00A917CA">
        <w:rPr>
          <w:noProof/>
          <w:szCs w:val="22"/>
          <w:lang w:val="el-GR"/>
        </w:rPr>
        <w:t> </w:t>
      </w:r>
      <w:r w:rsidRPr="00A917CA">
        <w:rPr>
          <w:noProof/>
          <w:szCs w:val="22"/>
          <w:lang w:val="en-US"/>
        </w:rPr>
        <w:t>min</w:t>
      </w:r>
      <w:r w:rsidRPr="003864F4">
        <w:rPr>
          <w:noProof/>
          <w:szCs w:val="22"/>
          <w:lang w:val="el-GR"/>
        </w:rPr>
        <w:t xml:space="preserve"> και 73</w:t>
      </w:r>
      <w:r w:rsidRPr="00A917CA">
        <w:rPr>
          <w:noProof/>
          <w:szCs w:val="22"/>
          <w:lang w:val="el-GR"/>
        </w:rPr>
        <w:t>,</w:t>
      </w:r>
      <w:r w:rsidRPr="003864F4">
        <w:rPr>
          <w:noProof/>
          <w:szCs w:val="22"/>
          <w:lang w:val="el-GR"/>
        </w:rPr>
        <w:t>1 ± 45</w:t>
      </w:r>
      <w:r w:rsidRPr="00A917CA">
        <w:rPr>
          <w:noProof/>
          <w:szCs w:val="22"/>
          <w:lang w:val="el-GR"/>
        </w:rPr>
        <w:t>,</w:t>
      </w:r>
      <w:r w:rsidRPr="003864F4">
        <w:rPr>
          <w:noProof/>
          <w:szCs w:val="22"/>
          <w:lang w:val="el-GR"/>
        </w:rPr>
        <w:t>9</w:t>
      </w:r>
      <w:r w:rsidRPr="00A917CA">
        <w:rPr>
          <w:noProof/>
          <w:szCs w:val="22"/>
          <w:lang w:val="el-GR"/>
        </w:rPr>
        <w:t> </w:t>
      </w:r>
      <w:r w:rsidRPr="00A917CA">
        <w:rPr>
          <w:noProof/>
          <w:szCs w:val="22"/>
          <w:lang w:val="en-US"/>
        </w:rPr>
        <w:t>min</w:t>
      </w:r>
      <w:r w:rsidRPr="003864F4">
        <w:rPr>
          <w:noProof/>
          <w:szCs w:val="22"/>
          <w:lang w:val="el-GR"/>
        </w:rPr>
        <w:t>, αντίστοιχα, καταγράφηκαν σε 28 ασθενείς με διάφορες κακοήθειες</w:t>
      </w:r>
      <w:r w:rsidRPr="00A917CA">
        <w:rPr>
          <w:noProof/>
          <w:szCs w:val="22"/>
          <w:lang w:val="el-GR"/>
        </w:rPr>
        <w:t>,</w:t>
      </w:r>
      <w:r w:rsidRPr="003864F4">
        <w:rPr>
          <w:noProof/>
          <w:szCs w:val="22"/>
          <w:lang w:val="el-GR"/>
        </w:rPr>
        <w:t xml:space="preserve"> </w:t>
      </w:r>
      <w:r w:rsidRPr="00A917CA">
        <w:rPr>
          <w:noProof/>
          <w:szCs w:val="22"/>
          <w:lang w:val="el-GR"/>
        </w:rPr>
        <w:t>στους οποίους χορηγήθηκαν</w:t>
      </w:r>
      <w:r w:rsidRPr="003864F4">
        <w:rPr>
          <w:noProof/>
          <w:szCs w:val="22"/>
          <w:lang w:val="el-GR"/>
        </w:rPr>
        <w:t xml:space="preserve"> δόσεις μεταξύ 70 και 200</w:t>
      </w:r>
      <w:r w:rsidRPr="00A917CA">
        <w:rPr>
          <w:noProof/>
          <w:szCs w:val="22"/>
          <w:lang w:val="el-GR"/>
        </w:rPr>
        <w:t> </w:t>
      </w:r>
      <w:r w:rsidRPr="003864F4">
        <w:rPr>
          <w:noProof/>
          <w:szCs w:val="22"/>
          <w:lang w:val="en-US"/>
        </w:rPr>
        <w:t>mg</w:t>
      </w:r>
      <w:r w:rsidRPr="003864F4">
        <w:rPr>
          <w:noProof/>
          <w:szCs w:val="22"/>
          <w:lang w:val="el-GR"/>
        </w:rPr>
        <w:t>/</w:t>
      </w:r>
      <w:r w:rsidRPr="003864F4">
        <w:rPr>
          <w:noProof/>
          <w:szCs w:val="22"/>
          <w:lang w:val="en-US"/>
        </w:rPr>
        <w:t>m</w:t>
      </w:r>
      <w:r w:rsidRPr="003864F4">
        <w:rPr>
          <w:noProof/>
          <w:szCs w:val="22"/>
          <w:vertAlign w:val="superscript"/>
          <w:lang w:val="el-GR"/>
        </w:rPr>
        <w:t>2</w:t>
      </w:r>
      <w:r w:rsidRPr="003864F4">
        <w:rPr>
          <w:noProof/>
          <w:szCs w:val="22"/>
          <w:lang w:val="el-GR"/>
        </w:rPr>
        <w:t xml:space="preserve"> επιφάνειας σώματος</w:t>
      </w:r>
      <w:r>
        <w:rPr>
          <w:noProof/>
          <w:szCs w:val="22"/>
          <w:lang w:val="el-GR"/>
        </w:rPr>
        <w:t>,</w:t>
      </w:r>
      <w:r w:rsidRPr="003864F4">
        <w:rPr>
          <w:noProof/>
          <w:szCs w:val="22"/>
          <w:lang w:val="el-GR"/>
        </w:rPr>
        <w:t xml:space="preserve"> ως </w:t>
      </w:r>
      <w:r w:rsidRPr="00A917CA">
        <w:rPr>
          <w:noProof/>
          <w:szCs w:val="22"/>
          <w:lang w:val="el-GR"/>
        </w:rPr>
        <w:t xml:space="preserve">έγχυση </w:t>
      </w:r>
      <w:r w:rsidRPr="003864F4">
        <w:rPr>
          <w:noProof/>
          <w:szCs w:val="22"/>
          <w:lang w:val="el-GR"/>
        </w:rPr>
        <w:t xml:space="preserve">2- έως 20- </w:t>
      </w:r>
      <w:r w:rsidRPr="00A917CA">
        <w:rPr>
          <w:noProof/>
          <w:szCs w:val="22"/>
          <w:lang w:val="el-GR"/>
        </w:rPr>
        <w:t>λεπτών</w:t>
      </w:r>
      <w:r w:rsidRPr="003864F4">
        <w:rPr>
          <w:noProof/>
          <w:szCs w:val="22"/>
          <w:lang w:val="el-GR"/>
        </w:rPr>
        <w:t>. Η μέση κάθαρση ήταν 564,6 ± 159,1</w:t>
      </w:r>
      <w:r w:rsidRPr="00A917CA">
        <w:rPr>
          <w:noProof/>
          <w:szCs w:val="22"/>
          <w:lang w:val="el-GR"/>
        </w:rPr>
        <w:t> </w:t>
      </w:r>
      <w:r w:rsidRPr="003864F4">
        <w:rPr>
          <w:noProof/>
          <w:szCs w:val="22"/>
          <w:lang w:val="en-US"/>
        </w:rPr>
        <w:t>ml</w:t>
      </w:r>
      <w:r w:rsidRPr="003864F4">
        <w:rPr>
          <w:noProof/>
          <w:szCs w:val="22"/>
          <w:lang w:val="el-GR"/>
        </w:rPr>
        <w:t>/</w:t>
      </w:r>
      <w:r w:rsidRPr="003864F4">
        <w:rPr>
          <w:noProof/>
          <w:szCs w:val="22"/>
          <w:lang w:val="en-US"/>
        </w:rPr>
        <w:t>min</w:t>
      </w:r>
      <w:r w:rsidRPr="003864F4">
        <w:rPr>
          <w:noProof/>
          <w:szCs w:val="22"/>
          <w:lang w:val="el-GR"/>
        </w:rPr>
        <w:t>.</w:t>
      </w:r>
    </w:p>
    <w:p w14:paraId="5EC02AB9" w14:textId="77777777" w:rsidR="004B0BEF" w:rsidRPr="00A917CA" w:rsidRDefault="004B0BEF" w:rsidP="004B0BEF">
      <w:pPr>
        <w:spacing w:after="0"/>
        <w:jc w:val="left"/>
        <w:rPr>
          <w:noProof/>
          <w:szCs w:val="22"/>
          <w:lang w:val="el-GR"/>
        </w:rPr>
      </w:pPr>
    </w:p>
    <w:p w14:paraId="0D33DE44" w14:textId="77777777" w:rsidR="004B0BEF" w:rsidRPr="00A917CA" w:rsidRDefault="004B0BEF" w:rsidP="004B0BEF">
      <w:pPr>
        <w:spacing w:after="0"/>
        <w:jc w:val="left"/>
        <w:rPr>
          <w:noProof/>
          <w:szCs w:val="22"/>
          <w:lang w:val="el-GR"/>
        </w:rPr>
      </w:pPr>
      <w:r w:rsidRPr="003864F4">
        <w:rPr>
          <w:noProof/>
          <w:szCs w:val="22"/>
          <w:lang w:val="el-GR"/>
        </w:rPr>
        <w:t xml:space="preserve">Μετά </w:t>
      </w:r>
      <w:r w:rsidRPr="00A917CA">
        <w:rPr>
          <w:noProof/>
          <w:szCs w:val="22"/>
          <w:lang w:val="el-GR"/>
        </w:rPr>
        <w:t xml:space="preserve">από </w:t>
      </w:r>
      <w:r w:rsidRPr="003864F4">
        <w:rPr>
          <w:noProof/>
          <w:szCs w:val="22"/>
          <w:lang w:val="el-GR"/>
        </w:rPr>
        <w:t>υπερθερμική (39°</w:t>
      </w:r>
      <w:r w:rsidRPr="003864F4">
        <w:rPr>
          <w:noProof/>
          <w:szCs w:val="22"/>
          <w:lang w:val="en-US"/>
        </w:rPr>
        <w:t>C</w:t>
      </w:r>
      <w:r w:rsidRPr="003864F4">
        <w:rPr>
          <w:noProof/>
          <w:szCs w:val="22"/>
          <w:lang w:val="el-GR"/>
        </w:rPr>
        <w:t>) αιμάτωση του κάτω άκρου με 1,75</w:t>
      </w:r>
      <w:r w:rsidRPr="00A917CA">
        <w:rPr>
          <w:noProof/>
          <w:szCs w:val="22"/>
          <w:lang w:val="el-GR"/>
        </w:rPr>
        <w:t> </w:t>
      </w:r>
      <w:r w:rsidRPr="003864F4">
        <w:rPr>
          <w:noProof/>
          <w:szCs w:val="22"/>
          <w:lang w:val="en-US"/>
        </w:rPr>
        <w:t>mg</w:t>
      </w:r>
      <w:r w:rsidRPr="003864F4">
        <w:rPr>
          <w:noProof/>
          <w:szCs w:val="22"/>
          <w:lang w:val="el-GR"/>
        </w:rPr>
        <w:t>/</w:t>
      </w:r>
      <w:r w:rsidRPr="003864F4">
        <w:rPr>
          <w:noProof/>
          <w:szCs w:val="22"/>
          <w:lang w:val="en-US"/>
        </w:rPr>
        <w:t>kg</w:t>
      </w:r>
      <w:r w:rsidRPr="003864F4">
        <w:rPr>
          <w:noProof/>
          <w:szCs w:val="22"/>
          <w:lang w:val="el-GR"/>
        </w:rPr>
        <w:t xml:space="preserve"> σωματικού βάρους, </w:t>
      </w:r>
      <w:r w:rsidRPr="00A917CA">
        <w:rPr>
          <w:noProof/>
          <w:szCs w:val="22"/>
          <w:lang w:val="el-GR"/>
        </w:rPr>
        <w:t xml:space="preserve">μέσος αρχικός </w:t>
      </w:r>
      <w:r w:rsidRPr="003864F4">
        <w:rPr>
          <w:noProof/>
          <w:szCs w:val="22"/>
          <w:lang w:val="el-GR"/>
        </w:rPr>
        <w:t>και τελικ</w:t>
      </w:r>
      <w:r w:rsidRPr="00A917CA">
        <w:rPr>
          <w:noProof/>
          <w:szCs w:val="22"/>
          <w:lang w:val="el-GR"/>
        </w:rPr>
        <w:t>ός</w:t>
      </w:r>
      <w:r w:rsidRPr="003864F4">
        <w:rPr>
          <w:noProof/>
          <w:szCs w:val="22"/>
          <w:lang w:val="el-GR"/>
        </w:rPr>
        <w:t xml:space="preserve"> </w:t>
      </w:r>
      <w:r w:rsidRPr="00A917CA">
        <w:rPr>
          <w:noProof/>
          <w:szCs w:val="22"/>
          <w:lang w:val="el-GR"/>
        </w:rPr>
        <w:t xml:space="preserve">χρόνος </w:t>
      </w:r>
      <w:r w:rsidRPr="003864F4">
        <w:rPr>
          <w:noProof/>
          <w:szCs w:val="22"/>
          <w:lang w:val="el-GR"/>
        </w:rPr>
        <w:t>ημίσεια</w:t>
      </w:r>
      <w:r w:rsidRPr="00A917CA">
        <w:rPr>
          <w:noProof/>
          <w:szCs w:val="22"/>
          <w:lang w:val="el-GR"/>
        </w:rPr>
        <w:t>ς</w:t>
      </w:r>
      <w:r w:rsidRPr="003864F4">
        <w:rPr>
          <w:noProof/>
          <w:szCs w:val="22"/>
          <w:lang w:val="el-GR"/>
        </w:rPr>
        <w:t xml:space="preserve"> ζωή</w:t>
      </w:r>
      <w:r w:rsidRPr="00A917CA">
        <w:rPr>
          <w:noProof/>
          <w:szCs w:val="22"/>
          <w:lang w:val="el-GR"/>
        </w:rPr>
        <w:t>ς</w:t>
      </w:r>
      <w:r w:rsidRPr="003864F4">
        <w:rPr>
          <w:noProof/>
          <w:szCs w:val="22"/>
          <w:lang w:val="el-GR"/>
        </w:rPr>
        <w:t xml:space="preserve"> </w:t>
      </w:r>
      <w:r w:rsidRPr="00A917CA">
        <w:rPr>
          <w:noProof/>
          <w:szCs w:val="22"/>
          <w:lang w:val="el-GR"/>
        </w:rPr>
        <w:t>των</w:t>
      </w:r>
      <w:r w:rsidRPr="003864F4">
        <w:rPr>
          <w:noProof/>
          <w:szCs w:val="22"/>
          <w:lang w:val="el-GR"/>
        </w:rPr>
        <w:t xml:space="preserve"> 3,6 ± 1,5</w:t>
      </w:r>
      <w:r w:rsidRPr="00A917CA">
        <w:rPr>
          <w:noProof/>
          <w:szCs w:val="22"/>
          <w:lang w:val="el-GR"/>
        </w:rPr>
        <w:t> </w:t>
      </w:r>
      <w:r w:rsidRPr="00A917CA">
        <w:rPr>
          <w:noProof/>
          <w:szCs w:val="22"/>
          <w:lang w:val="en-US"/>
        </w:rPr>
        <w:t>min</w:t>
      </w:r>
      <w:r w:rsidRPr="003864F4">
        <w:rPr>
          <w:noProof/>
          <w:szCs w:val="22"/>
          <w:lang w:val="el-GR"/>
        </w:rPr>
        <w:t xml:space="preserve"> και 46,5 ± 17,2</w:t>
      </w:r>
      <w:r w:rsidRPr="00A917CA">
        <w:rPr>
          <w:noProof/>
          <w:szCs w:val="22"/>
          <w:lang w:val="en-US"/>
        </w:rPr>
        <w:t> </w:t>
      </w:r>
      <w:r w:rsidRPr="003864F4">
        <w:rPr>
          <w:noProof/>
          <w:szCs w:val="22"/>
          <w:lang w:val="en-US"/>
        </w:rPr>
        <w:t>min</w:t>
      </w:r>
      <w:r w:rsidRPr="003864F4">
        <w:rPr>
          <w:noProof/>
          <w:szCs w:val="22"/>
          <w:lang w:val="el-GR"/>
        </w:rPr>
        <w:t xml:space="preserve">, αντίστοιχα, καταγράφηκαν σε 11 ασθενείς με προχωρημένο κακοήθες μελάνωμα. </w:t>
      </w:r>
      <w:r w:rsidRPr="00A917CA">
        <w:rPr>
          <w:noProof/>
          <w:szCs w:val="22"/>
          <w:lang w:val="el-GR"/>
        </w:rPr>
        <w:t>Καταγράφηκε μ</w:t>
      </w:r>
      <w:r w:rsidRPr="003864F4">
        <w:rPr>
          <w:noProof/>
          <w:szCs w:val="22"/>
          <w:lang w:val="el-GR"/>
        </w:rPr>
        <w:t>ια μέση κάθαρση των 55,0 ± 9,4</w:t>
      </w:r>
      <w:r w:rsidRPr="00A917CA">
        <w:rPr>
          <w:noProof/>
          <w:szCs w:val="22"/>
          <w:lang w:val="el-GR"/>
        </w:rPr>
        <w:t> </w:t>
      </w:r>
      <w:r w:rsidRPr="003864F4">
        <w:rPr>
          <w:noProof/>
          <w:szCs w:val="22"/>
          <w:lang w:val="en-US"/>
        </w:rPr>
        <w:t>ml</w:t>
      </w:r>
      <w:r w:rsidRPr="003864F4">
        <w:rPr>
          <w:noProof/>
          <w:szCs w:val="22"/>
          <w:lang w:val="el-GR"/>
        </w:rPr>
        <w:t>/</w:t>
      </w:r>
      <w:r w:rsidRPr="003864F4">
        <w:rPr>
          <w:noProof/>
          <w:szCs w:val="22"/>
          <w:lang w:val="en-US"/>
        </w:rPr>
        <w:t>min</w:t>
      </w:r>
      <w:r w:rsidRPr="003864F4">
        <w:rPr>
          <w:noProof/>
          <w:szCs w:val="22"/>
          <w:lang w:val="el-GR"/>
        </w:rPr>
        <w:t>.</w:t>
      </w:r>
    </w:p>
    <w:p w14:paraId="19E28F20" w14:textId="77777777" w:rsidR="004B0BEF" w:rsidRPr="003864F4" w:rsidRDefault="004B0BEF" w:rsidP="004B0BEF">
      <w:pPr>
        <w:spacing w:after="0"/>
        <w:jc w:val="left"/>
        <w:rPr>
          <w:noProof/>
          <w:szCs w:val="22"/>
          <w:lang w:val="el-GR"/>
        </w:rPr>
      </w:pPr>
    </w:p>
    <w:p w14:paraId="23998FD9" w14:textId="77777777" w:rsidR="004B0BEF" w:rsidRPr="003864F4" w:rsidRDefault="004B0BEF" w:rsidP="004B0BEF">
      <w:pPr>
        <w:spacing w:after="0"/>
        <w:jc w:val="left"/>
        <w:rPr>
          <w:noProof/>
          <w:szCs w:val="22"/>
          <w:u w:val="single"/>
          <w:lang w:val="el-GR"/>
        </w:rPr>
      </w:pPr>
      <w:r w:rsidRPr="003864F4">
        <w:rPr>
          <w:noProof/>
          <w:szCs w:val="22"/>
          <w:u w:val="single"/>
          <w:lang w:val="el-GR"/>
        </w:rPr>
        <w:t>Ηλικιωμένο</w:t>
      </w:r>
      <w:r w:rsidRPr="00A917CA">
        <w:rPr>
          <w:noProof/>
          <w:szCs w:val="22"/>
          <w:u w:val="single"/>
          <w:lang w:val="el-GR"/>
        </w:rPr>
        <w:t>ι</w:t>
      </w:r>
    </w:p>
    <w:p w14:paraId="55304DC6" w14:textId="77777777" w:rsidR="004B0BEF" w:rsidRPr="00A917CA" w:rsidRDefault="004B0BEF" w:rsidP="004B0BEF">
      <w:pPr>
        <w:spacing w:after="0"/>
        <w:jc w:val="left"/>
        <w:rPr>
          <w:noProof/>
          <w:szCs w:val="22"/>
          <w:lang w:val="el-GR"/>
        </w:rPr>
      </w:pPr>
      <w:r w:rsidRPr="00A917CA">
        <w:rPr>
          <w:noProof/>
          <w:szCs w:val="22"/>
          <w:lang w:val="el-GR"/>
        </w:rPr>
        <w:t>Δεν καταδείχθηκε κ</w:t>
      </w:r>
      <w:r w:rsidRPr="003864F4">
        <w:rPr>
          <w:noProof/>
          <w:szCs w:val="22"/>
          <w:lang w:val="el-GR"/>
        </w:rPr>
        <w:t xml:space="preserve">ανένας συσχετισμός μεταξύ της ηλικίας και της κάθαρσης μελφαλάνης ή με </w:t>
      </w:r>
      <w:r w:rsidRPr="00A917CA">
        <w:rPr>
          <w:noProof/>
          <w:szCs w:val="22"/>
          <w:lang w:val="el-GR"/>
        </w:rPr>
        <w:t>τον</w:t>
      </w:r>
      <w:r w:rsidRPr="003864F4">
        <w:rPr>
          <w:noProof/>
          <w:szCs w:val="22"/>
          <w:lang w:val="el-GR"/>
        </w:rPr>
        <w:t xml:space="preserve"> τελικό χρόνο ημίσειας ζωής</w:t>
      </w:r>
      <w:r w:rsidRPr="00A917CA">
        <w:rPr>
          <w:noProof/>
          <w:szCs w:val="22"/>
          <w:lang w:val="el-GR"/>
        </w:rPr>
        <w:t xml:space="preserve"> της μελφαλάνης.</w:t>
      </w:r>
    </w:p>
    <w:p w14:paraId="39248BE2" w14:textId="77777777" w:rsidR="004B0BEF" w:rsidRPr="003864F4" w:rsidRDefault="004B0BEF" w:rsidP="004B0BEF">
      <w:pPr>
        <w:spacing w:after="0"/>
        <w:jc w:val="left"/>
        <w:rPr>
          <w:noProof/>
          <w:szCs w:val="22"/>
          <w:lang w:val="el-GR"/>
        </w:rPr>
      </w:pPr>
    </w:p>
    <w:p w14:paraId="4A17269B" w14:textId="77777777" w:rsidR="004B0BEF" w:rsidRPr="003864F4" w:rsidRDefault="004B0BEF" w:rsidP="004B0BEF">
      <w:pPr>
        <w:spacing w:after="0"/>
        <w:jc w:val="left"/>
        <w:rPr>
          <w:noProof/>
          <w:szCs w:val="22"/>
          <w:u w:val="single"/>
          <w:lang w:val="el-GR"/>
        </w:rPr>
      </w:pPr>
      <w:r w:rsidRPr="003864F4">
        <w:rPr>
          <w:noProof/>
          <w:szCs w:val="22"/>
          <w:u w:val="single"/>
          <w:lang w:val="el-GR"/>
        </w:rPr>
        <w:t xml:space="preserve">Νεφρική </w:t>
      </w:r>
      <w:r w:rsidRPr="00A917CA">
        <w:rPr>
          <w:noProof/>
          <w:szCs w:val="22"/>
          <w:u w:val="single"/>
          <w:lang w:val="el-GR"/>
        </w:rPr>
        <w:t>δυσλειτουργία</w:t>
      </w:r>
    </w:p>
    <w:p w14:paraId="7530E96A" w14:textId="77777777" w:rsidR="004B0BEF" w:rsidRPr="00A917CA" w:rsidRDefault="004B0BEF" w:rsidP="004B0BEF">
      <w:pPr>
        <w:spacing w:after="0"/>
        <w:jc w:val="left"/>
        <w:rPr>
          <w:noProof/>
          <w:szCs w:val="22"/>
          <w:lang w:val="el-GR"/>
        </w:rPr>
      </w:pPr>
      <w:r w:rsidRPr="003864F4">
        <w:rPr>
          <w:noProof/>
          <w:szCs w:val="22"/>
          <w:lang w:val="el-GR"/>
        </w:rPr>
        <w:t xml:space="preserve">Η κάθαρση </w:t>
      </w:r>
      <w:r w:rsidRPr="00A917CA">
        <w:rPr>
          <w:noProof/>
          <w:szCs w:val="22"/>
          <w:lang w:val="el-GR"/>
        </w:rPr>
        <w:t xml:space="preserve">της μελφαλάνης </w:t>
      </w:r>
      <w:r w:rsidRPr="003864F4">
        <w:rPr>
          <w:noProof/>
          <w:szCs w:val="22"/>
          <w:lang w:val="el-GR"/>
        </w:rPr>
        <w:t xml:space="preserve">μπορεί να </w:t>
      </w:r>
      <w:r w:rsidRPr="00A917CA">
        <w:rPr>
          <w:noProof/>
          <w:szCs w:val="22"/>
          <w:lang w:val="el-GR"/>
        </w:rPr>
        <w:t>μειωθεί</w:t>
      </w:r>
      <w:r w:rsidRPr="003864F4">
        <w:rPr>
          <w:noProof/>
          <w:szCs w:val="22"/>
          <w:lang w:val="el-GR"/>
        </w:rPr>
        <w:t xml:space="preserve"> σε </w:t>
      </w:r>
      <w:r w:rsidRPr="00A917CA">
        <w:rPr>
          <w:noProof/>
          <w:szCs w:val="22"/>
          <w:lang w:val="el-GR"/>
        </w:rPr>
        <w:t xml:space="preserve">περίπτωση </w:t>
      </w:r>
      <w:r w:rsidRPr="003864F4">
        <w:rPr>
          <w:noProof/>
          <w:szCs w:val="22"/>
          <w:lang w:val="el-GR"/>
        </w:rPr>
        <w:t>νεφρική</w:t>
      </w:r>
      <w:r w:rsidRPr="00A917CA">
        <w:rPr>
          <w:noProof/>
          <w:szCs w:val="22"/>
          <w:lang w:val="el-GR"/>
        </w:rPr>
        <w:t>ς</w:t>
      </w:r>
      <w:r w:rsidRPr="003864F4">
        <w:rPr>
          <w:noProof/>
          <w:szCs w:val="22"/>
          <w:lang w:val="el-GR"/>
        </w:rPr>
        <w:t xml:space="preserve"> </w:t>
      </w:r>
      <w:r w:rsidRPr="00A917CA">
        <w:rPr>
          <w:noProof/>
          <w:szCs w:val="22"/>
          <w:lang w:val="el-GR"/>
        </w:rPr>
        <w:t>δυσλειτουργίας</w:t>
      </w:r>
      <w:bookmarkEnd w:id="8"/>
      <w:r w:rsidRPr="00A917CA">
        <w:rPr>
          <w:noProof/>
          <w:szCs w:val="22"/>
          <w:lang w:val="el-GR"/>
        </w:rPr>
        <w:t>.</w:t>
      </w:r>
    </w:p>
    <w:p w14:paraId="0625CC89" w14:textId="77777777" w:rsidR="004B0BEF" w:rsidRPr="004B0BEF" w:rsidRDefault="004B0BEF" w:rsidP="004B0BEF">
      <w:pPr>
        <w:pStyle w:val="2"/>
        <w:numPr>
          <w:ilvl w:val="0"/>
          <w:numId w:val="0"/>
        </w:numPr>
        <w:rPr>
          <w:lang w:val="el-GR"/>
        </w:rPr>
      </w:pPr>
    </w:p>
    <w:p w14:paraId="2CB1DDC3" w14:textId="5968021C" w:rsidR="00061777" w:rsidRPr="004B0BEF" w:rsidRDefault="00061777" w:rsidP="00A34926">
      <w:pPr>
        <w:pStyle w:val="2"/>
        <w:rPr>
          <w:lang w:val="el-GR"/>
        </w:rPr>
      </w:pPr>
      <w:proofErr w:type="spellStart"/>
      <w:r w:rsidRPr="004B0BEF">
        <w:rPr>
          <w:lang w:val="el-GR"/>
        </w:rPr>
        <w:t>Προκλινικά</w:t>
      </w:r>
      <w:proofErr w:type="spellEnd"/>
      <w:r w:rsidRPr="004B0BEF">
        <w:rPr>
          <w:lang w:val="el-GR"/>
        </w:rPr>
        <w:t xml:space="preserve"> δεδομένα για την ασφάλεια</w:t>
      </w:r>
    </w:p>
    <w:p w14:paraId="1AF2ECD5" w14:textId="77777777" w:rsidR="004B0BEF" w:rsidRPr="003864F4" w:rsidRDefault="004B0BEF" w:rsidP="004B0BEF">
      <w:pPr>
        <w:spacing w:after="0"/>
        <w:jc w:val="left"/>
        <w:rPr>
          <w:noProof/>
          <w:szCs w:val="22"/>
          <w:u w:val="single"/>
          <w:lang w:val="el-GR"/>
        </w:rPr>
      </w:pPr>
      <w:r w:rsidRPr="003864F4">
        <w:rPr>
          <w:noProof/>
          <w:szCs w:val="22"/>
          <w:u w:val="single"/>
          <w:lang w:val="el-GR"/>
        </w:rPr>
        <w:t xml:space="preserve">Τοξικότητα </w:t>
      </w:r>
      <w:r w:rsidRPr="00A917CA">
        <w:rPr>
          <w:noProof/>
          <w:szCs w:val="22"/>
          <w:u w:val="single"/>
          <w:lang w:val="el-GR"/>
        </w:rPr>
        <w:t>σ</w:t>
      </w:r>
      <w:r w:rsidRPr="003864F4">
        <w:rPr>
          <w:noProof/>
          <w:szCs w:val="22"/>
          <w:u w:val="single"/>
          <w:lang w:val="el-GR"/>
        </w:rPr>
        <w:t>την αναπαραγωγ</w:t>
      </w:r>
      <w:r w:rsidRPr="00A917CA">
        <w:rPr>
          <w:noProof/>
          <w:szCs w:val="22"/>
          <w:u w:val="single"/>
          <w:lang w:val="el-GR"/>
        </w:rPr>
        <w:t>ικ</w:t>
      </w:r>
      <w:r w:rsidRPr="003864F4">
        <w:rPr>
          <w:noProof/>
          <w:szCs w:val="22"/>
          <w:u w:val="single"/>
          <w:lang w:val="el-GR"/>
        </w:rPr>
        <w:t>ή</w:t>
      </w:r>
      <w:r w:rsidRPr="00A917CA">
        <w:rPr>
          <w:noProof/>
          <w:szCs w:val="22"/>
          <w:u w:val="single"/>
          <w:lang w:val="el-GR"/>
        </w:rPr>
        <w:t xml:space="preserve"> ικανότητα</w:t>
      </w:r>
    </w:p>
    <w:p w14:paraId="747456F5" w14:textId="77777777" w:rsidR="004B0BEF" w:rsidRPr="00A917CA" w:rsidRDefault="004B0BEF" w:rsidP="004B0BEF">
      <w:pPr>
        <w:spacing w:after="0"/>
        <w:jc w:val="left"/>
        <w:rPr>
          <w:noProof/>
          <w:szCs w:val="22"/>
          <w:lang w:val="el-GR"/>
        </w:rPr>
      </w:pPr>
      <w:r w:rsidRPr="00A917CA">
        <w:rPr>
          <w:noProof/>
          <w:szCs w:val="22"/>
          <w:lang w:val="el-GR"/>
        </w:rPr>
        <w:t>Η</w:t>
      </w:r>
      <w:r w:rsidRPr="003864F4">
        <w:rPr>
          <w:noProof/>
          <w:szCs w:val="22"/>
          <w:lang w:val="el-GR"/>
        </w:rPr>
        <w:t xml:space="preserve"> </w:t>
      </w:r>
      <w:r w:rsidRPr="00A917CA">
        <w:rPr>
          <w:noProof/>
          <w:szCs w:val="22"/>
          <w:lang w:val="el-GR"/>
        </w:rPr>
        <w:t>θεραπεία</w:t>
      </w:r>
      <w:r w:rsidRPr="003864F4">
        <w:rPr>
          <w:noProof/>
          <w:szCs w:val="22"/>
          <w:lang w:val="el-GR"/>
        </w:rPr>
        <w:t xml:space="preserve"> </w:t>
      </w:r>
      <w:r w:rsidRPr="00A917CA">
        <w:rPr>
          <w:noProof/>
          <w:szCs w:val="22"/>
          <w:lang w:val="el-GR"/>
        </w:rPr>
        <w:t>με μελφαλάνη</w:t>
      </w:r>
      <w:r w:rsidRPr="003864F4">
        <w:rPr>
          <w:noProof/>
          <w:szCs w:val="22"/>
          <w:lang w:val="el-GR"/>
        </w:rPr>
        <w:t xml:space="preserve"> </w:t>
      </w:r>
      <w:r w:rsidRPr="00A917CA">
        <w:rPr>
          <w:noProof/>
          <w:szCs w:val="22"/>
          <w:lang w:val="el-GR"/>
        </w:rPr>
        <w:t>έχει</w:t>
      </w:r>
      <w:r w:rsidRPr="003864F4">
        <w:rPr>
          <w:noProof/>
          <w:szCs w:val="22"/>
          <w:lang w:val="el-GR"/>
        </w:rPr>
        <w:t xml:space="preserve"> </w:t>
      </w:r>
      <w:r w:rsidRPr="00A917CA">
        <w:rPr>
          <w:noProof/>
          <w:szCs w:val="22"/>
          <w:lang w:val="el-GR"/>
        </w:rPr>
        <w:t>συσχετισθεί</w:t>
      </w:r>
      <w:r w:rsidRPr="003864F4">
        <w:rPr>
          <w:noProof/>
          <w:szCs w:val="22"/>
          <w:lang w:val="el-GR"/>
        </w:rPr>
        <w:t xml:space="preserve"> </w:t>
      </w:r>
      <w:r w:rsidRPr="00A917CA">
        <w:rPr>
          <w:noProof/>
          <w:szCs w:val="22"/>
          <w:lang w:val="el-GR"/>
        </w:rPr>
        <w:t>με</w:t>
      </w:r>
      <w:r w:rsidRPr="003864F4">
        <w:rPr>
          <w:noProof/>
          <w:szCs w:val="22"/>
          <w:lang w:val="el-GR"/>
        </w:rPr>
        <w:t xml:space="preserve"> </w:t>
      </w:r>
      <w:r w:rsidRPr="00A917CA">
        <w:rPr>
          <w:noProof/>
          <w:szCs w:val="22"/>
          <w:lang w:val="el-GR"/>
        </w:rPr>
        <w:t>μια</w:t>
      </w:r>
      <w:r w:rsidRPr="003864F4">
        <w:rPr>
          <w:noProof/>
          <w:szCs w:val="22"/>
          <w:lang w:val="el-GR"/>
        </w:rPr>
        <w:t xml:space="preserve"> </w:t>
      </w:r>
      <w:r w:rsidRPr="00A917CA">
        <w:rPr>
          <w:noProof/>
          <w:szCs w:val="22"/>
          <w:lang w:val="el-GR"/>
        </w:rPr>
        <w:t>μείωση</w:t>
      </w:r>
      <w:r w:rsidRPr="003864F4">
        <w:rPr>
          <w:noProof/>
          <w:szCs w:val="22"/>
          <w:lang w:val="el-GR"/>
        </w:rPr>
        <w:t xml:space="preserve"> </w:t>
      </w:r>
      <w:r w:rsidRPr="00A917CA">
        <w:rPr>
          <w:noProof/>
          <w:szCs w:val="22"/>
          <w:lang w:val="el-GR"/>
        </w:rPr>
        <w:t>στη</w:t>
      </w:r>
      <w:r w:rsidRPr="003864F4">
        <w:rPr>
          <w:noProof/>
          <w:szCs w:val="22"/>
          <w:lang w:val="el-GR"/>
        </w:rPr>
        <w:t xml:space="preserve"> </w:t>
      </w:r>
      <w:r w:rsidRPr="00A917CA">
        <w:rPr>
          <w:noProof/>
          <w:szCs w:val="22"/>
          <w:lang w:val="el-GR"/>
        </w:rPr>
        <w:t>λειτουργία</w:t>
      </w:r>
      <w:r w:rsidRPr="003864F4">
        <w:rPr>
          <w:noProof/>
          <w:szCs w:val="22"/>
          <w:lang w:val="el-GR"/>
        </w:rPr>
        <w:t xml:space="preserve"> </w:t>
      </w:r>
      <w:r w:rsidRPr="00A917CA">
        <w:rPr>
          <w:noProof/>
          <w:szCs w:val="22"/>
          <w:lang w:val="el-GR"/>
        </w:rPr>
        <w:t>των</w:t>
      </w:r>
      <w:r w:rsidRPr="003864F4">
        <w:rPr>
          <w:noProof/>
          <w:szCs w:val="22"/>
          <w:lang w:val="el-GR"/>
        </w:rPr>
        <w:t xml:space="preserve"> </w:t>
      </w:r>
      <w:r w:rsidRPr="00A917CA">
        <w:rPr>
          <w:noProof/>
          <w:szCs w:val="22"/>
          <w:lang w:val="el-GR"/>
        </w:rPr>
        <w:t>ωοθηκών</w:t>
      </w:r>
      <w:r w:rsidRPr="003864F4">
        <w:rPr>
          <w:noProof/>
          <w:szCs w:val="22"/>
          <w:lang w:val="el-GR"/>
        </w:rPr>
        <w:t xml:space="preserve"> </w:t>
      </w:r>
      <w:r w:rsidRPr="00A917CA">
        <w:rPr>
          <w:noProof/>
          <w:szCs w:val="22"/>
          <w:lang w:val="el-GR"/>
        </w:rPr>
        <w:t>σε</w:t>
      </w:r>
      <w:r w:rsidRPr="003864F4">
        <w:rPr>
          <w:noProof/>
          <w:szCs w:val="22"/>
          <w:lang w:val="el-GR"/>
        </w:rPr>
        <w:t xml:space="preserve"> </w:t>
      </w:r>
      <w:r w:rsidRPr="00A917CA">
        <w:rPr>
          <w:noProof/>
          <w:szCs w:val="22"/>
          <w:lang w:val="el-GR"/>
        </w:rPr>
        <w:t>ασθενείς</w:t>
      </w:r>
      <w:r w:rsidRPr="003864F4">
        <w:rPr>
          <w:noProof/>
          <w:szCs w:val="22"/>
          <w:lang w:val="el-GR"/>
        </w:rPr>
        <w:t xml:space="preserve"> </w:t>
      </w:r>
      <w:r w:rsidRPr="00A917CA">
        <w:rPr>
          <w:noProof/>
          <w:szCs w:val="22"/>
          <w:lang w:val="el-GR"/>
        </w:rPr>
        <w:t>σε</w:t>
      </w:r>
      <w:r w:rsidRPr="003864F4">
        <w:rPr>
          <w:noProof/>
          <w:szCs w:val="22"/>
          <w:lang w:val="el-GR"/>
        </w:rPr>
        <w:t xml:space="preserve"> </w:t>
      </w:r>
      <w:r w:rsidRPr="00A917CA">
        <w:rPr>
          <w:noProof/>
          <w:szCs w:val="22"/>
          <w:lang w:val="el-GR"/>
        </w:rPr>
        <w:t>προεμμηνόπαυση</w:t>
      </w:r>
      <w:r w:rsidRPr="003864F4">
        <w:rPr>
          <w:noProof/>
          <w:szCs w:val="22"/>
          <w:lang w:val="el-GR"/>
        </w:rPr>
        <w:t xml:space="preserve">. </w:t>
      </w:r>
      <w:r w:rsidRPr="00A917CA">
        <w:rPr>
          <w:noProof/>
          <w:szCs w:val="22"/>
          <w:lang w:val="el-GR"/>
        </w:rPr>
        <w:t xml:space="preserve">Αμηνόρροια ανέκυψε σε σημαντικό αριθμό περιπτώσεων. Από κάποια πειράματα σε ζώα, μπορεί να συναχθεί το συμπέρασμα ότι η μελφαλάνη επηρεάζει τη σπερματογένεση. Συνεπώς, είναι πιθανό ότι </w:t>
      </w:r>
      <w:r>
        <w:rPr>
          <w:noProof/>
          <w:szCs w:val="22"/>
          <w:lang w:val="el-GR"/>
        </w:rPr>
        <w:t xml:space="preserve">η </w:t>
      </w:r>
      <w:r w:rsidRPr="00A917CA">
        <w:rPr>
          <w:noProof/>
          <w:szCs w:val="22"/>
          <w:lang w:val="el-GR"/>
        </w:rPr>
        <w:t>μελφαλάνη προκαλεί παροδική ή μόνιμη στειρότητα στους άνδρες ασθενείς.</w:t>
      </w:r>
    </w:p>
    <w:p w14:paraId="2E38DBF5" w14:textId="77777777" w:rsidR="004B0BEF" w:rsidRPr="00A917CA" w:rsidRDefault="004B0BEF" w:rsidP="004B0BEF">
      <w:pPr>
        <w:spacing w:after="0"/>
        <w:jc w:val="left"/>
        <w:rPr>
          <w:noProof/>
          <w:szCs w:val="22"/>
          <w:lang w:val="el-GR"/>
        </w:rPr>
      </w:pPr>
      <w:r w:rsidRPr="00A917CA">
        <w:rPr>
          <w:noProof/>
          <w:szCs w:val="22"/>
          <w:lang w:val="el-GR"/>
        </w:rPr>
        <w:t xml:space="preserve">Δεν υπάρχουν μελέτες για τερατογένεση. Ωστόσο, λόγω της μεταλλαξιογόνου δράσης και της δομικής ομοιότητας με άλλες αλκυλιωτικές ουσίες με τερατογόνο δράση, ο κίνδυνος δυσπλασιών στα παιδιά δεν μπορεί να αποκλειστεί, εάν ένας γονέας έχει λάβει θεραπεία με μελφαλάνη. </w:t>
      </w:r>
    </w:p>
    <w:p w14:paraId="565B0FA8" w14:textId="77777777" w:rsidR="004B0BEF" w:rsidRPr="00A917CA" w:rsidRDefault="004B0BEF" w:rsidP="004B0BEF">
      <w:pPr>
        <w:spacing w:after="0"/>
        <w:jc w:val="left"/>
        <w:rPr>
          <w:noProof/>
          <w:szCs w:val="22"/>
          <w:u w:val="single"/>
          <w:lang w:val="el-GR"/>
        </w:rPr>
      </w:pPr>
    </w:p>
    <w:p w14:paraId="7E748F12" w14:textId="77777777" w:rsidR="004B0BEF" w:rsidRPr="00A917CA" w:rsidRDefault="004B0BEF" w:rsidP="004B0BEF">
      <w:pPr>
        <w:spacing w:after="0"/>
        <w:jc w:val="left"/>
        <w:rPr>
          <w:noProof/>
          <w:szCs w:val="22"/>
          <w:u w:val="single"/>
          <w:lang w:val="el-GR"/>
        </w:rPr>
      </w:pPr>
      <w:r w:rsidRPr="00A917CA">
        <w:rPr>
          <w:noProof/>
          <w:szCs w:val="22"/>
          <w:u w:val="single"/>
          <w:lang w:val="el-GR"/>
        </w:rPr>
        <w:t>Μεταλλαξιογένεση και καρκινογένεση</w:t>
      </w:r>
    </w:p>
    <w:p w14:paraId="58A1AD15" w14:textId="77777777" w:rsidR="004B0BEF" w:rsidRPr="00A917CA" w:rsidRDefault="004B0BEF" w:rsidP="004B0BEF">
      <w:pPr>
        <w:spacing w:after="0"/>
        <w:jc w:val="left"/>
        <w:rPr>
          <w:noProof/>
          <w:szCs w:val="22"/>
          <w:lang w:val="el-GR"/>
        </w:rPr>
      </w:pPr>
      <w:r w:rsidRPr="00A917CA">
        <w:rPr>
          <w:noProof/>
          <w:szCs w:val="22"/>
          <w:lang w:val="el-GR"/>
        </w:rPr>
        <w:t>Η μελφαλάνη είναι μεταλλαξιογόνος σε πειράματα σε ζώα. Σε ασθενείς που έλαβαν μελφαλάνη παρατηρήθηκαν χρωμοσωμικές εκτροπές.</w:t>
      </w:r>
    </w:p>
    <w:p w14:paraId="4D79EF19" w14:textId="77777777" w:rsidR="004B0BEF" w:rsidRPr="003864F4" w:rsidRDefault="004B0BEF" w:rsidP="004B0BEF">
      <w:pPr>
        <w:spacing w:after="0"/>
        <w:jc w:val="left"/>
        <w:rPr>
          <w:noProof/>
          <w:szCs w:val="22"/>
          <w:lang w:val="el-GR"/>
        </w:rPr>
      </w:pPr>
      <w:r w:rsidRPr="00A917CA">
        <w:rPr>
          <w:noProof/>
          <w:szCs w:val="22"/>
          <w:lang w:val="el-GR"/>
        </w:rPr>
        <w:t>Η μελφαλάνη κατέδειξε</w:t>
      </w:r>
      <w:r w:rsidRPr="003864F4">
        <w:rPr>
          <w:noProof/>
          <w:szCs w:val="22"/>
          <w:lang w:val="el-GR"/>
        </w:rPr>
        <w:t xml:space="preserve"> </w:t>
      </w:r>
      <w:r w:rsidRPr="00A917CA">
        <w:rPr>
          <w:noProof/>
          <w:szCs w:val="22"/>
          <w:lang w:val="el-GR"/>
        </w:rPr>
        <w:t>καρκινογόνο</w:t>
      </w:r>
      <w:r w:rsidRPr="003864F4">
        <w:rPr>
          <w:noProof/>
          <w:szCs w:val="22"/>
          <w:lang w:val="el-GR"/>
        </w:rPr>
        <w:t xml:space="preserve"> </w:t>
      </w:r>
      <w:r w:rsidRPr="00A917CA">
        <w:rPr>
          <w:noProof/>
          <w:szCs w:val="22"/>
          <w:lang w:val="el-GR"/>
        </w:rPr>
        <w:t>δράση</w:t>
      </w:r>
      <w:r w:rsidRPr="003864F4">
        <w:rPr>
          <w:noProof/>
          <w:szCs w:val="22"/>
          <w:lang w:val="el-GR"/>
        </w:rPr>
        <w:t xml:space="preserve"> </w:t>
      </w:r>
      <w:r w:rsidRPr="00A917CA">
        <w:rPr>
          <w:noProof/>
          <w:szCs w:val="22"/>
          <w:lang w:val="el-GR"/>
        </w:rPr>
        <w:t>σε</w:t>
      </w:r>
      <w:r w:rsidRPr="003864F4">
        <w:rPr>
          <w:noProof/>
          <w:szCs w:val="22"/>
          <w:lang w:val="el-GR"/>
        </w:rPr>
        <w:t xml:space="preserve"> </w:t>
      </w:r>
      <w:r w:rsidRPr="00A917CA">
        <w:rPr>
          <w:noProof/>
          <w:szCs w:val="22"/>
          <w:lang w:val="el-GR"/>
        </w:rPr>
        <w:t>πειράματα</w:t>
      </w:r>
      <w:r w:rsidRPr="003864F4">
        <w:rPr>
          <w:noProof/>
          <w:szCs w:val="22"/>
          <w:lang w:val="el-GR"/>
        </w:rPr>
        <w:t xml:space="preserve"> </w:t>
      </w:r>
      <w:r w:rsidRPr="00A917CA">
        <w:rPr>
          <w:noProof/>
          <w:szCs w:val="22"/>
          <w:lang w:val="el-GR"/>
        </w:rPr>
        <w:t>σε</w:t>
      </w:r>
      <w:r w:rsidRPr="003864F4">
        <w:rPr>
          <w:noProof/>
          <w:szCs w:val="22"/>
          <w:lang w:val="el-GR"/>
        </w:rPr>
        <w:t xml:space="preserve"> </w:t>
      </w:r>
      <w:r w:rsidRPr="00A917CA">
        <w:rPr>
          <w:noProof/>
          <w:szCs w:val="22"/>
          <w:lang w:val="el-GR"/>
        </w:rPr>
        <w:t>ζώα</w:t>
      </w:r>
      <w:r w:rsidRPr="003864F4">
        <w:rPr>
          <w:noProof/>
          <w:szCs w:val="22"/>
          <w:lang w:val="el-GR"/>
        </w:rPr>
        <w:t>.</w:t>
      </w:r>
    </w:p>
    <w:p w14:paraId="59D65E35" w14:textId="77777777" w:rsidR="004B0BEF" w:rsidRPr="003864F4" w:rsidRDefault="004B0BEF" w:rsidP="004B0BEF">
      <w:pPr>
        <w:spacing w:after="0"/>
        <w:jc w:val="left"/>
        <w:rPr>
          <w:noProof/>
          <w:szCs w:val="22"/>
          <w:lang w:val="el-GR"/>
        </w:rPr>
      </w:pPr>
    </w:p>
    <w:p w14:paraId="3BC9C560" w14:textId="77777777" w:rsidR="00061777" w:rsidRPr="0044180F" w:rsidRDefault="00061777" w:rsidP="00061777">
      <w:pPr>
        <w:spacing w:after="0"/>
        <w:rPr>
          <w:noProof/>
          <w:szCs w:val="22"/>
          <w:lang w:val="el-GR"/>
        </w:rPr>
      </w:pPr>
    </w:p>
    <w:p w14:paraId="46A5C89E" w14:textId="5B42AA13" w:rsidR="00061777" w:rsidRDefault="00061777" w:rsidP="00061777">
      <w:pPr>
        <w:pStyle w:val="1"/>
      </w:pPr>
      <w:r w:rsidRPr="007931FA">
        <w:lastRenderedPageBreak/>
        <w:t>ΦΑΡΜΑΚΕΥΤΙΚΕΣ</w:t>
      </w:r>
      <w:r w:rsidR="00970FC6">
        <w:rPr>
          <w:lang w:val="el-GR"/>
        </w:rPr>
        <w:t xml:space="preserve"> ΠΛΗΡΟΦΟΡΙΕΣ</w:t>
      </w:r>
    </w:p>
    <w:p w14:paraId="610E3FF2" w14:textId="77777777" w:rsidR="00061777" w:rsidRDefault="00061777" w:rsidP="00061777">
      <w:pPr>
        <w:pStyle w:val="2"/>
      </w:pPr>
      <w:r w:rsidRPr="007931FA">
        <w:t>Κα</w:t>
      </w:r>
      <w:proofErr w:type="spellStart"/>
      <w:r w:rsidRPr="007931FA">
        <w:t>τάλογος</w:t>
      </w:r>
      <w:proofErr w:type="spellEnd"/>
      <w:r w:rsidRPr="007931FA">
        <w:t xml:space="preserve"> </w:t>
      </w:r>
      <w:proofErr w:type="spellStart"/>
      <w:r w:rsidRPr="007931FA">
        <w:t>εκδόχων</w:t>
      </w:r>
      <w:proofErr w:type="spellEnd"/>
    </w:p>
    <w:p w14:paraId="7AB80BFD" w14:textId="2B06E85E" w:rsidR="00061777" w:rsidRPr="00E56986" w:rsidRDefault="00D54A04" w:rsidP="00061777">
      <w:pPr>
        <w:pStyle w:val="a0"/>
        <w:spacing w:after="0"/>
        <w:ind w:left="0"/>
        <w:rPr>
          <w:u w:val="single"/>
          <w:lang w:val="el-GR"/>
        </w:rPr>
      </w:pPr>
      <w:r>
        <w:rPr>
          <w:u w:val="single"/>
          <w:lang w:val="el-GR"/>
        </w:rPr>
        <w:t>Κόνις</w:t>
      </w:r>
    </w:p>
    <w:p w14:paraId="01B0EA64" w14:textId="77777777" w:rsidR="00061777" w:rsidRDefault="00061777" w:rsidP="00061777">
      <w:pPr>
        <w:pStyle w:val="a0"/>
        <w:spacing w:after="0"/>
        <w:ind w:left="0"/>
      </w:pPr>
      <w:proofErr w:type="spellStart"/>
      <w:r>
        <w:t>Πο</w:t>
      </w:r>
      <w:proofErr w:type="spellEnd"/>
      <w:r>
        <w:t>βιδόνη (K-</w:t>
      </w:r>
      <w:proofErr w:type="spellStart"/>
      <w:r>
        <w:t>τιμή</w:t>
      </w:r>
      <w:proofErr w:type="spellEnd"/>
      <w:r>
        <w:t xml:space="preserve">: 10,2 </w:t>
      </w:r>
      <w:proofErr w:type="spellStart"/>
      <w:r>
        <w:t>έως</w:t>
      </w:r>
      <w:proofErr w:type="spellEnd"/>
      <w:r>
        <w:t xml:space="preserve"> 13,8)</w:t>
      </w:r>
    </w:p>
    <w:p w14:paraId="7B1CAD01" w14:textId="77777777" w:rsidR="00061777" w:rsidRPr="00E17D2F" w:rsidRDefault="00061777" w:rsidP="00061777">
      <w:pPr>
        <w:pStyle w:val="a0"/>
        <w:spacing w:after="0"/>
        <w:ind w:left="0"/>
        <w:rPr>
          <w:lang w:val="el-GR"/>
        </w:rPr>
      </w:pPr>
      <w:r w:rsidRPr="00E17D2F">
        <w:rPr>
          <w:lang w:val="el-GR"/>
        </w:rPr>
        <w:t xml:space="preserve">Υδροχλωρικό οξύ, αραιό (για ρύθμιση του </w:t>
      </w:r>
      <w:r>
        <w:t>pH</w:t>
      </w:r>
      <w:r w:rsidRPr="00E17D2F">
        <w:rPr>
          <w:lang w:val="el-GR"/>
        </w:rPr>
        <w:t>)</w:t>
      </w:r>
    </w:p>
    <w:p w14:paraId="0A46997D" w14:textId="77777777" w:rsidR="00061777" w:rsidRPr="001968D1" w:rsidRDefault="00061777" w:rsidP="00061777">
      <w:pPr>
        <w:pStyle w:val="a0"/>
        <w:spacing w:after="0"/>
        <w:ind w:left="0"/>
        <w:rPr>
          <w:lang w:val="el-GR"/>
        </w:rPr>
      </w:pPr>
    </w:p>
    <w:p w14:paraId="517B035C" w14:textId="14194675" w:rsidR="00061777" w:rsidRPr="00E17D2F" w:rsidRDefault="00D54A04" w:rsidP="00061777">
      <w:pPr>
        <w:pStyle w:val="a0"/>
        <w:spacing w:after="0"/>
        <w:ind w:left="0"/>
        <w:rPr>
          <w:u w:val="single"/>
          <w:lang w:val="el-GR"/>
        </w:rPr>
      </w:pPr>
      <w:r>
        <w:rPr>
          <w:u w:val="single"/>
          <w:lang w:val="el-GR"/>
        </w:rPr>
        <w:t>Διαλύτης</w:t>
      </w:r>
    </w:p>
    <w:p w14:paraId="773CCE0A" w14:textId="505E6B12" w:rsidR="00061777" w:rsidRPr="00E17D2F" w:rsidRDefault="007238DA" w:rsidP="00061777">
      <w:pPr>
        <w:pStyle w:val="a0"/>
        <w:spacing w:after="0"/>
        <w:ind w:left="0"/>
        <w:rPr>
          <w:lang w:val="el-GR"/>
        </w:rPr>
      </w:pPr>
      <w:r>
        <w:rPr>
          <w:noProof/>
          <w:szCs w:val="22"/>
          <w:lang w:val="el-GR"/>
        </w:rPr>
        <w:t>Ν</w:t>
      </w:r>
      <w:r w:rsidRPr="004155E7">
        <w:rPr>
          <w:noProof/>
          <w:szCs w:val="22"/>
          <w:lang w:val="el-GR"/>
        </w:rPr>
        <w:t>άτριο κιτρικό διυδρικό</w:t>
      </w:r>
    </w:p>
    <w:p w14:paraId="72B94BDE" w14:textId="77777777" w:rsidR="00061777" w:rsidRPr="00E17D2F" w:rsidRDefault="00061777" w:rsidP="00061777">
      <w:pPr>
        <w:pStyle w:val="a0"/>
        <w:spacing w:after="0"/>
        <w:ind w:left="0"/>
        <w:rPr>
          <w:lang w:val="el-GR"/>
        </w:rPr>
      </w:pPr>
      <w:proofErr w:type="spellStart"/>
      <w:r w:rsidRPr="00E17D2F">
        <w:rPr>
          <w:lang w:val="el-GR"/>
        </w:rPr>
        <w:t>Προπυλενογλυκόλη</w:t>
      </w:r>
      <w:proofErr w:type="spellEnd"/>
    </w:p>
    <w:p w14:paraId="49A075C4" w14:textId="6210C8AC" w:rsidR="00061777" w:rsidRPr="00E17D2F" w:rsidRDefault="007238DA" w:rsidP="00061777">
      <w:pPr>
        <w:pStyle w:val="a0"/>
        <w:spacing w:after="0"/>
        <w:ind w:left="0"/>
        <w:rPr>
          <w:lang w:val="el-GR"/>
        </w:rPr>
      </w:pPr>
      <w:r>
        <w:rPr>
          <w:lang w:val="el-GR"/>
        </w:rPr>
        <w:t>Α</w:t>
      </w:r>
      <w:r w:rsidR="00061777" w:rsidRPr="00E17D2F">
        <w:rPr>
          <w:lang w:val="el-GR"/>
        </w:rPr>
        <w:t xml:space="preserve">ιθανόλη 96 </w:t>
      </w:r>
      <w:r>
        <w:rPr>
          <w:lang w:val="el-GR"/>
        </w:rPr>
        <w:t>%</w:t>
      </w:r>
    </w:p>
    <w:p w14:paraId="2BD2AC42" w14:textId="77777777" w:rsidR="00061777" w:rsidRPr="00E17D2F" w:rsidRDefault="00061777" w:rsidP="00061777">
      <w:pPr>
        <w:pStyle w:val="a0"/>
        <w:spacing w:after="0"/>
        <w:ind w:left="0"/>
        <w:rPr>
          <w:lang w:val="el-GR"/>
        </w:rPr>
      </w:pPr>
      <w:r w:rsidRPr="00E17D2F">
        <w:rPr>
          <w:lang w:val="el-GR"/>
        </w:rPr>
        <w:t>Ύδωρ για ενέσιμα</w:t>
      </w:r>
    </w:p>
    <w:p w14:paraId="4C272177" w14:textId="77777777" w:rsidR="00061777" w:rsidRPr="00E17D2F" w:rsidRDefault="00061777" w:rsidP="00061777">
      <w:pPr>
        <w:pStyle w:val="a0"/>
        <w:spacing w:after="0"/>
        <w:ind w:left="0"/>
        <w:rPr>
          <w:lang w:val="el-GR"/>
        </w:rPr>
      </w:pPr>
    </w:p>
    <w:p w14:paraId="5287F7D6" w14:textId="39FDCA0F" w:rsidR="007238DA" w:rsidRPr="007238DA" w:rsidRDefault="007238DA" w:rsidP="007238DA">
      <w:pPr>
        <w:rPr>
          <w:b/>
          <w:lang w:val="el-GR"/>
        </w:rPr>
      </w:pPr>
      <w:r w:rsidRPr="007238DA">
        <w:rPr>
          <w:b/>
          <w:lang w:val="el-GR"/>
        </w:rPr>
        <w:t>6.2</w:t>
      </w:r>
      <w:r w:rsidRPr="007238DA">
        <w:rPr>
          <w:b/>
          <w:lang w:val="el-GR"/>
        </w:rPr>
        <w:tab/>
      </w:r>
      <w:r w:rsidR="00061777" w:rsidRPr="007238DA">
        <w:rPr>
          <w:b/>
          <w:lang w:val="el-GR"/>
        </w:rPr>
        <w:t>Ασυμβατότητες</w:t>
      </w:r>
      <w:r w:rsidRPr="007238DA">
        <w:rPr>
          <w:b/>
          <w:lang w:val="el-GR"/>
        </w:rPr>
        <w:t xml:space="preserve"> </w:t>
      </w:r>
    </w:p>
    <w:p w14:paraId="18118D3B" w14:textId="21F94C9E" w:rsidR="007238DA" w:rsidRPr="007238DA" w:rsidRDefault="007238DA" w:rsidP="007238DA">
      <w:pPr>
        <w:rPr>
          <w:lang w:val="el-GR"/>
        </w:rPr>
      </w:pPr>
      <w:r>
        <w:t>To</w:t>
      </w:r>
      <w:r w:rsidRPr="007238DA">
        <w:rPr>
          <w:lang w:val="el-GR"/>
        </w:rPr>
        <w:t xml:space="preserve"> </w:t>
      </w:r>
      <w:r>
        <w:rPr>
          <w:noProof/>
          <w:szCs w:val="22"/>
          <w:lang w:val="en-US"/>
        </w:rPr>
        <w:t>Melphalan</w:t>
      </w:r>
      <w:r w:rsidRPr="00E56986">
        <w:rPr>
          <w:noProof/>
          <w:szCs w:val="22"/>
          <w:lang w:val="el-GR"/>
        </w:rPr>
        <w:t xml:space="preserve"> </w:t>
      </w:r>
      <w:r>
        <w:rPr>
          <w:noProof/>
          <w:szCs w:val="22"/>
          <w:lang w:val="en-US"/>
        </w:rPr>
        <w:t>Tillomed</w:t>
      </w:r>
      <w:r w:rsidRPr="00E56986">
        <w:rPr>
          <w:noProof/>
          <w:szCs w:val="22"/>
          <w:lang w:val="el-GR"/>
        </w:rPr>
        <w:t xml:space="preserve"> </w:t>
      </w:r>
      <w:r w:rsidRPr="00E17D2F">
        <w:rPr>
          <w:lang w:val="el-GR"/>
        </w:rPr>
        <w:t>δεν</w:t>
      </w:r>
      <w:r w:rsidRPr="007238DA">
        <w:rPr>
          <w:lang w:val="el-GR"/>
        </w:rPr>
        <w:t xml:space="preserve"> </w:t>
      </w:r>
      <w:r w:rsidRPr="00E17D2F">
        <w:rPr>
          <w:lang w:val="el-GR"/>
        </w:rPr>
        <w:t>είναι</w:t>
      </w:r>
      <w:r w:rsidRPr="007238DA">
        <w:rPr>
          <w:lang w:val="el-GR"/>
        </w:rPr>
        <w:t xml:space="preserve"> </w:t>
      </w:r>
      <w:r w:rsidRPr="00E17D2F">
        <w:rPr>
          <w:lang w:val="el-GR"/>
        </w:rPr>
        <w:t>συμβατό</w:t>
      </w:r>
      <w:r w:rsidRPr="007238DA">
        <w:rPr>
          <w:lang w:val="el-GR"/>
        </w:rPr>
        <w:t xml:space="preserve"> </w:t>
      </w:r>
      <w:r w:rsidRPr="00E17D2F">
        <w:rPr>
          <w:lang w:val="el-GR"/>
        </w:rPr>
        <w:t>με</w:t>
      </w:r>
      <w:r w:rsidRPr="007238DA">
        <w:rPr>
          <w:lang w:val="el-GR"/>
        </w:rPr>
        <w:t xml:space="preserve"> </w:t>
      </w:r>
      <w:r w:rsidRPr="00E17D2F">
        <w:rPr>
          <w:lang w:val="el-GR"/>
        </w:rPr>
        <w:t>διαλύματα</w:t>
      </w:r>
      <w:r w:rsidRPr="007238DA">
        <w:rPr>
          <w:lang w:val="el-GR"/>
        </w:rPr>
        <w:t xml:space="preserve"> </w:t>
      </w:r>
      <w:r w:rsidRPr="00E17D2F">
        <w:rPr>
          <w:lang w:val="el-GR"/>
        </w:rPr>
        <w:t>έγχυσης</w:t>
      </w:r>
      <w:r w:rsidRPr="007238DA">
        <w:rPr>
          <w:lang w:val="el-GR"/>
        </w:rPr>
        <w:t xml:space="preserve"> </w:t>
      </w:r>
      <w:r w:rsidRPr="00E17D2F">
        <w:rPr>
          <w:lang w:val="el-GR"/>
        </w:rPr>
        <w:t>που</w:t>
      </w:r>
      <w:r w:rsidRPr="007238DA">
        <w:rPr>
          <w:lang w:val="el-GR"/>
        </w:rPr>
        <w:t xml:space="preserve"> </w:t>
      </w:r>
      <w:r w:rsidRPr="00E17D2F">
        <w:rPr>
          <w:lang w:val="el-GR"/>
        </w:rPr>
        <w:t>περιέχουν</w:t>
      </w:r>
      <w:r w:rsidRPr="007238DA">
        <w:rPr>
          <w:lang w:val="el-GR"/>
        </w:rPr>
        <w:t xml:space="preserve"> </w:t>
      </w:r>
      <w:proofErr w:type="spellStart"/>
      <w:r w:rsidRPr="00E17D2F">
        <w:rPr>
          <w:lang w:val="el-GR"/>
        </w:rPr>
        <w:t>δεξτρόζη</w:t>
      </w:r>
      <w:proofErr w:type="spellEnd"/>
      <w:r w:rsidRPr="007238DA">
        <w:rPr>
          <w:lang w:val="el-GR"/>
        </w:rPr>
        <w:t xml:space="preserve"> </w:t>
      </w:r>
      <w:r w:rsidRPr="00E17D2F">
        <w:rPr>
          <w:lang w:val="el-GR"/>
        </w:rPr>
        <w:t>και</w:t>
      </w:r>
      <w:r w:rsidRPr="007238DA">
        <w:rPr>
          <w:lang w:val="el-GR"/>
        </w:rPr>
        <w:t xml:space="preserve"> </w:t>
      </w:r>
      <w:r w:rsidRPr="00E17D2F">
        <w:rPr>
          <w:lang w:val="el-GR"/>
        </w:rPr>
        <w:t>συνιστάται</w:t>
      </w:r>
      <w:r w:rsidRPr="007238DA">
        <w:rPr>
          <w:lang w:val="el-GR"/>
        </w:rPr>
        <w:t xml:space="preserve"> </w:t>
      </w:r>
      <w:r>
        <w:rPr>
          <w:lang w:val="el-GR"/>
        </w:rPr>
        <w:t xml:space="preserve">να </w:t>
      </w:r>
      <w:r w:rsidRPr="00E17D2F">
        <w:rPr>
          <w:lang w:val="el-GR"/>
        </w:rPr>
        <w:t xml:space="preserve">χρησιμοποιείται </w:t>
      </w:r>
      <w:r w:rsidR="001873DF">
        <w:rPr>
          <w:lang w:val="el-GR"/>
        </w:rPr>
        <w:t>ΜΟΝΟ</w:t>
      </w:r>
      <w:r w:rsidRPr="007238DA">
        <w:rPr>
          <w:lang w:val="el-GR"/>
        </w:rPr>
        <w:t xml:space="preserve"> </w:t>
      </w:r>
      <w:r w:rsidRPr="00E17D2F">
        <w:rPr>
          <w:lang w:val="el-GR"/>
        </w:rPr>
        <w:t>το</w:t>
      </w:r>
      <w:r w:rsidRPr="007238DA">
        <w:rPr>
          <w:lang w:val="el-GR"/>
        </w:rPr>
        <w:t xml:space="preserve"> </w:t>
      </w:r>
      <w:r w:rsidR="001873DF">
        <w:rPr>
          <w:lang w:val="el-GR"/>
        </w:rPr>
        <w:t xml:space="preserve">διάλυμα </w:t>
      </w:r>
      <w:r w:rsidRPr="00E17D2F">
        <w:rPr>
          <w:lang w:val="el-GR"/>
        </w:rPr>
        <w:t>χλωριούχο</w:t>
      </w:r>
      <w:r w:rsidR="001873DF">
        <w:rPr>
          <w:lang w:val="el-GR"/>
        </w:rPr>
        <w:t>υ</w:t>
      </w:r>
      <w:r w:rsidRPr="007238DA">
        <w:rPr>
          <w:lang w:val="el-GR"/>
        </w:rPr>
        <w:t xml:space="preserve"> </w:t>
      </w:r>
      <w:r w:rsidRPr="00E17D2F">
        <w:rPr>
          <w:lang w:val="el-GR"/>
        </w:rPr>
        <w:t>νάτριο</w:t>
      </w:r>
      <w:r w:rsidR="001873DF">
        <w:rPr>
          <w:lang w:val="el-GR"/>
        </w:rPr>
        <w:t>υ</w:t>
      </w:r>
      <w:r w:rsidRPr="007238DA">
        <w:rPr>
          <w:lang w:val="el-GR"/>
        </w:rPr>
        <w:t xml:space="preserve"> 9 </w:t>
      </w:r>
      <w:r w:rsidRPr="007931FA">
        <w:t>mg</w:t>
      </w:r>
      <w:r w:rsidRPr="007238DA">
        <w:rPr>
          <w:lang w:val="el-GR"/>
        </w:rPr>
        <w:t xml:space="preserve"> / </w:t>
      </w:r>
      <w:r w:rsidRPr="007931FA">
        <w:t>ml</w:t>
      </w:r>
      <w:r w:rsidRPr="007238DA">
        <w:rPr>
          <w:lang w:val="el-GR"/>
        </w:rPr>
        <w:t xml:space="preserve"> (0,9%) </w:t>
      </w:r>
      <w:r w:rsidRPr="00E17D2F">
        <w:rPr>
          <w:lang w:val="el-GR"/>
        </w:rPr>
        <w:t>για</w:t>
      </w:r>
      <w:r w:rsidRPr="007238DA">
        <w:rPr>
          <w:lang w:val="el-GR"/>
        </w:rPr>
        <w:t xml:space="preserve"> </w:t>
      </w:r>
      <w:r w:rsidRPr="00E17D2F">
        <w:rPr>
          <w:lang w:val="el-GR"/>
        </w:rPr>
        <w:t>έγχυση</w:t>
      </w:r>
      <w:r w:rsidRPr="007238DA">
        <w:rPr>
          <w:lang w:val="el-GR"/>
        </w:rPr>
        <w:t>.</w:t>
      </w:r>
    </w:p>
    <w:p w14:paraId="7463D271" w14:textId="77777777" w:rsidR="007238DA" w:rsidRPr="007238DA" w:rsidRDefault="007238DA" w:rsidP="007238DA">
      <w:pPr>
        <w:rPr>
          <w:lang w:val="el-GR"/>
        </w:rPr>
      </w:pPr>
    </w:p>
    <w:p w14:paraId="183E2032" w14:textId="2100B951" w:rsidR="007238DA" w:rsidRPr="007238DA" w:rsidRDefault="001873DF" w:rsidP="007238DA">
      <w:pPr>
        <w:pStyle w:val="a0"/>
        <w:ind w:left="0"/>
        <w:rPr>
          <w:b/>
          <w:lang w:val="el-GR"/>
        </w:rPr>
      </w:pPr>
      <w:r>
        <w:rPr>
          <w:b/>
          <w:lang w:val="el-GR"/>
        </w:rPr>
        <w:t>6.3</w:t>
      </w:r>
      <w:r>
        <w:rPr>
          <w:b/>
          <w:lang w:val="el-GR"/>
        </w:rPr>
        <w:tab/>
        <w:t>Διάρκεια</w:t>
      </w:r>
      <w:r w:rsidR="007238DA" w:rsidRPr="007238DA">
        <w:rPr>
          <w:b/>
          <w:lang w:val="el-GR"/>
        </w:rPr>
        <w:t xml:space="preserve"> ζωής</w:t>
      </w:r>
    </w:p>
    <w:p w14:paraId="096808F1" w14:textId="77777777" w:rsidR="001873DF" w:rsidRDefault="001873DF" w:rsidP="001873DF">
      <w:pPr>
        <w:pStyle w:val="a0"/>
        <w:ind w:left="0"/>
        <w:rPr>
          <w:lang w:val="el-GR"/>
        </w:rPr>
      </w:pPr>
    </w:p>
    <w:p w14:paraId="68451027" w14:textId="538DC9DD" w:rsidR="001873DF" w:rsidRPr="00E17D2F" w:rsidRDefault="001873DF" w:rsidP="001873DF">
      <w:pPr>
        <w:pStyle w:val="a0"/>
        <w:ind w:left="0"/>
        <w:rPr>
          <w:lang w:val="el-GR"/>
        </w:rPr>
      </w:pPr>
      <w:r w:rsidRPr="00E17D2F">
        <w:rPr>
          <w:lang w:val="el-GR"/>
        </w:rPr>
        <w:t xml:space="preserve">Μη </w:t>
      </w:r>
      <w:proofErr w:type="spellStart"/>
      <w:r>
        <w:rPr>
          <w:lang w:val="el-GR"/>
        </w:rPr>
        <w:t>ανασυσταμένη</w:t>
      </w:r>
      <w:proofErr w:type="spellEnd"/>
      <w:r w:rsidRPr="00E17D2F">
        <w:rPr>
          <w:lang w:val="el-GR"/>
        </w:rPr>
        <w:t xml:space="preserve"> </w:t>
      </w:r>
      <w:r>
        <w:rPr>
          <w:lang w:val="el-GR"/>
        </w:rPr>
        <w:t>κόνις</w:t>
      </w:r>
      <w:r w:rsidRPr="00E17D2F">
        <w:rPr>
          <w:lang w:val="el-GR"/>
        </w:rPr>
        <w:t xml:space="preserve"> και διαλύτης: 2 χρόνια</w:t>
      </w:r>
    </w:p>
    <w:p w14:paraId="3C89921E" w14:textId="3FB15391" w:rsidR="001873DF" w:rsidRPr="00E17D2F" w:rsidRDefault="001873DF" w:rsidP="001873DF">
      <w:pPr>
        <w:rPr>
          <w:lang w:val="el-GR"/>
        </w:rPr>
      </w:pPr>
      <w:r w:rsidRPr="00E17D2F">
        <w:rPr>
          <w:lang w:val="el-GR"/>
        </w:rPr>
        <w:t xml:space="preserve">Διάλυμα μετά την ανασύσταση: Μετά την ανασύσταση το προϊόν πρέπει να χρησιμοποιηθεί αμέσως. Κάθε αχρησιμοποίητο </w:t>
      </w:r>
      <w:r>
        <w:rPr>
          <w:lang w:val="el-GR"/>
        </w:rPr>
        <w:t>προϊόν ή υπόλειμμα</w:t>
      </w:r>
      <w:r w:rsidRPr="00E17D2F">
        <w:rPr>
          <w:lang w:val="el-GR"/>
        </w:rPr>
        <w:t xml:space="preserve"> θα πρέπει να απορρίπτεται. Το </w:t>
      </w:r>
      <w:proofErr w:type="spellStart"/>
      <w:r>
        <w:t>Melphalan</w:t>
      </w:r>
      <w:proofErr w:type="spellEnd"/>
      <w:r w:rsidRPr="001968D1">
        <w:rPr>
          <w:lang w:val="el-GR"/>
        </w:rPr>
        <w:t xml:space="preserve"> </w:t>
      </w:r>
      <w:proofErr w:type="spellStart"/>
      <w:r>
        <w:t>Tillomed</w:t>
      </w:r>
      <w:proofErr w:type="spellEnd"/>
      <w:r w:rsidRPr="001968D1">
        <w:rPr>
          <w:lang w:val="el-GR"/>
        </w:rPr>
        <w:t xml:space="preserve"> </w:t>
      </w:r>
      <w:r w:rsidRPr="00E17D2F">
        <w:rPr>
          <w:lang w:val="el-GR"/>
        </w:rPr>
        <w:t xml:space="preserve">έχει περιορισμένο χρόνο ζωής και το ποσοστό της </w:t>
      </w:r>
      <w:r>
        <w:rPr>
          <w:lang w:val="el-GR"/>
        </w:rPr>
        <w:t>αποδόμησης</w:t>
      </w:r>
      <w:r w:rsidRPr="00E17D2F">
        <w:rPr>
          <w:lang w:val="el-GR"/>
        </w:rPr>
        <w:t xml:space="preserve"> αυξάνει ταχέως </w:t>
      </w:r>
      <w:r>
        <w:rPr>
          <w:lang w:val="el-GR"/>
        </w:rPr>
        <w:t>με την αύξηση της</w:t>
      </w:r>
      <w:r w:rsidRPr="00E17D2F">
        <w:rPr>
          <w:lang w:val="el-GR"/>
        </w:rPr>
        <w:t xml:space="preserve"> θερμοκρασία.</w:t>
      </w:r>
    </w:p>
    <w:p w14:paraId="04B75C99" w14:textId="38DE1D00" w:rsidR="001873DF" w:rsidRPr="007238DA" w:rsidRDefault="001873DF" w:rsidP="001873DF">
      <w:pPr>
        <w:rPr>
          <w:lang w:val="el-GR"/>
        </w:rPr>
      </w:pPr>
      <w:r w:rsidRPr="00E17D2F">
        <w:rPr>
          <w:lang w:val="el-GR"/>
        </w:rPr>
        <w:t>Ανασυσταθέν και περαιτέρω αραιωμέν</w:t>
      </w:r>
      <w:r>
        <w:rPr>
          <w:lang w:val="el-GR"/>
        </w:rPr>
        <w:t>ο</w:t>
      </w:r>
      <w:r w:rsidRPr="00E17D2F">
        <w:rPr>
          <w:lang w:val="el-GR"/>
        </w:rPr>
        <w:t xml:space="preserve"> </w:t>
      </w:r>
      <w:proofErr w:type="spellStart"/>
      <w:r w:rsidRPr="00E17D2F">
        <w:rPr>
          <w:lang w:val="el-GR"/>
        </w:rPr>
        <w:t>διαλύμα</w:t>
      </w:r>
      <w:proofErr w:type="spellEnd"/>
      <w:r w:rsidRPr="00E17D2F">
        <w:rPr>
          <w:lang w:val="el-GR"/>
        </w:rPr>
        <w:t xml:space="preserve"> προς έγχυση: Ο συνολικός χρόνος από την παρασκευή του </w:t>
      </w:r>
      <w:proofErr w:type="spellStart"/>
      <w:r w:rsidRPr="00E17D2F">
        <w:rPr>
          <w:lang w:val="el-GR"/>
        </w:rPr>
        <w:t>ανασυσταμένου</w:t>
      </w:r>
      <w:proofErr w:type="spellEnd"/>
      <w:r w:rsidRPr="00E17D2F">
        <w:rPr>
          <w:lang w:val="el-GR"/>
        </w:rPr>
        <w:t xml:space="preserve"> διαλύματος </w:t>
      </w:r>
      <w:r>
        <w:rPr>
          <w:lang w:val="el-GR"/>
        </w:rPr>
        <w:t>μέχρι</w:t>
      </w:r>
      <w:r w:rsidRPr="00E17D2F">
        <w:rPr>
          <w:lang w:val="el-GR"/>
        </w:rPr>
        <w:t xml:space="preserve"> την ολοκλήρωση της αραίωσης για έγχυση δεν θα πρέπει να υπερ</w:t>
      </w:r>
      <w:r>
        <w:rPr>
          <w:lang w:val="el-GR"/>
        </w:rPr>
        <w:t>βαίνει τη μία ώρα και τριάντα λεπτά.</w:t>
      </w:r>
    </w:p>
    <w:p w14:paraId="7B888AF4" w14:textId="77777777" w:rsidR="007238DA" w:rsidRPr="001873DF" w:rsidRDefault="007238DA" w:rsidP="007238DA">
      <w:pPr>
        <w:pStyle w:val="a0"/>
        <w:rPr>
          <w:lang w:val="el-GR"/>
        </w:rPr>
      </w:pPr>
    </w:p>
    <w:p w14:paraId="4EDE8B75" w14:textId="6F8A784C" w:rsidR="00061777" w:rsidRPr="00E17D2F" w:rsidRDefault="00061777" w:rsidP="007238DA">
      <w:pPr>
        <w:pStyle w:val="2"/>
        <w:numPr>
          <w:ilvl w:val="1"/>
          <w:numId w:val="50"/>
        </w:numPr>
        <w:rPr>
          <w:lang w:val="el-GR"/>
        </w:rPr>
      </w:pPr>
      <w:r w:rsidRPr="00E17D2F">
        <w:rPr>
          <w:lang w:val="el-GR"/>
        </w:rPr>
        <w:t>Ιδιαίτερες προφυλάξεις κατά τη φύλαξη του προϊόντος</w:t>
      </w:r>
    </w:p>
    <w:p w14:paraId="4A98E28B" w14:textId="5A17667F" w:rsidR="00061777" w:rsidRPr="00E17D2F" w:rsidRDefault="00061777" w:rsidP="00061777">
      <w:pPr>
        <w:pStyle w:val="Default"/>
        <w:spacing w:after="120"/>
        <w:jc w:val="both"/>
        <w:rPr>
          <w:sz w:val="22"/>
          <w:szCs w:val="22"/>
          <w:lang w:val="el-GR"/>
        </w:rPr>
      </w:pPr>
      <w:r w:rsidRPr="00E17D2F">
        <w:rPr>
          <w:sz w:val="22"/>
          <w:szCs w:val="22"/>
          <w:lang w:val="el-GR"/>
        </w:rPr>
        <w:t>Αυτό το φαρμακευτικό προϊόν δεν απαιτεί ιδιαίτερες συνθ</w:t>
      </w:r>
      <w:r w:rsidR="00D90209">
        <w:rPr>
          <w:sz w:val="22"/>
          <w:szCs w:val="22"/>
          <w:lang w:val="el-GR"/>
        </w:rPr>
        <w:t>ήκες θερμοκρασίας για την φύλαξη</w:t>
      </w:r>
      <w:r w:rsidRPr="00E17D2F">
        <w:rPr>
          <w:sz w:val="22"/>
          <w:szCs w:val="22"/>
          <w:lang w:val="el-GR"/>
        </w:rPr>
        <w:t xml:space="preserve">. Φυλάσσετε το φιαλίδιο στο </w:t>
      </w:r>
      <w:r w:rsidR="001873DF">
        <w:rPr>
          <w:sz w:val="22"/>
          <w:szCs w:val="22"/>
          <w:lang w:val="el-GR"/>
        </w:rPr>
        <w:t xml:space="preserve">χάρτινο </w:t>
      </w:r>
      <w:proofErr w:type="spellStart"/>
      <w:r w:rsidR="001873DF">
        <w:rPr>
          <w:sz w:val="22"/>
          <w:szCs w:val="22"/>
          <w:lang w:val="el-GR"/>
        </w:rPr>
        <w:t>περιέκτη</w:t>
      </w:r>
      <w:proofErr w:type="spellEnd"/>
      <w:r w:rsidRPr="00E17D2F">
        <w:rPr>
          <w:sz w:val="22"/>
          <w:szCs w:val="22"/>
          <w:lang w:val="el-GR"/>
        </w:rPr>
        <w:t xml:space="preserve"> για να προστατεύεται από το φως. Για τις συνθήκες διατήρησης του φαρμακευτικού προϊόντος μετά την ανασύσταση και την αραίωση, βλέπε παράγραφο 6.3</w:t>
      </w:r>
    </w:p>
    <w:p w14:paraId="6637BC92" w14:textId="1E2EEF04" w:rsidR="00061777" w:rsidRPr="00023DFD" w:rsidRDefault="007259C8" w:rsidP="0025692E">
      <w:pPr>
        <w:pStyle w:val="2"/>
        <w:numPr>
          <w:ilvl w:val="0"/>
          <w:numId w:val="0"/>
        </w:numPr>
        <w:rPr>
          <w:lang w:val="el-GR"/>
        </w:rPr>
      </w:pPr>
      <w:r w:rsidRPr="00023DFD">
        <w:rPr>
          <w:lang w:val="el-GR"/>
        </w:rPr>
        <w:t xml:space="preserve">6.5 </w:t>
      </w:r>
      <w:r w:rsidR="00061777" w:rsidRPr="00023DFD">
        <w:rPr>
          <w:lang w:val="el-GR"/>
        </w:rPr>
        <w:t xml:space="preserve">Φύση και συστατικά του </w:t>
      </w:r>
      <w:proofErr w:type="spellStart"/>
      <w:r w:rsidR="00061777" w:rsidRPr="00023DFD">
        <w:rPr>
          <w:lang w:val="el-GR"/>
        </w:rPr>
        <w:t>περιέκτη</w:t>
      </w:r>
      <w:proofErr w:type="spellEnd"/>
    </w:p>
    <w:p w14:paraId="034A1139" w14:textId="4A6F61F9" w:rsidR="00061777" w:rsidRPr="007238DA" w:rsidRDefault="007E3849" w:rsidP="00061777">
      <w:pPr>
        <w:pStyle w:val="a0"/>
        <w:ind w:left="0"/>
        <w:rPr>
          <w:lang w:val="el-GR"/>
        </w:rPr>
      </w:pPr>
      <w:r>
        <w:rPr>
          <w:lang w:val="el-GR"/>
        </w:rPr>
        <w:t>Κόνις</w:t>
      </w:r>
      <w:r w:rsidR="00061777" w:rsidRPr="007238DA">
        <w:rPr>
          <w:lang w:val="el-GR"/>
        </w:rPr>
        <w:t xml:space="preserve">: </w:t>
      </w:r>
      <w:r w:rsidR="007238DA">
        <w:rPr>
          <w:lang w:val="el-GR"/>
        </w:rPr>
        <w:t>διαυγές</w:t>
      </w:r>
      <w:r w:rsidR="00E67438">
        <w:rPr>
          <w:lang w:val="el-GR"/>
        </w:rPr>
        <w:t>,</w:t>
      </w:r>
      <w:r w:rsidR="00061777" w:rsidRPr="007238DA">
        <w:rPr>
          <w:lang w:val="el-GR"/>
        </w:rPr>
        <w:t xml:space="preserve"> τύπου Ι</w:t>
      </w:r>
      <w:r w:rsidR="00E67438">
        <w:rPr>
          <w:lang w:val="el-GR"/>
        </w:rPr>
        <w:t>,</w:t>
      </w:r>
      <w:r w:rsidR="00061777" w:rsidRPr="007238DA">
        <w:rPr>
          <w:lang w:val="el-GR"/>
        </w:rPr>
        <w:t xml:space="preserve"> </w:t>
      </w:r>
      <w:r w:rsidR="00E67438">
        <w:rPr>
          <w:lang w:val="el-GR"/>
        </w:rPr>
        <w:t xml:space="preserve">χυτό, </w:t>
      </w:r>
      <w:r w:rsidR="00061777" w:rsidRPr="007238DA">
        <w:rPr>
          <w:lang w:val="el-GR"/>
        </w:rPr>
        <w:t xml:space="preserve">γυάλινο φιαλίδιο σφραγισμένο </w:t>
      </w:r>
      <w:r w:rsidR="005B6BCC">
        <w:rPr>
          <w:lang w:val="el-GR"/>
        </w:rPr>
        <w:t xml:space="preserve">με </w:t>
      </w:r>
      <w:r w:rsidR="00061777" w:rsidRPr="007238DA">
        <w:rPr>
          <w:lang w:val="el-GR"/>
        </w:rPr>
        <w:t xml:space="preserve">ελαστικό πώμα από </w:t>
      </w:r>
      <w:proofErr w:type="spellStart"/>
      <w:r w:rsidR="00061777" w:rsidRPr="007238DA">
        <w:rPr>
          <w:lang w:val="el-GR"/>
        </w:rPr>
        <w:t>βρωμοβουτύλιο</w:t>
      </w:r>
      <w:proofErr w:type="spellEnd"/>
      <w:r w:rsidR="00061777" w:rsidRPr="007238DA">
        <w:rPr>
          <w:lang w:val="el-GR"/>
        </w:rPr>
        <w:t xml:space="preserve"> </w:t>
      </w:r>
      <w:r w:rsidR="00E67438">
        <w:rPr>
          <w:lang w:val="el-GR"/>
        </w:rPr>
        <w:t xml:space="preserve">τύπου </w:t>
      </w:r>
      <w:proofErr w:type="spellStart"/>
      <w:r w:rsidR="00E67438">
        <w:rPr>
          <w:lang w:val="en-US"/>
        </w:rPr>
        <w:t>omniflex</w:t>
      </w:r>
      <w:proofErr w:type="spellEnd"/>
      <w:r w:rsidR="00E67438" w:rsidRPr="00E67438">
        <w:rPr>
          <w:lang w:val="el-GR"/>
        </w:rPr>
        <w:t xml:space="preserve"> 3</w:t>
      </w:r>
      <w:r w:rsidR="00E67438">
        <w:rPr>
          <w:lang w:val="en-US"/>
        </w:rPr>
        <w:t>G</w:t>
      </w:r>
      <w:r w:rsidR="00E67438" w:rsidRPr="00E67438">
        <w:rPr>
          <w:lang w:val="el-GR"/>
        </w:rPr>
        <w:t xml:space="preserve"> </w:t>
      </w:r>
      <w:r w:rsidR="00061777" w:rsidRPr="007238DA">
        <w:rPr>
          <w:lang w:val="el-GR"/>
        </w:rPr>
        <w:t xml:space="preserve">και </w:t>
      </w:r>
      <w:r w:rsidR="007238DA">
        <w:rPr>
          <w:lang w:val="el-GR"/>
        </w:rPr>
        <w:t>αποσπώμενο</w:t>
      </w:r>
      <w:r w:rsidR="00061777" w:rsidRPr="007238DA">
        <w:rPr>
          <w:lang w:val="el-GR"/>
        </w:rPr>
        <w:t xml:space="preserve"> </w:t>
      </w:r>
      <w:r w:rsidR="007238DA">
        <w:rPr>
          <w:lang w:val="el-GR"/>
        </w:rPr>
        <w:t>κάλυμ</w:t>
      </w:r>
      <w:r w:rsidR="00E67438">
        <w:rPr>
          <w:lang w:val="el-GR"/>
        </w:rPr>
        <w:t>μ</w:t>
      </w:r>
      <w:r w:rsidR="007238DA">
        <w:rPr>
          <w:lang w:val="el-GR"/>
        </w:rPr>
        <w:t>α αλουμινίου</w:t>
      </w:r>
      <w:r w:rsidR="00E67438" w:rsidRPr="00E67438">
        <w:rPr>
          <w:lang w:val="el-GR"/>
        </w:rPr>
        <w:t xml:space="preserve"> </w:t>
      </w:r>
      <w:r w:rsidR="00E67438">
        <w:rPr>
          <w:lang w:val="el-GR"/>
        </w:rPr>
        <w:t xml:space="preserve">που φέρει πορτοκαλί χρώματος πώμα από </w:t>
      </w:r>
      <w:r w:rsidR="0039287F">
        <w:rPr>
          <w:lang w:val="el-GR"/>
        </w:rPr>
        <w:t>πολυ</w:t>
      </w:r>
      <w:r w:rsidR="00E67438">
        <w:rPr>
          <w:lang w:val="el-GR"/>
        </w:rPr>
        <w:t>προπυλένιο με ματ φινίρισμα</w:t>
      </w:r>
      <w:r w:rsidR="007238DA">
        <w:rPr>
          <w:lang w:val="el-GR"/>
        </w:rPr>
        <w:t>.</w:t>
      </w:r>
    </w:p>
    <w:p w14:paraId="29779128" w14:textId="3C2E64AC" w:rsidR="007238DA" w:rsidRDefault="00061777" w:rsidP="00061777">
      <w:pPr>
        <w:pStyle w:val="a0"/>
        <w:ind w:left="0"/>
        <w:rPr>
          <w:lang w:val="el-GR"/>
        </w:rPr>
      </w:pPr>
      <w:r w:rsidRPr="00E17D2F">
        <w:rPr>
          <w:lang w:val="el-GR"/>
        </w:rPr>
        <w:t>Μέγεθος</w:t>
      </w:r>
      <w:r w:rsidRPr="007238DA">
        <w:rPr>
          <w:lang w:val="el-GR"/>
        </w:rPr>
        <w:t xml:space="preserve"> </w:t>
      </w:r>
      <w:r w:rsidRPr="00E17D2F">
        <w:rPr>
          <w:lang w:val="el-GR"/>
        </w:rPr>
        <w:t>συσκευασίας</w:t>
      </w:r>
      <w:r w:rsidRPr="007238DA">
        <w:rPr>
          <w:lang w:val="el-GR"/>
        </w:rPr>
        <w:t xml:space="preserve">: 1 </w:t>
      </w:r>
      <w:r w:rsidRPr="00E17D2F">
        <w:rPr>
          <w:lang w:val="el-GR"/>
        </w:rPr>
        <w:t>φιαλίδιο</w:t>
      </w:r>
      <w:r w:rsidRPr="007238DA">
        <w:rPr>
          <w:lang w:val="el-GR"/>
        </w:rPr>
        <w:t xml:space="preserve"> </w:t>
      </w:r>
      <w:r w:rsidRPr="00E17D2F">
        <w:rPr>
          <w:lang w:val="el-GR"/>
        </w:rPr>
        <w:t>που</w:t>
      </w:r>
      <w:r w:rsidRPr="007238DA">
        <w:rPr>
          <w:lang w:val="el-GR"/>
        </w:rPr>
        <w:t xml:space="preserve"> </w:t>
      </w:r>
      <w:r w:rsidRPr="00E17D2F">
        <w:rPr>
          <w:lang w:val="el-GR"/>
        </w:rPr>
        <w:t>περιέχει</w:t>
      </w:r>
      <w:r w:rsidRPr="007238DA">
        <w:rPr>
          <w:lang w:val="el-GR"/>
        </w:rPr>
        <w:t xml:space="preserve"> 50 </w:t>
      </w:r>
      <w:r w:rsidRPr="007931FA">
        <w:t>mg</w:t>
      </w:r>
      <w:r w:rsidRPr="007238DA">
        <w:rPr>
          <w:lang w:val="el-GR"/>
        </w:rPr>
        <w:t xml:space="preserve"> </w:t>
      </w:r>
      <w:r w:rsidR="001873DF">
        <w:rPr>
          <w:noProof/>
          <w:szCs w:val="22"/>
          <w:lang w:val="el-GR"/>
        </w:rPr>
        <w:t>μελφαλάνης</w:t>
      </w:r>
      <w:r w:rsidR="007238DA" w:rsidRPr="00E17D2F">
        <w:rPr>
          <w:lang w:val="el-GR"/>
        </w:rPr>
        <w:t xml:space="preserve"> </w:t>
      </w:r>
    </w:p>
    <w:p w14:paraId="0ADC2574" w14:textId="4F4A0AF0" w:rsidR="00061777" w:rsidRPr="00E17D2F" w:rsidRDefault="00061777" w:rsidP="00061777">
      <w:pPr>
        <w:pStyle w:val="a0"/>
        <w:ind w:left="0"/>
        <w:rPr>
          <w:lang w:val="el-GR"/>
        </w:rPr>
      </w:pPr>
      <w:r w:rsidRPr="00E17D2F">
        <w:rPr>
          <w:lang w:val="el-GR"/>
        </w:rPr>
        <w:t xml:space="preserve">Διαλύτης: </w:t>
      </w:r>
      <w:r w:rsidR="007238DA">
        <w:rPr>
          <w:lang w:val="el-GR"/>
        </w:rPr>
        <w:t>δ</w:t>
      </w:r>
      <w:r w:rsidRPr="00E17D2F">
        <w:rPr>
          <w:lang w:val="el-GR"/>
        </w:rPr>
        <w:t>ιαυγές</w:t>
      </w:r>
      <w:r w:rsidR="00E67438">
        <w:rPr>
          <w:lang w:val="el-GR"/>
        </w:rPr>
        <w:t>,</w:t>
      </w:r>
      <w:r w:rsidRPr="00E17D2F">
        <w:rPr>
          <w:lang w:val="el-GR"/>
        </w:rPr>
        <w:t xml:space="preserve"> τύπου Ι</w:t>
      </w:r>
      <w:r w:rsidR="00E67438">
        <w:rPr>
          <w:lang w:val="el-GR"/>
        </w:rPr>
        <w:t>, χυτό,</w:t>
      </w:r>
      <w:r w:rsidRPr="00E17D2F">
        <w:rPr>
          <w:lang w:val="el-GR"/>
        </w:rPr>
        <w:t xml:space="preserve"> γυάλινο φιαλίδιο </w:t>
      </w:r>
      <w:r w:rsidR="005B6BCC">
        <w:rPr>
          <w:lang w:val="el-GR"/>
        </w:rPr>
        <w:t>σφραγισμένο</w:t>
      </w:r>
      <w:r w:rsidRPr="00E17D2F">
        <w:rPr>
          <w:lang w:val="el-GR"/>
        </w:rPr>
        <w:t xml:space="preserve"> με ελαστικό πώμα </w:t>
      </w:r>
      <w:proofErr w:type="spellStart"/>
      <w:r w:rsidRPr="00E17D2F">
        <w:rPr>
          <w:lang w:val="el-GR"/>
        </w:rPr>
        <w:t>βρωμοβουτυλίου</w:t>
      </w:r>
      <w:proofErr w:type="spellEnd"/>
      <w:r w:rsidRPr="00E17D2F">
        <w:rPr>
          <w:lang w:val="el-GR"/>
        </w:rPr>
        <w:t xml:space="preserve"> και </w:t>
      </w:r>
      <w:r w:rsidR="005B6BCC">
        <w:rPr>
          <w:lang w:val="el-GR"/>
        </w:rPr>
        <w:t>αποσπώμενο</w:t>
      </w:r>
      <w:r w:rsidRPr="00E17D2F">
        <w:rPr>
          <w:lang w:val="el-GR"/>
        </w:rPr>
        <w:t xml:space="preserve"> </w:t>
      </w:r>
      <w:r w:rsidR="005B6BCC">
        <w:rPr>
          <w:lang w:val="el-GR"/>
        </w:rPr>
        <w:t>κάλυμ</w:t>
      </w:r>
      <w:r w:rsidR="00E67438">
        <w:rPr>
          <w:lang w:val="el-GR"/>
        </w:rPr>
        <w:t>μ</w:t>
      </w:r>
      <w:r w:rsidR="005B6BCC">
        <w:rPr>
          <w:lang w:val="el-GR"/>
        </w:rPr>
        <w:t>α</w:t>
      </w:r>
      <w:r w:rsidRPr="00E17D2F">
        <w:rPr>
          <w:lang w:val="el-GR"/>
        </w:rPr>
        <w:t xml:space="preserve"> αλουμινίου </w:t>
      </w:r>
      <w:r w:rsidR="00E67438">
        <w:rPr>
          <w:lang w:val="el-GR"/>
        </w:rPr>
        <w:t xml:space="preserve">που φέρει πορτοκαλί χρώματος πώμα από </w:t>
      </w:r>
      <w:r w:rsidR="00D90209">
        <w:rPr>
          <w:lang w:val="el-GR"/>
        </w:rPr>
        <w:t>πολυ</w:t>
      </w:r>
      <w:r w:rsidR="00E67438">
        <w:rPr>
          <w:lang w:val="el-GR"/>
        </w:rPr>
        <w:t>προπυλένιο με ματ φινίρισμα</w:t>
      </w:r>
      <w:r w:rsidRPr="00E17D2F">
        <w:rPr>
          <w:lang w:val="el-GR"/>
        </w:rPr>
        <w:t>.</w:t>
      </w:r>
    </w:p>
    <w:p w14:paraId="3A9578FB" w14:textId="77777777" w:rsidR="00061777" w:rsidRPr="00E17D2F" w:rsidRDefault="00061777" w:rsidP="00061777">
      <w:pPr>
        <w:pStyle w:val="a0"/>
        <w:ind w:left="0"/>
        <w:rPr>
          <w:lang w:val="el-GR"/>
        </w:rPr>
      </w:pPr>
      <w:r w:rsidRPr="00E17D2F">
        <w:rPr>
          <w:lang w:val="el-GR"/>
        </w:rPr>
        <w:t xml:space="preserve">Μέγεθος συσκευασίας: 1 φιαλίδιο που περιέχει 10 </w:t>
      </w:r>
      <w:r>
        <w:t>ml</w:t>
      </w:r>
    </w:p>
    <w:p w14:paraId="134F049C" w14:textId="032A8EAB" w:rsidR="00061777" w:rsidRPr="00E17D2F" w:rsidRDefault="00061777" w:rsidP="00061777">
      <w:pPr>
        <w:pStyle w:val="a0"/>
        <w:ind w:left="0"/>
        <w:rPr>
          <w:lang w:val="el-GR"/>
        </w:rPr>
      </w:pPr>
      <w:r w:rsidRPr="00E17D2F">
        <w:rPr>
          <w:lang w:val="el-GR"/>
        </w:rPr>
        <w:t xml:space="preserve">Κάθε συσκευασία περιέχει 1 φιαλίδιο </w:t>
      </w:r>
      <w:proofErr w:type="spellStart"/>
      <w:r w:rsidR="005B6BCC">
        <w:rPr>
          <w:lang w:val="el-GR"/>
        </w:rPr>
        <w:t>κόνεως</w:t>
      </w:r>
      <w:proofErr w:type="spellEnd"/>
      <w:r w:rsidRPr="00E17D2F">
        <w:rPr>
          <w:lang w:val="el-GR"/>
        </w:rPr>
        <w:t xml:space="preserve"> και 1 φιαλίδιο διαλύτη.</w:t>
      </w:r>
    </w:p>
    <w:p w14:paraId="59709CD4" w14:textId="43973F56" w:rsidR="00061777" w:rsidRPr="00023DFD" w:rsidRDefault="007259C8" w:rsidP="0025692E">
      <w:pPr>
        <w:pStyle w:val="2"/>
        <w:numPr>
          <w:ilvl w:val="0"/>
          <w:numId w:val="0"/>
        </w:numPr>
        <w:rPr>
          <w:lang w:val="el-GR"/>
        </w:rPr>
      </w:pPr>
      <w:r w:rsidRPr="00023DFD">
        <w:rPr>
          <w:lang w:val="el-GR"/>
        </w:rPr>
        <w:lastRenderedPageBreak/>
        <w:t>6.6</w:t>
      </w:r>
      <w:r w:rsidR="005A7E70">
        <w:rPr>
          <w:lang w:val="el-GR"/>
        </w:rPr>
        <w:t xml:space="preserve"> </w:t>
      </w:r>
      <w:r w:rsidR="00061777" w:rsidRPr="00023DFD">
        <w:rPr>
          <w:lang w:val="el-GR"/>
        </w:rPr>
        <w:t>Ιδιαίτερες προφυλάξεις απόρριψης</w:t>
      </w:r>
    </w:p>
    <w:p w14:paraId="503D47C8" w14:textId="77777777" w:rsidR="00061777" w:rsidRPr="00E17D2F" w:rsidRDefault="00061777" w:rsidP="00061777">
      <w:pPr>
        <w:rPr>
          <w:lang w:val="el-GR"/>
        </w:rPr>
      </w:pPr>
      <w:r w:rsidRPr="00E17D2F">
        <w:rPr>
          <w:lang w:val="el-GR"/>
        </w:rPr>
        <w:t xml:space="preserve">Οι διαδικασίες για τον κατάλληλο χειρισμό και απόρριψη των </w:t>
      </w:r>
      <w:proofErr w:type="spellStart"/>
      <w:r w:rsidRPr="00E17D2F">
        <w:rPr>
          <w:lang w:val="el-GR"/>
        </w:rPr>
        <w:t>κυτταροτοξικών</w:t>
      </w:r>
      <w:proofErr w:type="spellEnd"/>
      <w:r w:rsidRPr="00E17D2F">
        <w:rPr>
          <w:lang w:val="el-GR"/>
        </w:rPr>
        <w:t xml:space="preserve"> φαρμακευτικών προϊόντων πρέπει να τηρούνται:</w:t>
      </w:r>
    </w:p>
    <w:p w14:paraId="59F7AA88" w14:textId="5D3B3E43" w:rsidR="00061777" w:rsidRPr="00E17D2F" w:rsidRDefault="00061777" w:rsidP="00061777">
      <w:pPr>
        <w:pStyle w:val="a8"/>
        <w:numPr>
          <w:ilvl w:val="0"/>
          <w:numId w:val="46"/>
        </w:numPr>
        <w:rPr>
          <w:lang w:val="el-GR"/>
        </w:rPr>
      </w:pPr>
      <w:r w:rsidRPr="00E17D2F">
        <w:rPr>
          <w:lang w:val="el-GR"/>
        </w:rPr>
        <w:t>Οι εργαζόμενοι πρέπει να λαμβάνουν οδηγίες για την ανασύσταση του φαρμάκου.</w:t>
      </w:r>
    </w:p>
    <w:p w14:paraId="0D560C4F" w14:textId="364DAEE4" w:rsidR="00061777" w:rsidRPr="00E17D2F" w:rsidRDefault="00061777" w:rsidP="00061777">
      <w:pPr>
        <w:pStyle w:val="a8"/>
        <w:numPr>
          <w:ilvl w:val="0"/>
          <w:numId w:val="46"/>
        </w:numPr>
        <w:rPr>
          <w:lang w:val="el-GR"/>
        </w:rPr>
      </w:pPr>
      <w:r w:rsidRPr="00E17D2F">
        <w:rPr>
          <w:lang w:val="el-GR"/>
        </w:rPr>
        <w:t>Οι έγκυες γυναίκες θα πρέπει να εξαιρεθούν από το χειρισμό αυτού του φαρμάκου.</w:t>
      </w:r>
    </w:p>
    <w:p w14:paraId="3922F191" w14:textId="6B6B02AC" w:rsidR="00061777" w:rsidRPr="00E17D2F" w:rsidRDefault="005B6BCC" w:rsidP="00061777">
      <w:pPr>
        <w:pStyle w:val="a8"/>
        <w:numPr>
          <w:ilvl w:val="0"/>
          <w:numId w:val="46"/>
        </w:numPr>
        <w:rPr>
          <w:lang w:val="el-GR"/>
        </w:rPr>
      </w:pPr>
      <w:r>
        <w:rPr>
          <w:lang w:val="el-GR"/>
        </w:rPr>
        <w:t>Το προσωπικό θα πρέπει να φέρει</w:t>
      </w:r>
      <w:r w:rsidR="00061777" w:rsidRPr="00E17D2F">
        <w:rPr>
          <w:lang w:val="el-GR"/>
        </w:rPr>
        <w:t xml:space="preserve"> κατάλληλη προστατευτική ενδυμασία με μάσκες προσώπου, προστατευτικά γυαλιά και γάντια κατά την ανασύσταση </w:t>
      </w:r>
      <w:r>
        <w:rPr>
          <w:lang w:val="el-GR"/>
        </w:rPr>
        <w:t>του διαλύματος</w:t>
      </w:r>
      <w:r w:rsidR="00061777" w:rsidRPr="00E17D2F">
        <w:rPr>
          <w:lang w:val="el-GR"/>
        </w:rPr>
        <w:t>.</w:t>
      </w:r>
    </w:p>
    <w:p w14:paraId="0C9A0A5E" w14:textId="39049A3C" w:rsidR="00061777" w:rsidRPr="005B6BCC" w:rsidRDefault="00061777" w:rsidP="00061777">
      <w:pPr>
        <w:pStyle w:val="a8"/>
        <w:numPr>
          <w:ilvl w:val="0"/>
          <w:numId w:val="46"/>
        </w:numPr>
        <w:rPr>
          <w:lang w:val="el-GR"/>
        </w:rPr>
      </w:pPr>
      <w:r w:rsidRPr="00E17D2F">
        <w:rPr>
          <w:lang w:val="el-GR"/>
        </w:rPr>
        <w:t xml:space="preserve">Τυχόν </w:t>
      </w:r>
      <w:r w:rsidR="005B6BCC">
        <w:rPr>
          <w:lang w:val="el-GR"/>
        </w:rPr>
        <w:t>αντικείμενα</w:t>
      </w:r>
      <w:r w:rsidRPr="00E17D2F">
        <w:rPr>
          <w:lang w:val="el-GR"/>
        </w:rPr>
        <w:t xml:space="preserve"> που χρησιμοποιούνται για χορήγηση ή τον καθαρισμό, συμπεριλαμβανομένων και των γαντιών, πρέπει να απορρίπτονται σε δοχεία απορριμμάτων για μολυσμένο υλικό </w:t>
      </w:r>
      <w:r w:rsidR="001873DF">
        <w:rPr>
          <w:lang w:val="el-GR"/>
        </w:rPr>
        <w:t>ή σε δοχεία</w:t>
      </w:r>
      <w:r w:rsidRPr="00E17D2F">
        <w:rPr>
          <w:lang w:val="el-GR"/>
        </w:rPr>
        <w:t xml:space="preserve"> καύση</w:t>
      </w:r>
      <w:r w:rsidR="001873DF">
        <w:rPr>
          <w:lang w:val="el-GR"/>
        </w:rPr>
        <w:t>ς</w:t>
      </w:r>
      <w:r w:rsidRPr="00E17D2F">
        <w:rPr>
          <w:lang w:val="el-GR"/>
        </w:rPr>
        <w:t xml:space="preserve"> σε υψηλή θερμοκρασία. </w:t>
      </w:r>
      <w:r w:rsidRPr="005B6BCC">
        <w:rPr>
          <w:lang w:val="el-GR"/>
        </w:rPr>
        <w:t xml:space="preserve">Τα υγρά απόβλητα μπορούν να </w:t>
      </w:r>
      <w:r w:rsidR="001873DF">
        <w:rPr>
          <w:lang w:val="el-GR"/>
        </w:rPr>
        <w:t>απομακρύνονται</w:t>
      </w:r>
      <w:r w:rsidRPr="005B6BCC">
        <w:rPr>
          <w:lang w:val="el-GR"/>
        </w:rPr>
        <w:t xml:space="preserve"> με άφθονο νερό.</w:t>
      </w:r>
    </w:p>
    <w:p w14:paraId="0C8C5E97" w14:textId="22102B86" w:rsidR="00061777" w:rsidRPr="00E17D2F" w:rsidRDefault="00061777" w:rsidP="00061777">
      <w:pPr>
        <w:rPr>
          <w:szCs w:val="22"/>
          <w:lang w:val="el-GR"/>
        </w:rPr>
      </w:pPr>
      <w:r w:rsidRPr="00E17D2F">
        <w:rPr>
          <w:szCs w:val="22"/>
          <w:lang w:val="el-GR"/>
        </w:rPr>
        <w:t>Σε</w:t>
      </w:r>
      <w:r w:rsidRPr="005B6BCC">
        <w:rPr>
          <w:szCs w:val="22"/>
          <w:lang w:val="el-GR"/>
        </w:rPr>
        <w:t xml:space="preserve"> </w:t>
      </w:r>
      <w:r w:rsidRPr="00E17D2F">
        <w:rPr>
          <w:szCs w:val="22"/>
          <w:lang w:val="el-GR"/>
        </w:rPr>
        <w:t>περίπτωση</w:t>
      </w:r>
      <w:r w:rsidRPr="005B6BCC">
        <w:rPr>
          <w:szCs w:val="22"/>
          <w:lang w:val="el-GR"/>
        </w:rPr>
        <w:t xml:space="preserve"> </w:t>
      </w:r>
      <w:r w:rsidRPr="00E17D2F">
        <w:rPr>
          <w:szCs w:val="22"/>
          <w:lang w:val="el-GR"/>
        </w:rPr>
        <w:t>τυχαίας</w:t>
      </w:r>
      <w:r w:rsidRPr="005B6BCC">
        <w:rPr>
          <w:szCs w:val="22"/>
          <w:lang w:val="el-GR"/>
        </w:rPr>
        <w:t xml:space="preserve"> </w:t>
      </w:r>
      <w:r w:rsidRPr="00E17D2F">
        <w:rPr>
          <w:szCs w:val="22"/>
          <w:lang w:val="el-GR"/>
        </w:rPr>
        <w:t>επαφής</w:t>
      </w:r>
      <w:r w:rsidRPr="005B6BCC">
        <w:rPr>
          <w:szCs w:val="22"/>
          <w:lang w:val="el-GR"/>
        </w:rPr>
        <w:t xml:space="preserve"> </w:t>
      </w:r>
      <w:r w:rsidRPr="00E17D2F">
        <w:rPr>
          <w:szCs w:val="22"/>
          <w:lang w:val="el-GR"/>
        </w:rPr>
        <w:t>το</w:t>
      </w:r>
      <w:r w:rsidR="005B6BCC">
        <w:rPr>
          <w:szCs w:val="22"/>
          <w:lang w:val="el-GR"/>
        </w:rPr>
        <w:t>υ</w:t>
      </w:r>
      <w:r w:rsidRPr="005B6BCC">
        <w:rPr>
          <w:szCs w:val="22"/>
          <w:lang w:val="el-GR"/>
        </w:rPr>
        <w:t xml:space="preserve"> </w:t>
      </w:r>
      <w:r w:rsidR="005B6BCC">
        <w:rPr>
          <w:noProof/>
          <w:szCs w:val="22"/>
          <w:lang w:val="en-US"/>
        </w:rPr>
        <w:t>Melphalan</w:t>
      </w:r>
      <w:r w:rsidR="005B6BCC" w:rsidRPr="00E56986">
        <w:rPr>
          <w:noProof/>
          <w:szCs w:val="22"/>
          <w:lang w:val="el-GR"/>
        </w:rPr>
        <w:t xml:space="preserve"> </w:t>
      </w:r>
      <w:r w:rsidR="005B6BCC">
        <w:rPr>
          <w:noProof/>
          <w:szCs w:val="22"/>
          <w:lang w:val="en-US"/>
        </w:rPr>
        <w:t>Tillomed</w:t>
      </w:r>
      <w:r w:rsidR="005B6BCC" w:rsidRPr="00E56986">
        <w:rPr>
          <w:noProof/>
          <w:szCs w:val="22"/>
          <w:lang w:val="el-GR"/>
        </w:rPr>
        <w:t xml:space="preserve"> </w:t>
      </w:r>
      <w:r w:rsidR="005B6BCC" w:rsidRPr="00E17D2F">
        <w:rPr>
          <w:szCs w:val="22"/>
          <w:lang w:val="el-GR"/>
        </w:rPr>
        <w:t>με</w:t>
      </w:r>
      <w:r w:rsidR="005B6BCC" w:rsidRPr="005B6BCC">
        <w:rPr>
          <w:szCs w:val="22"/>
          <w:lang w:val="el-GR"/>
        </w:rPr>
        <w:t xml:space="preserve"> </w:t>
      </w:r>
      <w:r w:rsidR="005B6BCC" w:rsidRPr="00E17D2F">
        <w:rPr>
          <w:szCs w:val="22"/>
          <w:lang w:val="el-GR"/>
        </w:rPr>
        <w:t>τα</w:t>
      </w:r>
      <w:r w:rsidR="005B6BCC" w:rsidRPr="005B6BCC">
        <w:rPr>
          <w:szCs w:val="22"/>
          <w:lang w:val="el-GR"/>
        </w:rPr>
        <w:t xml:space="preserve"> </w:t>
      </w:r>
      <w:r w:rsidR="005B6BCC" w:rsidRPr="00E17D2F">
        <w:rPr>
          <w:szCs w:val="22"/>
          <w:lang w:val="el-GR"/>
        </w:rPr>
        <w:t>μάτια</w:t>
      </w:r>
      <w:r w:rsidRPr="005B6BCC">
        <w:rPr>
          <w:szCs w:val="22"/>
          <w:lang w:val="el-GR"/>
        </w:rPr>
        <w:t xml:space="preserve">, </w:t>
      </w:r>
      <w:r w:rsidRPr="00E17D2F">
        <w:rPr>
          <w:szCs w:val="22"/>
          <w:lang w:val="el-GR"/>
        </w:rPr>
        <w:t>ξεπλύνετε</w:t>
      </w:r>
      <w:r w:rsidRPr="005B6BCC">
        <w:rPr>
          <w:szCs w:val="22"/>
          <w:lang w:val="el-GR"/>
        </w:rPr>
        <w:t xml:space="preserve"> </w:t>
      </w:r>
      <w:r w:rsidRPr="00E17D2F">
        <w:rPr>
          <w:szCs w:val="22"/>
          <w:lang w:val="el-GR"/>
        </w:rPr>
        <w:t>αμέσως</w:t>
      </w:r>
      <w:r w:rsidRPr="005B6BCC">
        <w:rPr>
          <w:szCs w:val="22"/>
          <w:lang w:val="el-GR"/>
        </w:rPr>
        <w:t xml:space="preserve"> </w:t>
      </w:r>
      <w:r w:rsidRPr="00E17D2F">
        <w:rPr>
          <w:szCs w:val="22"/>
          <w:lang w:val="el-GR"/>
        </w:rPr>
        <w:t>με</w:t>
      </w:r>
      <w:r w:rsidRPr="005B6BCC">
        <w:rPr>
          <w:szCs w:val="22"/>
          <w:lang w:val="el-GR"/>
        </w:rPr>
        <w:t xml:space="preserve"> </w:t>
      </w:r>
      <w:r w:rsidRPr="001A644F">
        <w:rPr>
          <w:szCs w:val="22"/>
          <w:lang w:val="el-GR"/>
        </w:rPr>
        <w:t>υγρό</w:t>
      </w:r>
      <w:r w:rsidRPr="005B6BCC">
        <w:rPr>
          <w:szCs w:val="22"/>
          <w:lang w:val="el-GR"/>
        </w:rPr>
        <w:t xml:space="preserve"> </w:t>
      </w:r>
      <w:r w:rsidRPr="001A644F">
        <w:rPr>
          <w:szCs w:val="22"/>
          <w:lang w:val="el-GR"/>
        </w:rPr>
        <w:t>ματιών</w:t>
      </w:r>
      <w:r w:rsidRPr="005B6BCC">
        <w:rPr>
          <w:szCs w:val="22"/>
          <w:lang w:val="el-GR"/>
        </w:rPr>
        <w:t xml:space="preserve"> </w:t>
      </w:r>
      <w:r w:rsidR="001873DF">
        <w:rPr>
          <w:szCs w:val="22"/>
          <w:lang w:val="el-GR"/>
        </w:rPr>
        <w:t xml:space="preserve">χλωριούχου νατρίου </w:t>
      </w:r>
      <w:r w:rsidRPr="00E17D2F">
        <w:rPr>
          <w:szCs w:val="22"/>
          <w:lang w:val="el-GR"/>
        </w:rPr>
        <w:t>ή</w:t>
      </w:r>
      <w:r w:rsidRPr="005B6BCC">
        <w:rPr>
          <w:szCs w:val="22"/>
          <w:lang w:val="el-GR"/>
        </w:rPr>
        <w:t xml:space="preserve"> </w:t>
      </w:r>
      <w:r w:rsidRPr="00E17D2F">
        <w:rPr>
          <w:szCs w:val="22"/>
          <w:lang w:val="el-GR"/>
        </w:rPr>
        <w:t>άφθονο</w:t>
      </w:r>
      <w:r w:rsidRPr="005B6BCC">
        <w:rPr>
          <w:szCs w:val="22"/>
          <w:lang w:val="el-GR"/>
        </w:rPr>
        <w:t xml:space="preserve"> </w:t>
      </w:r>
      <w:r w:rsidRPr="00E17D2F">
        <w:rPr>
          <w:szCs w:val="22"/>
          <w:lang w:val="el-GR"/>
        </w:rPr>
        <w:t>νερό</w:t>
      </w:r>
      <w:r w:rsidRPr="005B6BCC">
        <w:rPr>
          <w:szCs w:val="22"/>
          <w:lang w:val="el-GR"/>
        </w:rPr>
        <w:t xml:space="preserve"> </w:t>
      </w:r>
      <w:r w:rsidRPr="00E17D2F">
        <w:rPr>
          <w:szCs w:val="22"/>
          <w:lang w:val="el-GR"/>
        </w:rPr>
        <w:t>και</w:t>
      </w:r>
      <w:r w:rsidRPr="005B6BCC">
        <w:rPr>
          <w:szCs w:val="22"/>
          <w:lang w:val="el-GR"/>
        </w:rPr>
        <w:t xml:space="preserve"> </w:t>
      </w:r>
      <w:r w:rsidRPr="00E17D2F">
        <w:rPr>
          <w:szCs w:val="22"/>
          <w:lang w:val="el-GR"/>
        </w:rPr>
        <w:t>συμβουλευτείτε</w:t>
      </w:r>
      <w:r w:rsidRPr="005B6BCC">
        <w:rPr>
          <w:szCs w:val="22"/>
          <w:lang w:val="el-GR"/>
        </w:rPr>
        <w:t xml:space="preserve"> </w:t>
      </w:r>
      <w:r w:rsidRPr="00E17D2F">
        <w:rPr>
          <w:szCs w:val="22"/>
          <w:lang w:val="el-GR"/>
        </w:rPr>
        <w:t>αμέσως</w:t>
      </w:r>
      <w:r w:rsidRPr="005B6BCC">
        <w:rPr>
          <w:szCs w:val="22"/>
          <w:lang w:val="el-GR"/>
        </w:rPr>
        <w:t xml:space="preserve"> </w:t>
      </w:r>
      <w:r w:rsidRPr="00E17D2F">
        <w:rPr>
          <w:szCs w:val="22"/>
          <w:lang w:val="el-GR"/>
        </w:rPr>
        <w:t>έναν</w:t>
      </w:r>
      <w:r w:rsidRPr="005B6BCC">
        <w:rPr>
          <w:szCs w:val="22"/>
          <w:lang w:val="el-GR"/>
        </w:rPr>
        <w:t xml:space="preserve"> </w:t>
      </w:r>
      <w:r w:rsidRPr="00E17D2F">
        <w:rPr>
          <w:szCs w:val="22"/>
          <w:lang w:val="el-GR"/>
        </w:rPr>
        <w:t>ιατρό</w:t>
      </w:r>
      <w:r w:rsidRPr="005B6BCC">
        <w:rPr>
          <w:szCs w:val="22"/>
          <w:lang w:val="el-GR"/>
        </w:rPr>
        <w:t xml:space="preserve">. </w:t>
      </w:r>
      <w:r w:rsidRPr="00E17D2F">
        <w:rPr>
          <w:szCs w:val="22"/>
          <w:lang w:val="el-GR"/>
        </w:rPr>
        <w:t>Σε περίπτωση επαφής με το δέρμα, πλύνετε αμέσως τις πληγείσες περιοχές με σαπούνι και άφθονο κρύο νερό</w:t>
      </w:r>
      <w:r w:rsidR="00D8587B">
        <w:rPr>
          <w:szCs w:val="22"/>
          <w:lang w:val="el-GR"/>
        </w:rPr>
        <w:t xml:space="preserve"> και συμβουλευτείτε αμέσως ένα </w:t>
      </w:r>
      <w:r w:rsidRPr="00E17D2F">
        <w:rPr>
          <w:szCs w:val="22"/>
          <w:lang w:val="el-GR"/>
        </w:rPr>
        <w:t xml:space="preserve">ιατρό. Το </w:t>
      </w:r>
      <w:r w:rsidR="005B6BCC">
        <w:rPr>
          <w:szCs w:val="22"/>
          <w:lang w:val="el-GR"/>
        </w:rPr>
        <w:t xml:space="preserve">διεσπαρμένο </w:t>
      </w:r>
      <w:r w:rsidRPr="00E17D2F">
        <w:rPr>
          <w:szCs w:val="22"/>
          <w:lang w:val="el-GR"/>
        </w:rPr>
        <w:t>διάλυμα πρέπει να σκουπίζεται αμέσως με ένα υγρό απορροφητικό χαρτί, το οποίο π</w:t>
      </w:r>
      <w:r w:rsidR="00D90209">
        <w:rPr>
          <w:szCs w:val="22"/>
          <w:lang w:val="el-GR"/>
        </w:rPr>
        <w:t>ρέπει στη συνέχεια να απορρίπτε</w:t>
      </w:r>
      <w:r w:rsidRPr="00E17D2F">
        <w:rPr>
          <w:szCs w:val="22"/>
          <w:lang w:val="el-GR"/>
        </w:rPr>
        <w:t>ται με ασφάλεια. Οι μολυσμένες επιφάνειες πρέπει να πλένονται με άφθονο νερό.</w:t>
      </w:r>
    </w:p>
    <w:p w14:paraId="0015814E" w14:textId="797CA633" w:rsidR="00061777" w:rsidRPr="005B6BCC" w:rsidRDefault="00061777" w:rsidP="00061777">
      <w:pPr>
        <w:rPr>
          <w:u w:val="single"/>
          <w:lang w:val="el-GR"/>
        </w:rPr>
      </w:pPr>
      <w:r w:rsidRPr="005B6BCC">
        <w:rPr>
          <w:u w:val="single"/>
          <w:lang w:val="el-GR"/>
        </w:rPr>
        <w:t xml:space="preserve">Παρασκευή </w:t>
      </w:r>
      <w:r w:rsidR="00D90209">
        <w:rPr>
          <w:noProof/>
          <w:szCs w:val="22"/>
          <w:u w:val="single"/>
          <w:lang w:val="el-GR"/>
        </w:rPr>
        <w:t xml:space="preserve">κόνεως </w:t>
      </w:r>
      <w:r w:rsidR="00D90209">
        <w:rPr>
          <w:szCs w:val="22"/>
          <w:u w:val="single"/>
          <w:lang w:val="el-GR"/>
        </w:rPr>
        <w:t>και διαλύτη</w:t>
      </w:r>
      <w:r w:rsidR="005B6BCC" w:rsidRPr="005B6BCC">
        <w:rPr>
          <w:szCs w:val="22"/>
          <w:u w:val="single"/>
          <w:lang w:val="el-GR"/>
        </w:rPr>
        <w:t xml:space="preserve"> </w:t>
      </w:r>
      <w:proofErr w:type="spellStart"/>
      <w:r w:rsidR="00D90209">
        <w:rPr>
          <w:szCs w:val="22"/>
          <w:u w:val="single"/>
          <w:lang w:val="el-GR"/>
        </w:rPr>
        <w:t>μελφαλάνης</w:t>
      </w:r>
      <w:proofErr w:type="spellEnd"/>
      <w:r w:rsidR="00D90209">
        <w:rPr>
          <w:szCs w:val="22"/>
          <w:u w:val="single"/>
          <w:lang w:val="el-GR"/>
        </w:rPr>
        <w:t xml:space="preserve"> </w:t>
      </w:r>
      <w:r w:rsidR="005B6BCC" w:rsidRPr="005B6BCC">
        <w:rPr>
          <w:szCs w:val="22"/>
          <w:u w:val="single"/>
          <w:lang w:val="el-GR"/>
        </w:rPr>
        <w:t>για ενέσιμο διάλυμα /</w:t>
      </w:r>
      <w:r w:rsidR="004B0BFE">
        <w:rPr>
          <w:szCs w:val="22"/>
          <w:u w:val="single"/>
          <w:lang w:val="el-GR"/>
        </w:rPr>
        <w:t xml:space="preserve">διάλυμα προς </w:t>
      </w:r>
      <w:r w:rsidR="005B6BCC" w:rsidRPr="005B6BCC">
        <w:rPr>
          <w:szCs w:val="22"/>
          <w:u w:val="single"/>
          <w:lang w:val="el-GR"/>
        </w:rPr>
        <w:t>έγχυση</w:t>
      </w:r>
      <w:r w:rsidRPr="005B6BCC">
        <w:rPr>
          <w:u w:val="single"/>
          <w:lang w:val="el-GR"/>
        </w:rPr>
        <w:t>:</w:t>
      </w:r>
    </w:p>
    <w:p w14:paraId="540E3486" w14:textId="2C78E70A" w:rsidR="00061777" w:rsidRPr="00E17D2F" w:rsidRDefault="00061777" w:rsidP="00061777">
      <w:pPr>
        <w:rPr>
          <w:lang w:val="el-GR"/>
        </w:rPr>
      </w:pPr>
      <w:r>
        <w:t>To</w:t>
      </w:r>
      <w:r>
        <w:rPr>
          <w:lang w:val="el-GR"/>
        </w:rPr>
        <w:t xml:space="preserve"> </w:t>
      </w:r>
      <w:r w:rsidR="005B6BCC">
        <w:rPr>
          <w:noProof/>
          <w:szCs w:val="22"/>
          <w:lang w:val="en-US"/>
        </w:rPr>
        <w:t>Melphalan</w:t>
      </w:r>
      <w:r w:rsidR="005B6BCC" w:rsidRPr="00E56986">
        <w:rPr>
          <w:noProof/>
          <w:szCs w:val="22"/>
          <w:lang w:val="el-GR"/>
        </w:rPr>
        <w:t xml:space="preserve"> </w:t>
      </w:r>
      <w:r w:rsidR="005B6BCC">
        <w:rPr>
          <w:noProof/>
          <w:szCs w:val="22"/>
          <w:lang w:val="en-US"/>
        </w:rPr>
        <w:t>Tillomed</w:t>
      </w:r>
      <w:r w:rsidR="005B6BCC" w:rsidRPr="00E56986">
        <w:rPr>
          <w:noProof/>
          <w:szCs w:val="22"/>
          <w:lang w:val="el-GR"/>
        </w:rPr>
        <w:t xml:space="preserve"> </w:t>
      </w:r>
      <w:r w:rsidRPr="00E17D2F">
        <w:rPr>
          <w:lang w:val="el-GR"/>
        </w:rPr>
        <w:t xml:space="preserve">πρέπει να παρασκευάζεται σε θερμοκρασία δωματίου (περίπου 25 ° </w:t>
      </w:r>
      <w:r>
        <w:t>C</w:t>
      </w:r>
      <w:r w:rsidRPr="00E17D2F">
        <w:rPr>
          <w:lang w:val="el-GR"/>
        </w:rPr>
        <w:t xml:space="preserve">), με ανασύσταση της </w:t>
      </w:r>
      <w:proofErr w:type="spellStart"/>
      <w:r w:rsidRPr="00E17D2F">
        <w:rPr>
          <w:lang w:val="el-GR"/>
        </w:rPr>
        <w:t>κόνεως</w:t>
      </w:r>
      <w:proofErr w:type="spellEnd"/>
      <w:r w:rsidRPr="00E17D2F">
        <w:rPr>
          <w:lang w:val="el-GR"/>
        </w:rPr>
        <w:t xml:space="preserve"> με</w:t>
      </w:r>
      <w:r w:rsidR="005B6BCC">
        <w:rPr>
          <w:lang w:val="el-GR"/>
        </w:rPr>
        <w:t xml:space="preserve"> το διαλύτη που</w:t>
      </w:r>
      <w:r w:rsidRPr="00E17D2F">
        <w:rPr>
          <w:lang w:val="el-GR"/>
        </w:rPr>
        <w:t xml:space="preserve"> παρέχεται</w:t>
      </w:r>
      <w:r w:rsidR="005B6BCC">
        <w:rPr>
          <w:lang w:val="el-GR"/>
        </w:rPr>
        <w:t xml:space="preserve"> μαζί</w:t>
      </w:r>
      <w:r w:rsidRPr="00E17D2F">
        <w:rPr>
          <w:lang w:val="el-GR"/>
        </w:rPr>
        <w:t>.</w:t>
      </w:r>
      <w:r w:rsidR="005B6BCC">
        <w:rPr>
          <w:lang w:val="el-GR"/>
        </w:rPr>
        <w:t xml:space="preserve"> </w:t>
      </w:r>
    </w:p>
    <w:p w14:paraId="4001D272" w14:textId="0A50BD9C" w:rsidR="00061777" w:rsidRPr="005B6BCC" w:rsidRDefault="00061777" w:rsidP="00061777">
      <w:pPr>
        <w:rPr>
          <w:lang w:val="el-GR"/>
        </w:rPr>
      </w:pPr>
      <w:r w:rsidRPr="00E17D2F">
        <w:rPr>
          <w:lang w:val="el-GR"/>
        </w:rPr>
        <w:t xml:space="preserve">Είναι σημαντικό ότι τόσο η </w:t>
      </w:r>
      <w:r w:rsidR="005B6BCC">
        <w:rPr>
          <w:lang w:val="el-GR"/>
        </w:rPr>
        <w:t>κόνις</w:t>
      </w:r>
      <w:r w:rsidRPr="00E17D2F">
        <w:rPr>
          <w:lang w:val="el-GR"/>
        </w:rPr>
        <w:t xml:space="preserve"> </w:t>
      </w:r>
      <w:r w:rsidR="00D8587B">
        <w:rPr>
          <w:lang w:val="el-GR"/>
        </w:rPr>
        <w:t xml:space="preserve">όσο </w:t>
      </w:r>
      <w:r w:rsidRPr="00E17D2F">
        <w:rPr>
          <w:lang w:val="el-GR"/>
        </w:rPr>
        <w:t xml:space="preserve">και ο διαλύτης </w:t>
      </w:r>
      <w:r w:rsidR="005B6BCC">
        <w:rPr>
          <w:lang w:val="el-GR"/>
        </w:rPr>
        <w:t>να</w:t>
      </w:r>
      <w:r w:rsidRPr="00E17D2F">
        <w:rPr>
          <w:lang w:val="el-GR"/>
        </w:rPr>
        <w:t xml:space="preserve"> είναι σε θερμοκρασία δωματίου πριν από την έναρξη ανασύσταση</w:t>
      </w:r>
      <w:r w:rsidR="005B6BCC">
        <w:rPr>
          <w:lang w:val="el-GR"/>
        </w:rPr>
        <w:t>ς</w:t>
      </w:r>
      <w:r w:rsidRPr="00E17D2F">
        <w:rPr>
          <w:lang w:val="el-GR"/>
        </w:rPr>
        <w:t xml:space="preserve">. </w:t>
      </w:r>
      <w:r w:rsidR="005B6BCC">
        <w:rPr>
          <w:lang w:val="el-GR"/>
        </w:rPr>
        <w:t xml:space="preserve">Τα </w:t>
      </w:r>
      <w:r w:rsidRPr="00E17D2F">
        <w:rPr>
          <w:lang w:val="el-GR"/>
        </w:rPr>
        <w:t xml:space="preserve">10 </w:t>
      </w:r>
      <w:r>
        <w:t>ml</w:t>
      </w:r>
      <w:r w:rsidRPr="00E17D2F">
        <w:rPr>
          <w:lang w:val="el-GR"/>
        </w:rPr>
        <w:t xml:space="preserve"> του διαλύτη θα πρέπει να προστεθ</w:t>
      </w:r>
      <w:r w:rsidR="005B6BCC">
        <w:rPr>
          <w:lang w:val="el-GR"/>
        </w:rPr>
        <w:t>ούν</w:t>
      </w:r>
      <w:r w:rsidRPr="00E17D2F">
        <w:rPr>
          <w:lang w:val="el-GR"/>
        </w:rPr>
        <w:t xml:space="preserve"> γρήγορα, ως ενιαία ποσότητα μέσα στο φιαλίδιο που περιέχει τη</w:t>
      </w:r>
      <w:r w:rsidR="00D90209">
        <w:rPr>
          <w:lang w:val="el-GR"/>
        </w:rPr>
        <w:t>ν</w:t>
      </w:r>
      <w:r w:rsidRPr="00E17D2F">
        <w:rPr>
          <w:lang w:val="el-GR"/>
        </w:rPr>
        <w:t xml:space="preserve"> </w:t>
      </w:r>
      <w:proofErr w:type="spellStart"/>
      <w:r w:rsidR="005B6BCC">
        <w:rPr>
          <w:lang w:val="el-GR"/>
        </w:rPr>
        <w:t>κόνι</w:t>
      </w:r>
      <w:proofErr w:type="spellEnd"/>
      <w:r w:rsidRPr="00E17D2F">
        <w:rPr>
          <w:lang w:val="el-GR"/>
        </w:rPr>
        <w:t xml:space="preserve">, και </w:t>
      </w:r>
      <w:r w:rsidR="005B6BCC">
        <w:rPr>
          <w:lang w:val="el-GR"/>
        </w:rPr>
        <w:t xml:space="preserve">να πραγματοποιηθεί </w:t>
      </w:r>
      <w:r w:rsidR="00D90209">
        <w:rPr>
          <w:lang w:val="el-GR"/>
        </w:rPr>
        <w:t xml:space="preserve">αμέσως </w:t>
      </w:r>
      <w:r w:rsidR="005B6BCC">
        <w:rPr>
          <w:lang w:val="el-GR"/>
        </w:rPr>
        <w:t>ζωηρή ανακίνηση</w:t>
      </w:r>
      <w:r w:rsidRPr="00E17D2F">
        <w:rPr>
          <w:lang w:val="el-GR"/>
        </w:rPr>
        <w:t xml:space="preserve"> (επί περίπου 1 λεπτό) μέχρις ότου </w:t>
      </w:r>
      <w:r w:rsidR="005B6BCC">
        <w:rPr>
          <w:lang w:val="el-GR"/>
        </w:rPr>
        <w:t xml:space="preserve">να </w:t>
      </w:r>
      <w:r w:rsidR="00D8587B">
        <w:rPr>
          <w:lang w:val="el-GR"/>
        </w:rPr>
        <w:t>δημιουργηθεί</w:t>
      </w:r>
      <w:r w:rsidR="005B6BCC">
        <w:rPr>
          <w:lang w:val="el-GR"/>
        </w:rPr>
        <w:t xml:space="preserve"> </w:t>
      </w:r>
      <w:r w:rsidRPr="00E17D2F">
        <w:rPr>
          <w:lang w:val="el-GR"/>
        </w:rPr>
        <w:t>ένα διαυγές</w:t>
      </w:r>
      <w:r w:rsidR="005B6BCC">
        <w:rPr>
          <w:lang w:val="el-GR"/>
        </w:rPr>
        <w:t xml:space="preserve"> διάλυμα, χωρίς ορατά σωματίδια</w:t>
      </w:r>
      <w:r w:rsidRPr="00E17D2F">
        <w:rPr>
          <w:lang w:val="el-GR"/>
        </w:rPr>
        <w:t>. Κάθε φιαλίδιο πρέπει να ανασυσταθεί με αυτόν τον τρόπο</w:t>
      </w:r>
      <w:r w:rsidR="005B6BCC">
        <w:rPr>
          <w:lang w:val="el-GR"/>
        </w:rPr>
        <w:t>,</w:t>
      </w:r>
      <w:r w:rsidR="005B6BCC" w:rsidRPr="005B6BCC">
        <w:rPr>
          <w:lang w:val="el-GR"/>
        </w:rPr>
        <w:t xml:space="preserve"> </w:t>
      </w:r>
      <w:r w:rsidR="005B6BCC" w:rsidRPr="00E17D2F">
        <w:rPr>
          <w:lang w:val="el-GR"/>
        </w:rPr>
        <w:t>ξεχωριστά</w:t>
      </w:r>
      <w:r w:rsidRPr="00E17D2F">
        <w:rPr>
          <w:lang w:val="el-GR"/>
        </w:rPr>
        <w:t>. Το</w:t>
      </w:r>
      <w:r w:rsidRPr="005B6BCC">
        <w:rPr>
          <w:lang w:val="el-GR"/>
        </w:rPr>
        <w:t xml:space="preserve"> </w:t>
      </w:r>
      <w:r w:rsidRPr="00E17D2F">
        <w:rPr>
          <w:lang w:val="el-GR"/>
        </w:rPr>
        <w:t>διάλυμα</w:t>
      </w:r>
      <w:r w:rsidRPr="005B6BCC">
        <w:rPr>
          <w:lang w:val="el-GR"/>
        </w:rPr>
        <w:t xml:space="preserve"> </w:t>
      </w:r>
      <w:r w:rsidR="005B6BCC">
        <w:rPr>
          <w:lang w:val="el-GR"/>
        </w:rPr>
        <w:t>που</w:t>
      </w:r>
      <w:r w:rsidR="005B6BCC" w:rsidRPr="005B6BCC">
        <w:rPr>
          <w:lang w:val="el-GR"/>
        </w:rPr>
        <w:t xml:space="preserve"> </w:t>
      </w:r>
      <w:r w:rsidR="005B6BCC">
        <w:rPr>
          <w:lang w:val="el-GR"/>
        </w:rPr>
        <w:t>προκύπτει</w:t>
      </w:r>
      <w:r w:rsidR="005B6BCC" w:rsidRPr="005B6BCC">
        <w:rPr>
          <w:lang w:val="el-GR"/>
        </w:rPr>
        <w:t xml:space="preserve"> </w:t>
      </w:r>
      <w:r w:rsidRPr="00E17D2F">
        <w:rPr>
          <w:lang w:val="el-GR"/>
        </w:rPr>
        <w:t>περιέχει</w:t>
      </w:r>
      <w:r w:rsidRPr="005B6BCC">
        <w:rPr>
          <w:lang w:val="el-GR"/>
        </w:rPr>
        <w:t xml:space="preserve"> 5 </w:t>
      </w:r>
      <w:r>
        <w:t>mg</w:t>
      </w:r>
      <w:r w:rsidRPr="005B6BCC">
        <w:rPr>
          <w:lang w:val="el-GR"/>
        </w:rPr>
        <w:t xml:space="preserve"> </w:t>
      </w:r>
      <w:r w:rsidRPr="00E17D2F">
        <w:rPr>
          <w:lang w:val="el-GR"/>
        </w:rPr>
        <w:t>ανά</w:t>
      </w:r>
      <w:r w:rsidRPr="005B6BCC">
        <w:rPr>
          <w:lang w:val="el-GR"/>
        </w:rPr>
        <w:t xml:space="preserve"> </w:t>
      </w:r>
      <w:r>
        <w:t>ml</w:t>
      </w:r>
      <w:r w:rsidRPr="005B6BCC">
        <w:rPr>
          <w:lang w:val="el-GR"/>
        </w:rPr>
        <w:t xml:space="preserve"> </w:t>
      </w:r>
      <w:r w:rsidR="005B6BCC">
        <w:rPr>
          <w:lang w:val="el-GR"/>
        </w:rPr>
        <w:t xml:space="preserve">άνυδρης </w:t>
      </w:r>
      <w:proofErr w:type="spellStart"/>
      <w:r w:rsidR="005B6BCC">
        <w:rPr>
          <w:lang w:val="el-GR"/>
        </w:rPr>
        <w:t>μελφαλάνης</w:t>
      </w:r>
      <w:proofErr w:type="spellEnd"/>
      <w:r w:rsidRPr="005B6BCC">
        <w:rPr>
          <w:lang w:val="el-GR"/>
        </w:rPr>
        <w:t>.</w:t>
      </w:r>
    </w:p>
    <w:p w14:paraId="20F337C2" w14:textId="6AE1CC30" w:rsidR="00061777" w:rsidRPr="00E17D2F" w:rsidRDefault="00061777" w:rsidP="00061777">
      <w:pPr>
        <w:rPr>
          <w:lang w:val="el-GR"/>
        </w:rPr>
      </w:pPr>
      <w:r>
        <w:rPr>
          <w:lang w:val="el-GR"/>
        </w:rPr>
        <w:t xml:space="preserve">Το </w:t>
      </w:r>
      <w:r w:rsidR="00D90209">
        <w:rPr>
          <w:lang w:val="el-GR"/>
        </w:rPr>
        <w:t xml:space="preserve">διάλυμα </w:t>
      </w:r>
      <w:r w:rsidR="005B6BCC">
        <w:rPr>
          <w:noProof/>
          <w:szCs w:val="22"/>
          <w:lang w:val="en-US"/>
        </w:rPr>
        <w:t>Melphalan</w:t>
      </w:r>
      <w:r w:rsidR="005B6BCC" w:rsidRPr="00E56986">
        <w:rPr>
          <w:noProof/>
          <w:szCs w:val="22"/>
          <w:lang w:val="el-GR"/>
        </w:rPr>
        <w:t xml:space="preserve"> </w:t>
      </w:r>
      <w:r w:rsidR="005B6BCC">
        <w:rPr>
          <w:noProof/>
          <w:szCs w:val="22"/>
          <w:lang w:val="en-US"/>
        </w:rPr>
        <w:t>Tillomed</w:t>
      </w:r>
      <w:r w:rsidR="005B6BCC" w:rsidRPr="00E56986">
        <w:rPr>
          <w:noProof/>
          <w:szCs w:val="22"/>
          <w:lang w:val="el-GR"/>
        </w:rPr>
        <w:t xml:space="preserve"> </w:t>
      </w:r>
      <w:r w:rsidRPr="00E17D2F">
        <w:rPr>
          <w:lang w:val="el-GR"/>
        </w:rPr>
        <w:t xml:space="preserve">έχει περιορισμένη σταθερότητα και θα πρέπει να παρασκευάζεται αμέσως πριν από τη χρήση. Οποιαδήποτε </w:t>
      </w:r>
      <w:r w:rsidR="005B6BCC">
        <w:rPr>
          <w:lang w:val="el-GR"/>
        </w:rPr>
        <w:t>υπόλειμμα</w:t>
      </w:r>
      <w:r w:rsidRPr="00E17D2F">
        <w:rPr>
          <w:lang w:val="el-GR"/>
        </w:rPr>
        <w:t xml:space="preserve"> μετά από 30 λεπτά θα πρέπει να απορρίπτεται σύμφωνα με </w:t>
      </w:r>
      <w:r w:rsidR="005B6BCC">
        <w:rPr>
          <w:lang w:val="el-GR"/>
        </w:rPr>
        <w:t xml:space="preserve">τις </w:t>
      </w:r>
      <w:r w:rsidRPr="00E17D2F">
        <w:rPr>
          <w:lang w:val="el-GR"/>
        </w:rPr>
        <w:t xml:space="preserve">πρότυπες κατευθυντήριες γραμμές για το χειρισμό και την απόρριψη των </w:t>
      </w:r>
      <w:proofErr w:type="spellStart"/>
      <w:r w:rsidRPr="00E17D2F">
        <w:rPr>
          <w:lang w:val="el-GR"/>
        </w:rPr>
        <w:t>κυτταροτοξικών</w:t>
      </w:r>
      <w:proofErr w:type="spellEnd"/>
      <w:r w:rsidRPr="00E17D2F">
        <w:rPr>
          <w:lang w:val="el-GR"/>
        </w:rPr>
        <w:t xml:space="preserve"> φαρμακευτικών προϊόντων.</w:t>
      </w:r>
    </w:p>
    <w:p w14:paraId="2DAEC6E0" w14:textId="7CB549BC" w:rsidR="00061777" w:rsidRPr="00E17D2F" w:rsidRDefault="00061777" w:rsidP="00061777">
      <w:pPr>
        <w:rPr>
          <w:lang w:val="el-GR"/>
        </w:rPr>
      </w:pPr>
      <w:r w:rsidRPr="00E17D2F">
        <w:rPr>
          <w:lang w:val="el-GR"/>
        </w:rPr>
        <w:t xml:space="preserve">Εάν </w:t>
      </w:r>
      <w:r w:rsidR="005B6BCC">
        <w:rPr>
          <w:lang w:val="el-GR"/>
        </w:rPr>
        <w:t xml:space="preserve">το </w:t>
      </w:r>
      <w:r w:rsidR="005B6BCC" w:rsidRPr="00E17D2F">
        <w:rPr>
          <w:lang w:val="el-GR"/>
        </w:rPr>
        <w:t xml:space="preserve">αραιωμένο διάλυμα </w:t>
      </w:r>
      <w:r w:rsidR="00D90209">
        <w:rPr>
          <w:lang w:val="el-GR"/>
        </w:rPr>
        <w:t xml:space="preserve">για έγχυση </w:t>
      </w:r>
      <w:r w:rsidR="005B6BCC">
        <w:rPr>
          <w:lang w:val="el-GR"/>
        </w:rPr>
        <w:t>είναι θολό</w:t>
      </w:r>
      <w:r w:rsidRPr="00E17D2F">
        <w:rPr>
          <w:lang w:val="el-GR"/>
        </w:rPr>
        <w:t xml:space="preserve"> ή </w:t>
      </w:r>
      <w:r w:rsidR="005B6BCC">
        <w:rPr>
          <w:lang w:val="el-GR"/>
        </w:rPr>
        <w:t xml:space="preserve">παρουσιάζει </w:t>
      </w:r>
      <w:r w:rsidRPr="00E17D2F">
        <w:rPr>
          <w:lang w:val="el-GR"/>
        </w:rPr>
        <w:t>κρυστάλλ</w:t>
      </w:r>
      <w:r w:rsidR="005B6BCC">
        <w:rPr>
          <w:lang w:val="el-GR"/>
        </w:rPr>
        <w:t>ους</w:t>
      </w:r>
      <w:r w:rsidRPr="00E17D2F">
        <w:rPr>
          <w:lang w:val="el-GR"/>
        </w:rPr>
        <w:t xml:space="preserve"> θα πρέπει να απορρίπτεται.</w:t>
      </w:r>
    </w:p>
    <w:p w14:paraId="25103819" w14:textId="77777777" w:rsidR="00061777" w:rsidRPr="00E17D2F" w:rsidRDefault="00061777" w:rsidP="00061777">
      <w:pPr>
        <w:rPr>
          <w:lang w:val="el-GR"/>
        </w:rPr>
      </w:pPr>
      <w:r w:rsidRPr="00E17D2F">
        <w:rPr>
          <w:lang w:val="el-GR"/>
        </w:rPr>
        <w:t xml:space="preserve">Κάθε μη χρησιμοποιηθέν υλικό φαρμακευτικό προϊόν ή υπόλειμμα πρέπει να απορρίπτεται σύμφωνα με τις τοπικές απαιτήσεις για τα </w:t>
      </w:r>
      <w:proofErr w:type="spellStart"/>
      <w:r w:rsidRPr="00E17D2F">
        <w:rPr>
          <w:lang w:val="el-GR"/>
        </w:rPr>
        <w:t>κυτταροτοξικά</w:t>
      </w:r>
      <w:proofErr w:type="spellEnd"/>
      <w:r w:rsidRPr="00E17D2F">
        <w:rPr>
          <w:lang w:val="el-GR"/>
        </w:rPr>
        <w:t xml:space="preserve"> φαρμακευτικά προϊόντα.</w:t>
      </w:r>
    </w:p>
    <w:p w14:paraId="7A44DDD0" w14:textId="2A781177" w:rsidR="00061777" w:rsidRPr="00E56986" w:rsidRDefault="00970FC6" w:rsidP="007B01B7">
      <w:pPr>
        <w:pStyle w:val="1"/>
        <w:numPr>
          <w:ilvl w:val="0"/>
          <w:numId w:val="0"/>
        </w:numPr>
        <w:rPr>
          <w:lang w:val="el-GR"/>
        </w:rPr>
      </w:pPr>
      <w:r>
        <w:rPr>
          <w:lang w:val="el-GR"/>
        </w:rPr>
        <w:t xml:space="preserve">7. </w:t>
      </w:r>
      <w:r w:rsidR="00061777" w:rsidRPr="00E56986">
        <w:rPr>
          <w:rFonts w:hint="eastAsia"/>
          <w:lang w:val="el-GR"/>
        </w:rPr>
        <w:t>ΚΑΤΟΧΟΣ</w:t>
      </w:r>
      <w:r w:rsidR="00061777" w:rsidRPr="00E56986">
        <w:rPr>
          <w:lang w:val="el-GR"/>
        </w:rPr>
        <w:t xml:space="preserve"> </w:t>
      </w:r>
      <w:r w:rsidR="00061777" w:rsidRPr="00E56986">
        <w:rPr>
          <w:rFonts w:hint="eastAsia"/>
          <w:lang w:val="el-GR"/>
        </w:rPr>
        <w:t>ΤΗΣ</w:t>
      </w:r>
      <w:r w:rsidR="00061777" w:rsidRPr="00E56986">
        <w:rPr>
          <w:lang w:val="el-GR"/>
        </w:rPr>
        <w:t xml:space="preserve"> </w:t>
      </w:r>
      <w:r w:rsidR="00061777" w:rsidRPr="00E56986">
        <w:rPr>
          <w:rFonts w:hint="eastAsia"/>
          <w:lang w:val="el-GR"/>
        </w:rPr>
        <w:t>ΑΔΕΙΑΣ</w:t>
      </w:r>
      <w:r w:rsidR="00061777" w:rsidRPr="00E56986">
        <w:rPr>
          <w:lang w:val="el-GR"/>
        </w:rPr>
        <w:t xml:space="preserve"> </w:t>
      </w:r>
      <w:r w:rsidR="00061777" w:rsidRPr="00E56986">
        <w:rPr>
          <w:rFonts w:hint="eastAsia"/>
          <w:lang w:val="el-GR"/>
        </w:rPr>
        <w:t>ΚΥΚΛΟΦΟΡΙΑΣ</w:t>
      </w:r>
    </w:p>
    <w:p w14:paraId="3EFE6062" w14:textId="77777777" w:rsidR="00061777" w:rsidRPr="003E4140" w:rsidRDefault="00061777" w:rsidP="00061777">
      <w:pPr>
        <w:jc w:val="left"/>
        <w:rPr>
          <w:lang w:val="el-GR"/>
        </w:rPr>
      </w:pPr>
      <w:proofErr w:type="spellStart"/>
      <w:r>
        <w:t>Tillomed</w:t>
      </w:r>
      <w:proofErr w:type="spellEnd"/>
      <w:r w:rsidRPr="003E4140">
        <w:rPr>
          <w:lang w:val="el-GR"/>
        </w:rPr>
        <w:t xml:space="preserve"> </w:t>
      </w:r>
      <w:r>
        <w:t>Laboratories</w:t>
      </w:r>
      <w:r w:rsidRPr="003E4140">
        <w:rPr>
          <w:lang w:val="el-GR"/>
        </w:rPr>
        <w:t xml:space="preserve"> </w:t>
      </w:r>
      <w:r>
        <w:t>Ltd</w:t>
      </w:r>
      <w:r w:rsidRPr="003E4140">
        <w:rPr>
          <w:lang w:val="el-GR"/>
        </w:rPr>
        <w:br/>
        <w:t xml:space="preserve">3 </w:t>
      </w:r>
      <w:r w:rsidRPr="00E45DDD">
        <w:t>Howard</w:t>
      </w:r>
      <w:r w:rsidRPr="003E4140">
        <w:rPr>
          <w:lang w:val="el-GR"/>
        </w:rPr>
        <w:t xml:space="preserve"> </w:t>
      </w:r>
      <w:r w:rsidRPr="00E45DDD">
        <w:t>Road</w:t>
      </w:r>
      <w:r w:rsidRPr="003E4140">
        <w:rPr>
          <w:lang w:val="el-GR"/>
        </w:rPr>
        <w:t>,</w:t>
      </w:r>
      <w:r w:rsidRPr="003E4140">
        <w:rPr>
          <w:lang w:val="el-GR"/>
        </w:rPr>
        <w:br/>
      </w:r>
      <w:r w:rsidRPr="00E45DDD">
        <w:t>Eaton</w:t>
      </w:r>
      <w:r w:rsidRPr="003E4140">
        <w:rPr>
          <w:lang w:val="el-GR"/>
        </w:rPr>
        <w:t xml:space="preserve"> </w:t>
      </w:r>
      <w:proofErr w:type="spellStart"/>
      <w:r w:rsidRPr="00E45DDD">
        <w:t>Socon</w:t>
      </w:r>
      <w:proofErr w:type="spellEnd"/>
      <w:r w:rsidRPr="003E4140">
        <w:rPr>
          <w:lang w:val="el-GR"/>
        </w:rPr>
        <w:t xml:space="preserve">, </w:t>
      </w:r>
      <w:r w:rsidRPr="00E45DDD">
        <w:t>St</w:t>
      </w:r>
      <w:r w:rsidRPr="003E4140">
        <w:rPr>
          <w:lang w:val="el-GR"/>
        </w:rPr>
        <w:t xml:space="preserve"> </w:t>
      </w:r>
      <w:r w:rsidRPr="00E45DDD">
        <w:t>Neots</w:t>
      </w:r>
      <w:r w:rsidRPr="003E4140">
        <w:rPr>
          <w:lang w:val="el-GR"/>
        </w:rPr>
        <w:br/>
      </w:r>
      <w:r w:rsidRPr="00E45DDD">
        <w:t>Cambridgeshire</w:t>
      </w:r>
      <w:r w:rsidRPr="003E4140">
        <w:rPr>
          <w:lang w:val="el-GR"/>
        </w:rPr>
        <w:t xml:space="preserve"> </w:t>
      </w:r>
      <w:r w:rsidRPr="003E4140">
        <w:rPr>
          <w:lang w:val="el-GR"/>
        </w:rPr>
        <w:br/>
      </w:r>
      <w:r w:rsidRPr="00E45DDD">
        <w:t>PE</w:t>
      </w:r>
      <w:r w:rsidRPr="003E4140">
        <w:rPr>
          <w:lang w:val="el-GR"/>
        </w:rPr>
        <w:t>19 8</w:t>
      </w:r>
      <w:r w:rsidRPr="00E45DDD">
        <w:t>ET</w:t>
      </w:r>
      <w:r w:rsidRPr="003E4140">
        <w:rPr>
          <w:lang w:val="el-GR"/>
        </w:rPr>
        <w:br/>
      </w:r>
      <w:r w:rsidRPr="00E56986">
        <w:rPr>
          <w:lang w:val="el-GR"/>
        </w:rPr>
        <w:t>Ηνωμένο</w:t>
      </w:r>
      <w:r w:rsidRPr="003E4140">
        <w:rPr>
          <w:lang w:val="el-GR"/>
        </w:rPr>
        <w:t xml:space="preserve"> </w:t>
      </w:r>
      <w:r w:rsidRPr="00E56986">
        <w:rPr>
          <w:lang w:val="el-GR"/>
        </w:rPr>
        <w:t>Βασίλειο</w:t>
      </w:r>
    </w:p>
    <w:p w14:paraId="68F5D7EB" w14:textId="749D4E10" w:rsidR="007B01B7" w:rsidRDefault="00970FC6" w:rsidP="00E56986">
      <w:pPr>
        <w:pStyle w:val="1"/>
        <w:numPr>
          <w:ilvl w:val="0"/>
          <w:numId w:val="0"/>
        </w:numPr>
        <w:rPr>
          <w:rFonts w:asciiTheme="minorHAnsi" w:hAnsiTheme="minorHAnsi"/>
          <w:lang w:val="el-GR"/>
        </w:rPr>
      </w:pPr>
      <w:r>
        <w:rPr>
          <w:lang w:val="el-GR"/>
        </w:rPr>
        <w:t xml:space="preserve">8. </w:t>
      </w:r>
      <w:r w:rsidR="00061777">
        <w:rPr>
          <w:lang w:val="el-GR"/>
        </w:rPr>
        <w:t>ΑΡΙΘΜΟΣ ΑΔΕΙΑΣ ΚΥΚΛΟΦΟΡΙΑΣ</w:t>
      </w:r>
    </w:p>
    <w:p w14:paraId="51C8C096" w14:textId="77777777" w:rsidR="007B01B7" w:rsidRPr="007B01B7" w:rsidRDefault="007B01B7" w:rsidP="007B01B7">
      <w:pPr>
        <w:pStyle w:val="a0"/>
        <w:rPr>
          <w:lang w:val="el-GR"/>
        </w:rPr>
      </w:pPr>
    </w:p>
    <w:p w14:paraId="371BD62B" w14:textId="1EB6E181" w:rsidR="00061777" w:rsidRDefault="00970FC6" w:rsidP="00E56986">
      <w:pPr>
        <w:pStyle w:val="1"/>
        <w:numPr>
          <w:ilvl w:val="0"/>
          <w:numId w:val="0"/>
        </w:numPr>
        <w:rPr>
          <w:rFonts w:asciiTheme="minorHAnsi" w:hAnsiTheme="minorHAnsi"/>
          <w:lang w:val="el-GR"/>
        </w:rPr>
      </w:pPr>
      <w:r>
        <w:rPr>
          <w:lang w:val="el-GR"/>
        </w:rPr>
        <w:lastRenderedPageBreak/>
        <w:t xml:space="preserve">9. </w:t>
      </w:r>
      <w:r w:rsidR="00061777">
        <w:rPr>
          <w:lang w:val="el-GR"/>
        </w:rPr>
        <w:t xml:space="preserve">ΗΜΕΡΟΜΗΝΙΑ ΠΡΩΤΗΣ </w:t>
      </w:r>
      <w:r w:rsidR="00D8587B">
        <w:rPr>
          <w:lang w:val="el-GR"/>
        </w:rPr>
        <w:t xml:space="preserve">ΕΓΚΡΙΣΗΣ της </w:t>
      </w:r>
      <w:r w:rsidR="00061777">
        <w:rPr>
          <w:lang w:val="el-GR"/>
        </w:rPr>
        <w:t>ΑΔΕΙΑΣ ΚΥΚΛΟΦΟΡΙΑΣ</w:t>
      </w:r>
    </w:p>
    <w:p w14:paraId="5A5C3700" w14:textId="77777777" w:rsidR="007B01B7" w:rsidRPr="007B01B7" w:rsidRDefault="007B01B7" w:rsidP="007B01B7">
      <w:pPr>
        <w:pStyle w:val="a0"/>
        <w:rPr>
          <w:lang w:val="el-GR"/>
        </w:rPr>
      </w:pPr>
    </w:p>
    <w:p w14:paraId="41F3FAA0" w14:textId="4473FE2E" w:rsidR="00061777" w:rsidRPr="00E56986" w:rsidRDefault="00970FC6" w:rsidP="00E56986">
      <w:pPr>
        <w:pStyle w:val="1"/>
        <w:numPr>
          <w:ilvl w:val="0"/>
          <w:numId w:val="0"/>
        </w:numPr>
        <w:rPr>
          <w:lang w:val="el-GR"/>
        </w:rPr>
      </w:pPr>
      <w:r>
        <w:rPr>
          <w:lang w:val="el-GR"/>
        </w:rPr>
        <w:t xml:space="preserve">10. </w:t>
      </w:r>
      <w:r w:rsidR="00061777">
        <w:rPr>
          <w:lang w:val="el-GR"/>
        </w:rPr>
        <w:t>ΗΜΕΡΟΜΗΝΙΑ</w:t>
      </w:r>
      <w:r w:rsidR="00061777" w:rsidRPr="00E56986">
        <w:rPr>
          <w:lang w:val="el-GR"/>
        </w:rPr>
        <w:t xml:space="preserve"> </w:t>
      </w:r>
      <w:r w:rsidR="00CA2403">
        <w:rPr>
          <w:lang w:val="el-GR"/>
        </w:rPr>
        <w:t>αναθεωρησησ</w:t>
      </w:r>
      <w:r w:rsidR="00CA2403" w:rsidRPr="00E56986">
        <w:rPr>
          <w:lang w:val="el-GR"/>
        </w:rPr>
        <w:t xml:space="preserve"> </w:t>
      </w:r>
      <w:r w:rsidR="00061777">
        <w:rPr>
          <w:lang w:val="el-GR"/>
        </w:rPr>
        <w:t>ΤΟΥ</w:t>
      </w:r>
      <w:r w:rsidR="00061777" w:rsidRPr="00E56986">
        <w:rPr>
          <w:lang w:val="el-GR"/>
        </w:rPr>
        <w:t xml:space="preserve"> </w:t>
      </w:r>
      <w:r w:rsidR="00061777">
        <w:rPr>
          <w:lang w:val="el-GR"/>
        </w:rPr>
        <w:t>ΚΕΙΜΕΝΟΥ</w:t>
      </w:r>
    </w:p>
    <w:p w14:paraId="5C00322B" w14:textId="5AAD64DF" w:rsidR="00061777" w:rsidRPr="009A50C1" w:rsidRDefault="00061777" w:rsidP="009A50C1">
      <w:pPr>
        <w:rPr>
          <w:noProof/>
          <w:lang w:val="el-GR"/>
        </w:rPr>
      </w:pPr>
    </w:p>
    <w:sectPr w:rsidR="00061777" w:rsidRPr="009A50C1" w:rsidSect="00B815A5">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F9DB7" w14:textId="77777777" w:rsidR="00A740C0" w:rsidRDefault="00A740C0" w:rsidP="00C80BFF">
      <w:pPr>
        <w:spacing w:after="0"/>
      </w:pPr>
      <w:r>
        <w:separator/>
      </w:r>
    </w:p>
  </w:endnote>
  <w:endnote w:type="continuationSeparator" w:id="0">
    <w:p w14:paraId="0E415A5D" w14:textId="77777777" w:rsidR="00A740C0" w:rsidRDefault="00A740C0" w:rsidP="00C80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A1"/>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17683" w14:textId="77777777" w:rsidR="00A34926" w:rsidRDefault="00A3492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08CBD" w14:textId="77777777" w:rsidR="00A34926" w:rsidRDefault="00A3492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7C673" w14:textId="77777777" w:rsidR="00A34926" w:rsidRDefault="00A3492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57E03" w14:textId="77777777" w:rsidR="00A740C0" w:rsidRDefault="00A740C0" w:rsidP="00C80BFF">
      <w:pPr>
        <w:spacing w:after="0"/>
      </w:pPr>
      <w:r>
        <w:separator/>
      </w:r>
    </w:p>
  </w:footnote>
  <w:footnote w:type="continuationSeparator" w:id="0">
    <w:p w14:paraId="46C6F9B8" w14:textId="77777777" w:rsidR="00A740C0" w:rsidRDefault="00A740C0" w:rsidP="00C80B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467F" w14:textId="77777777" w:rsidR="00A34926" w:rsidRDefault="00A3492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DB6FC" w14:textId="77777777" w:rsidR="00A34926" w:rsidRDefault="00A3492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36691" w14:textId="77777777" w:rsidR="00A34926" w:rsidRDefault="00A3492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F27B00"/>
    <w:lvl w:ilvl="0">
      <w:start w:val="1"/>
      <w:numFmt w:val="decimal"/>
      <w:lvlText w:val="%1."/>
      <w:lvlJc w:val="left"/>
      <w:pPr>
        <w:tabs>
          <w:tab w:val="num" w:pos="1492"/>
        </w:tabs>
        <w:ind w:left="1492" w:hanging="360"/>
      </w:pPr>
    </w:lvl>
  </w:abstractNum>
  <w:abstractNum w:abstractNumId="1">
    <w:nsid w:val="FFFFFF7D"/>
    <w:multiLevelType w:val="singleLevel"/>
    <w:tmpl w:val="E724D7F2"/>
    <w:lvl w:ilvl="0">
      <w:start w:val="1"/>
      <w:numFmt w:val="decimal"/>
      <w:lvlText w:val="%1."/>
      <w:lvlJc w:val="left"/>
      <w:pPr>
        <w:tabs>
          <w:tab w:val="num" w:pos="1209"/>
        </w:tabs>
        <w:ind w:left="1209" w:hanging="360"/>
      </w:pPr>
    </w:lvl>
  </w:abstractNum>
  <w:abstractNum w:abstractNumId="2">
    <w:nsid w:val="FFFFFF7E"/>
    <w:multiLevelType w:val="singleLevel"/>
    <w:tmpl w:val="3CACF0AE"/>
    <w:lvl w:ilvl="0">
      <w:start w:val="1"/>
      <w:numFmt w:val="decimal"/>
      <w:lvlText w:val="%1."/>
      <w:lvlJc w:val="left"/>
      <w:pPr>
        <w:tabs>
          <w:tab w:val="num" w:pos="926"/>
        </w:tabs>
        <w:ind w:left="926" w:hanging="360"/>
      </w:pPr>
    </w:lvl>
  </w:abstractNum>
  <w:abstractNum w:abstractNumId="3">
    <w:nsid w:val="FFFFFF7F"/>
    <w:multiLevelType w:val="singleLevel"/>
    <w:tmpl w:val="31E467F4"/>
    <w:lvl w:ilvl="0">
      <w:start w:val="1"/>
      <w:numFmt w:val="decimal"/>
      <w:lvlText w:val="%1."/>
      <w:lvlJc w:val="left"/>
      <w:pPr>
        <w:tabs>
          <w:tab w:val="num" w:pos="643"/>
        </w:tabs>
        <w:ind w:left="643" w:hanging="360"/>
      </w:pPr>
    </w:lvl>
  </w:abstractNum>
  <w:abstractNum w:abstractNumId="4">
    <w:nsid w:val="FFFFFF80"/>
    <w:multiLevelType w:val="singleLevel"/>
    <w:tmpl w:val="6D6E7E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52BF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480A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300E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5AA418"/>
    <w:lvl w:ilvl="0">
      <w:start w:val="1"/>
      <w:numFmt w:val="decimal"/>
      <w:lvlText w:val="%1."/>
      <w:lvlJc w:val="left"/>
      <w:pPr>
        <w:tabs>
          <w:tab w:val="num" w:pos="360"/>
        </w:tabs>
        <w:ind w:left="360" w:hanging="360"/>
      </w:pPr>
    </w:lvl>
  </w:abstractNum>
  <w:abstractNum w:abstractNumId="9">
    <w:nsid w:val="FFFFFF89"/>
    <w:multiLevelType w:val="singleLevel"/>
    <w:tmpl w:val="BFB897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C223BB"/>
    <w:multiLevelType w:val="multilevel"/>
    <w:tmpl w:val="A57E6A82"/>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61C06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90A7A4C"/>
    <w:multiLevelType w:val="hybridMultilevel"/>
    <w:tmpl w:val="5DE6D5BC"/>
    <w:lvl w:ilvl="0" w:tplc="279A8A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350C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D842E76"/>
    <w:multiLevelType w:val="hybridMultilevel"/>
    <w:tmpl w:val="0660E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3AD00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5895F74"/>
    <w:multiLevelType w:val="hybridMultilevel"/>
    <w:tmpl w:val="9F8EB1FA"/>
    <w:lvl w:ilvl="0" w:tplc="2B327C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8E2FAC"/>
    <w:multiLevelType w:val="hybridMultilevel"/>
    <w:tmpl w:val="45A89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60F765F"/>
    <w:multiLevelType w:val="hybridMultilevel"/>
    <w:tmpl w:val="F594DCB2"/>
    <w:lvl w:ilvl="0" w:tplc="8452DC3A">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084D2A"/>
    <w:multiLevelType w:val="hybridMultilevel"/>
    <w:tmpl w:val="8D4E66B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1">
    <w:nsid w:val="2AE6798C"/>
    <w:multiLevelType w:val="hybridMultilevel"/>
    <w:tmpl w:val="A2BA4752"/>
    <w:lvl w:ilvl="0" w:tplc="9B1CF02C">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E1519CB"/>
    <w:multiLevelType w:val="hybridMultilevel"/>
    <w:tmpl w:val="5F744AC0"/>
    <w:lvl w:ilvl="0" w:tplc="EC369A78">
      <w:start w:val="1"/>
      <w:numFmt w:val="decimal"/>
      <w:lvlText w:val="%1."/>
      <w:lvlJc w:val="left"/>
      <w:pPr>
        <w:ind w:left="720" w:hanging="360"/>
      </w:pPr>
      <w:rPr>
        <w:rFonts w:ascii="Times New Roman Bold" w:hAnsi="Times New Roman Bold"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E35687C"/>
    <w:multiLevelType w:val="multilevel"/>
    <w:tmpl w:val="48A4513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EBE6259"/>
    <w:multiLevelType w:val="hybridMultilevel"/>
    <w:tmpl w:val="1C067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2977896"/>
    <w:multiLevelType w:val="multilevel"/>
    <w:tmpl w:val="3F10DA80"/>
    <w:lvl w:ilvl="0">
      <w:start w:val="1"/>
      <w:numFmt w:val="decimal"/>
      <w:pStyle w:val="1"/>
      <w:lvlText w:val="%1."/>
      <w:lvlJc w:val="left"/>
      <w:pPr>
        <w:ind w:left="357" w:hanging="357"/>
      </w:pPr>
      <w:rPr>
        <w:rFonts w:hint="default"/>
        <w:lang w:val="el-GR"/>
      </w:rPr>
    </w:lvl>
    <w:lvl w:ilvl="1">
      <w:start w:val="1"/>
      <w:numFmt w:val="decimal"/>
      <w:pStyle w:val="2"/>
      <w:lvlText w:val="%1.%2."/>
      <w:lvlJc w:val="left"/>
      <w:pPr>
        <w:ind w:left="567" w:firstLine="0"/>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nsid w:val="350E2AEA"/>
    <w:multiLevelType w:val="hybridMultilevel"/>
    <w:tmpl w:val="FC80790E"/>
    <w:lvl w:ilvl="0" w:tplc="7AF0C8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59C360E"/>
    <w:multiLevelType w:val="multilevel"/>
    <w:tmpl w:val="BE566440"/>
    <w:lvl w:ilvl="0">
      <w:start w:val="1"/>
      <w:numFmt w:val="bullet"/>
      <w:pStyle w:val="BulletList"/>
      <w:lvlText w:val=""/>
      <w:lvlJc w:val="left"/>
      <w:pPr>
        <w:tabs>
          <w:tab w:val="num" w:pos="1843"/>
        </w:tabs>
        <w:ind w:left="1843" w:hanging="425"/>
      </w:pPr>
      <w:rPr>
        <w:rFonts w:ascii="Symbol" w:hAnsi="Symbol" w:hint="default"/>
        <w:sz w:val="22"/>
      </w:rPr>
    </w:lvl>
    <w:lvl w:ilvl="1">
      <w:start w:val="1"/>
      <w:numFmt w:val="bullet"/>
      <w:lvlText w:val="­"/>
      <w:lvlJc w:val="left"/>
      <w:pPr>
        <w:tabs>
          <w:tab w:val="num" w:pos="2268"/>
        </w:tabs>
        <w:ind w:left="2268" w:hanging="425"/>
      </w:pPr>
      <w:rPr>
        <w:rFonts w:ascii="Times New Roman" w:hAnsi="Times New Roman" w:hint="default"/>
        <w:sz w:val="22"/>
      </w:rPr>
    </w:lvl>
    <w:lvl w:ilvl="2">
      <w:start w:val="1"/>
      <w:numFmt w:val="bullet"/>
      <w:lvlText w:val=""/>
      <w:lvlJc w:val="left"/>
      <w:pPr>
        <w:tabs>
          <w:tab w:val="num" w:pos="2693"/>
        </w:tabs>
        <w:ind w:left="2693" w:hanging="425"/>
      </w:pPr>
      <w:rPr>
        <w:rFonts w:ascii="Wingdings" w:hAnsi="Wingding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4AA01365"/>
    <w:multiLevelType w:val="hybridMultilevel"/>
    <w:tmpl w:val="778814A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ADE6C6D"/>
    <w:multiLevelType w:val="hybridMultilevel"/>
    <w:tmpl w:val="94DC5ED6"/>
    <w:lvl w:ilvl="0" w:tplc="0AC47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1441A7"/>
    <w:multiLevelType w:val="hybridMultilevel"/>
    <w:tmpl w:val="E4403040"/>
    <w:lvl w:ilvl="0" w:tplc="6772F886">
      <w:start w:val="1"/>
      <w:numFmt w:val="decimal"/>
      <w:lvlText w:val="%1."/>
      <w:lvlJc w:val="left"/>
      <w:pPr>
        <w:ind w:left="720" w:hanging="360"/>
      </w:pPr>
      <w:rPr>
        <w:rFonts w:ascii="Times New Roman Bold" w:hAnsi="Times New Roman Bold"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8D115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27F7575"/>
    <w:multiLevelType w:val="hybridMultilevel"/>
    <w:tmpl w:val="B1468246"/>
    <w:lvl w:ilvl="0" w:tplc="480ED1A2">
      <w:start w:val="1"/>
      <w:numFmt w:val="decimal"/>
      <w:pStyle w:val="Textkrpernummeriert"/>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62F652A8"/>
    <w:multiLevelType w:val="singleLevel"/>
    <w:tmpl w:val="6986CAA6"/>
    <w:lvl w:ilvl="0">
      <w:start w:val="10"/>
      <w:numFmt w:val="decimal"/>
      <w:lvlText w:val="%1"/>
      <w:lvlJc w:val="left"/>
      <w:pPr>
        <w:tabs>
          <w:tab w:val="num" w:pos="720"/>
        </w:tabs>
        <w:ind w:left="720" w:hanging="720"/>
      </w:pPr>
      <w:rPr>
        <w:rFonts w:hint="default"/>
      </w:rPr>
    </w:lvl>
  </w:abstractNum>
  <w:abstractNum w:abstractNumId="36">
    <w:nsid w:val="64236DD9"/>
    <w:multiLevelType w:val="multilevel"/>
    <w:tmpl w:val="63C02524"/>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66FF22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247730"/>
    <w:multiLevelType w:val="singleLevel"/>
    <w:tmpl w:val="8F3A0B5E"/>
    <w:lvl w:ilvl="0">
      <w:start w:val="4"/>
      <w:numFmt w:val="decimal"/>
      <w:lvlText w:val="%1."/>
      <w:lvlJc w:val="left"/>
      <w:pPr>
        <w:tabs>
          <w:tab w:val="num" w:pos="570"/>
        </w:tabs>
        <w:ind w:left="570" w:hanging="570"/>
      </w:pPr>
      <w:rPr>
        <w:rFonts w:hint="default"/>
      </w:rPr>
    </w:lvl>
  </w:abstractNum>
  <w:abstractNum w:abstractNumId="39">
    <w:nsid w:val="69756D1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A3D6690"/>
    <w:multiLevelType w:val="hybridMultilevel"/>
    <w:tmpl w:val="EFDEA780"/>
    <w:lvl w:ilvl="0" w:tplc="C4A21402">
      <w:start w:val="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6D471BA5"/>
    <w:multiLevelType w:val="hybridMultilevel"/>
    <w:tmpl w:val="6A42D4F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2">
    <w:nsid w:val="736655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6AF701E"/>
    <w:multiLevelType w:val="hybridMultilevel"/>
    <w:tmpl w:val="0570FB7E"/>
    <w:lvl w:ilvl="0" w:tplc="EC369A78">
      <w:start w:val="1"/>
      <w:numFmt w:val="decimal"/>
      <w:lvlText w:val="%1."/>
      <w:lvlJc w:val="left"/>
      <w:pPr>
        <w:ind w:left="720" w:hanging="360"/>
      </w:pPr>
      <w:rPr>
        <w:rFonts w:ascii="Times New Roman Bold" w:hAnsi="Times New Roman Bold"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0B5C8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A33570D"/>
    <w:multiLevelType w:val="multilevel"/>
    <w:tmpl w:val="A57E6A82"/>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AF014C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36"/>
  </w:num>
  <w:num w:numId="3">
    <w:abstractNumId w:val="36"/>
  </w:num>
  <w:num w:numId="4">
    <w:abstractNumId w:val="36"/>
  </w:num>
  <w:num w:numId="5">
    <w:abstractNumId w:val="36"/>
  </w:num>
  <w:num w:numId="6">
    <w:abstractNumId w:val="46"/>
  </w:num>
  <w:num w:numId="7">
    <w:abstractNumId w:val="44"/>
  </w:num>
  <w:num w:numId="8">
    <w:abstractNumId w:val="3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5"/>
  </w:num>
  <w:num w:numId="21">
    <w:abstractNumId w:val="27"/>
  </w:num>
  <w:num w:numId="22">
    <w:abstractNumId w:val="45"/>
  </w:num>
  <w:num w:numId="23">
    <w:abstractNumId w:val="11"/>
  </w:num>
  <w:num w:numId="24">
    <w:abstractNumId w:val="10"/>
    <w:lvlOverride w:ilvl="0">
      <w:lvl w:ilvl="0">
        <w:start w:val="1"/>
        <w:numFmt w:val="bullet"/>
        <w:lvlText w:val="-"/>
        <w:legacy w:legacy="1" w:legacySpace="0" w:legacyIndent="360"/>
        <w:lvlJc w:val="left"/>
        <w:pPr>
          <w:ind w:left="360" w:hanging="360"/>
        </w:pPr>
      </w:lvl>
    </w:lvlOverride>
  </w:num>
  <w:num w:numId="25">
    <w:abstractNumId w:val="38"/>
  </w:num>
  <w:num w:numId="26">
    <w:abstractNumId w:val="32"/>
  </w:num>
  <w:num w:numId="27">
    <w:abstractNumId w:val="24"/>
  </w:num>
  <w:num w:numId="28">
    <w:abstractNumId w:val="29"/>
  </w:num>
  <w:num w:numId="29">
    <w:abstractNumId w:val="31"/>
  </w:num>
  <w:num w:numId="30">
    <w:abstractNumId w:val="19"/>
  </w:num>
  <w:num w:numId="31">
    <w:abstractNumId w:val="17"/>
  </w:num>
  <w:num w:numId="32">
    <w:abstractNumId w:val="43"/>
  </w:num>
  <w:num w:numId="33">
    <w:abstractNumId w:val="22"/>
  </w:num>
  <w:num w:numId="34">
    <w:abstractNumId w:val="37"/>
  </w:num>
  <w:num w:numId="35">
    <w:abstractNumId w:val="12"/>
  </w:num>
  <w:num w:numId="36">
    <w:abstractNumId w:val="33"/>
  </w:num>
  <w:num w:numId="37">
    <w:abstractNumId w:val="42"/>
  </w:num>
  <w:num w:numId="38">
    <w:abstractNumId w:val="26"/>
  </w:num>
  <w:num w:numId="39">
    <w:abstractNumId w:val="16"/>
  </w:num>
  <w:num w:numId="40">
    <w:abstractNumId w:val="20"/>
  </w:num>
  <w:num w:numId="41">
    <w:abstractNumId w:val="41"/>
  </w:num>
  <w:num w:numId="42">
    <w:abstractNumId w:val="18"/>
  </w:num>
  <w:num w:numId="43">
    <w:abstractNumId w:val="25"/>
  </w:num>
  <w:num w:numId="44">
    <w:abstractNumId w:val="15"/>
  </w:num>
  <w:num w:numId="45">
    <w:abstractNumId w:val="40"/>
  </w:num>
  <w:num w:numId="46">
    <w:abstractNumId w:val="13"/>
  </w:num>
  <w:num w:numId="47">
    <w:abstractNumId w:val="30"/>
  </w:num>
  <w:num w:numId="48">
    <w:abstractNumId w:val="34"/>
  </w:num>
  <w:num w:numId="49">
    <w:abstractNumId w:val="2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D9"/>
    <w:rsid w:val="0001759E"/>
    <w:rsid w:val="00023DFD"/>
    <w:rsid w:val="00025792"/>
    <w:rsid w:val="000262A7"/>
    <w:rsid w:val="00026C3D"/>
    <w:rsid w:val="00027531"/>
    <w:rsid w:val="00032606"/>
    <w:rsid w:val="00034341"/>
    <w:rsid w:val="00040909"/>
    <w:rsid w:val="00041567"/>
    <w:rsid w:val="00043932"/>
    <w:rsid w:val="000467E3"/>
    <w:rsid w:val="0004728A"/>
    <w:rsid w:val="000543EF"/>
    <w:rsid w:val="00060058"/>
    <w:rsid w:val="00060887"/>
    <w:rsid w:val="00061777"/>
    <w:rsid w:val="00067187"/>
    <w:rsid w:val="00067E8F"/>
    <w:rsid w:val="00070ECC"/>
    <w:rsid w:val="0007712E"/>
    <w:rsid w:val="00077BDA"/>
    <w:rsid w:val="000805E2"/>
    <w:rsid w:val="0008090F"/>
    <w:rsid w:val="00086ABA"/>
    <w:rsid w:val="00087252"/>
    <w:rsid w:val="000A5F0C"/>
    <w:rsid w:val="000A630B"/>
    <w:rsid w:val="000B0D92"/>
    <w:rsid w:val="000B210A"/>
    <w:rsid w:val="000B7937"/>
    <w:rsid w:val="000D1281"/>
    <w:rsid w:val="000D41CA"/>
    <w:rsid w:val="000D5188"/>
    <w:rsid w:val="000D651A"/>
    <w:rsid w:val="000D6E84"/>
    <w:rsid w:val="000D75B0"/>
    <w:rsid w:val="000D7A6C"/>
    <w:rsid w:val="000E023E"/>
    <w:rsid w:val="000E050D"/>
    <w:rsid w:val="000E0A18"/>
    <w:rsid w:val="000E755B"/>
    <w:rsid w:val="000F2F08"/>
    <w:rsid w:val="0010741A"/>
    <w:rsid w:val="0011721C"/>
    <w:rsid w:val="001205D7"/>
    <w:rsid w:val="00123409"/>
    <w:rsid w:val="00124A3B"/>
    <w:rsid w:val="00126123"/>
    <w:rsid w:val="00127588"/>
    <w:rsid w:val="00127CB1"/>
    <w:rsid w:val="001361B5"/>
    <w:rsid w:val="001461B7"/>
    <w:rsid w:val="00155EA5"/>
    <w:rsid w:val="00180D13"/>
    <w:rsid w:val="00181A2A"/>
    <w:rsid w:val="001873DF"/>
    <w:rsid w:val="001904FD"/>
    <w:rsid w:val="00192332"/>
    <w:rsid w:val="00193AB4"/>
    <w:rsid w:val="00195B9C"/>
    <w:rsid w:val="001968D1"/>
    <w:rsid w:val="001A303C"/>
    <w:rsid w:val="001A4438"/>
    <w:rsid w:val="001B4364"/>
    <w:rsid w:val="001B458F"/>
    <w:rsid w:val="001C379F"/>
    <w:rsid w:val="001E1C24"/>
    <w:rsid w:val="001E367A"/>
    <w:rsid w:val="001F713C"/>
    <w:rsid w:val="0020058A"/>
    <w:rsid w:val="00207095"/>
    <w:rsid w:val="002105EB"/>
    <w:rsid w:val="0021363B"/>
    <w:rsid w:val="00220E9C"/>
    <w:rsid w:val="00235CD5"/>
    <w:rsid w:val="00237720"/>
    <w:rsid w:val="00240BBA"/>
    <w:rsid w:val="0024317A"/>
    <w:rsid w:val="00246F25"/>
    <w:rsid w:val="00251D0E"/>
    <w:rsid w:val="0025692E"/>
    <w:rsid w:val="002616C7"/>
    <w:rsid w:val="002665EB"/>
    <w:rsid w:val="002A4879"/>
    <w:rsid w:val="002B5A21"/>
    <w:rsid w:val="002B62F4"/>
    <w:rsid w:val="002D07B1"/>
    <w:rsid w:val="002D5AAC"/>
    <w:rsid w:val="002E130A"/>
    <w:rsid w:val="002F2C78"/>
    <w:rsid w:val="002F4933"/>
    <w:rsid w:val="002F4A71"/>
    <w:rsid w:val="003043F8"/>
    <w:rsid w:val="00316714"/>
    <w:rsid w:val="00316F47"/>
    <w:rsid w:val="00331A8A"/>
    <w:rsid w:val="00333EC6"/>
    <w:rsid w:val="0034458B"/>
    <w:rsid w:val="00344A7A"/>
    <w:rsid w:val="003749D9"/>
    <w:rsid w:val="00381D2F"/>
    <w:rsid w:val="00381F65"/>
    <w:rsid w:val="0039287F"/>
    <w:rsid w:val="00397BFA"/>
    <w:rsid w:val="003A423D"/>
    <w:rsid w:val="003A4FC0"/>
    <w:rsid w:val="003A512A"/>
    <w:rsid w:val="003A7C35"/>
    <w:rsid w:val="003C4968"/>
    <w:rsid w:val="003D1437"/>
    <w:rsid w:val="003D23A5"/>
    <w:rsid w:val="003D37FF"/>
    <w:rsid w:val="003D682F"/>
    <w:rsid w:val="003E0F4F"/>
    <w:rsid w:val="003E3A30"/>
    <w:rsid w:val="003E4140"/>
    <w:rsid w:val="003F165E"/>
    <w:rsid w:val="00400349"/>
    <w:rsid w:val="00403452"/>
    <w:rsid w:val="00405C57"/>
    <w:rsid w:val="0040728B"/>
    <w:rsid w:val="00411A08"/>
    <w:rsid w:val="0042413C"/>
    <w:rsid w:val="00427A28"/>
    <w:rsid w:val="00434616"/>
    <w:rsid w:val="0044180F"/>
    <w:rsid w:val="00444AEF"/>
    <w:rsid w:val="00446F67"/>
    <w:rsid w:val="00455DDE"/>
    <w:rsid w:val="00456C5C"/>
    <w:rsid w:val="00457431"/>
    <w:rsid w:val="00460DB4"/>
    <w:rsid w:val="004625A1"/>
    <w:rsid w:val="00467E1C"/>
    <w:rsid w:val="004707B7"/>
    <w:rsid w:val="004838FA"/>
    <w:rsid w:val="0049470B"/>
    <w:rsid w:val="004A0055"/>
    <w:rsid w:val="004A4176"/>
    <w:rsid w:val="004A4B20"/>
    <w:rsid w:val="004B0BEF"/>
    <w:rsid w:val="004B0BFE"/>
    <w:rsid w:val="004B5AFD"/>
    <w:rsid w:val="004B675E"/>
    <w:rsid w:val="004B7CE2"/>
    <w:rsid w:val="004C771A"/>
    <w:rsid w:val="004D4277"/>
    <w:rsid w:val="004E4A3E"/>
    <w:rsid w:val="004E6A52"/>
    <w:rsid w:val="004F7E01"/>
    <w:rsid w:val="00504265"/>
    <w:rsid w:val="0050465E"/>
    <w:rsid w:val="00505388"/>
    <w:rsid w:val="005104A8"/>
    <w:rsid w:val="00512838"/>
    <w:rsid w:val="00514D54"/>
    <w:rsid w:val="00515543"/>
    <w:rsid w:val="00520453"/>
    <w:rsid w:val="0052314F"/>
    <w:rsid w:val="0052641B"/>
    <w:rsid w:val="00530C47"/>
    <w:rsid w:val="005335E5"/>
    <w:rsid w:val="005337EF"/>
    <w:rsid w:val="00534A36"/>
    <w:rsid w:val="00563078"/>
    <w:rsid w:val="00570EB1"/>
    <w:rsid w:val="00572423"/>
    <w:rsid w:val="005764D9"/>
    <w:rsid w:val="00577B5B"/>
    <w:rsid w:val="00581E7B"/>
    <w:rsid w:val="00583621"/>
    <w:rsid w:val="005859DF"/>
    <w:rsid w:val="00592903"/>
    <w:rsid w:val="00597287"/>
    <w:rsid w:val="005A07CC"/>
    <w:rsid w:val="005A7E70"/>
    <w:rsid w:val="005B6BCC"/>
    <w:rsid w:val="005C05C0"/>
    <w:rsid w:val="005C434C"/>
    <w:rsid w:val="005D22F9"/>
    <w:rsid w:val="005D2AFA"/>
    <w:rsid w:val="005D36F0"/>
    <w:rsid w:val="005D6020"/>
    <w:rsid w:val="005E025D"/>
    <w:rsid w:val="005F7118"/>
    <w:rsid w:val="00600A90"/>
    <w:rsid w:val="006045F4"/>
    <w:rsid w:val="00630A21"/>
    <w:rsid w:val="00631B76"/>
    <w:rsid w:val="00632C2B"/>
    <w:rsid w:val="00642D70"/>
    <w:rsid w:val="00653601"/>
    <w:rsid w:val="0066580B"/>
    <w:rsid w:val="00670119"/>
    <w:rsid w:val="006843BF"/>
    <w:rsid w:val="006A05AA"/>
    <w:rsid w:val="006A082E"/>
    <w:rsid w:val="006A52A5"/>
    <w:rsid w:val="006A53CD"/>
    <w:rsid w:val="006A76A2"/>
    <w:rsid w:val="006B0001"/>
    <w:rsid w:val="006B013D"/>
    <w:rsid w:val="006B2DC3"/>
    <w:rsid w:val="006B4BE3"/>
    <w:rsid w:val="006C1348"/>
    <w:rsid w:val="006C18FC"/>
    <w:rsid w:val="006C6540"/>
    <w:rsid w:val="006D06F9"/>
    <w:rsid w:val="006D1B1C"/>
    <w:rsid w:val="006D7E04"/>
    <w:rsid w:val="006E7875"/>
    <w:rsid w:val="006F4910"/>
    <w:rsid w:val="00700CBA"/>
    <w:rsid w:val="007123B2"/>
    <w:rsid w:val="00717AC7"/>
    <w:rsid w:val="0072383C"/>
    <w:rsid w:val="007238DA"/>
    <w:rsid w:val="00725538"/>
    <w:rsid w:val="007259C8"/>
    <w:rsid w:val="00732969"/>
    <w:rsid w:val="0074586F"/>
    <w:rsid w:val="00751D13"/>
    <w:rsid w:val="00752664"/>
    <w:rsid w:val="00754FFA"/>
    <w:rsid w:val="00755200"/>
    <w:rsid w:val="00757BB0"/>
    <w:rsid w:val="00761EF0"/>
    <w:rsid w:val="007629A7"/>
    <w:rsid w:val="00764ED0"/>
    <w:rsid w:val="00771B5C"/>
    <w:rsid w:val="00772AC6"/>
    <w:rsid w:val="0077626F"/>
    <w:rsid w:val="007763C3"/>
    <w:rsid w:val="007801B4"/>
    <w:rsid w:val="007865C4"/>
    <w:rsid w:val="007865DD"/>
    <w:rsid w:val="00791A86"/>
    <w:rsid w:val="00793CE9"/>
    <w:rsid w:val="00793E35"/>
    <w:rsid w:val="007A1347"/>
    <w:rsid w:val="007A7163"/>
    <w:rsid w:val="007B01B7"/>
    <w:rsid w:val="007B045A"/>
    <w:rsid w:val="007B0854"/>
    <w:rsid w:val="007B3CA5"/>
    <w:rsid w:val="007C67BC"/>
    <w:rsid w:val="007D1938"/>
    <w:rsid w:val="007D23F4"/>
    <w:rsid w:val="007E3849"/>
    <w:rsid w:val="007F1501"/>
    <w:rsid w:val="00807C7D"/>
    <w:rsid w:val="00812FE3"/>
    <w:rsid w:val="008178F2"/>
    <w:rsid w:val="00826D52"/>
    <w:rsid w:val="00827FE2"/>
    <w:rsid w:val="00830C7A"/>
    <w:rsid w:val="0083532D"/>
    <w:rsid w:val="00840836"/>
    <w:rsid w:val="008440A3"/>
    <w:rsid w:val="00852C81"/>
    <w:rsid w:val="00853F1C"/>
    <w:rsid w:val="00866D7B"/>
    <w:rsid w:val="00870DE6"/>
    <w:rsid w:val="00871491"/>
    <w:rsid w:val="008714E9"/>
    <w:rsid w:val="008731F2"/>
    <w:rsid w:val="0088082C"/>
    <w:rsid w:val="008853E1"/>
    <w:rsid w:val="00892AEF"/>
    <w:rsid w:val="00892F4E"/>
    <w:rsid w:val="00893471"/>
    <w:rsid w:val="008937CE"/>
    <w:rsid w:val="00893F52"/>
    <w:rsid w:val="008B13CA"/>
    <w:rsid w:val="008B25FF"/>
    <w:rsid w:val="008B31CB"/>
    <w:rsid w:val="008B7609"/>
    <w:rsid w:val="008C2CEE"/>
    <w:rsid w:val="008C5AE5"/>
    <w:rsid w:val="008C5C75"/>
    <w:rsid w:val="008C61A0"/>
    <w:rsid w:val="008D0A0B"/>
    <w:rsid w:val="008D4F28"/>
    <w:rsid w:val="008E1A2B"/>
    <w:rsid w:val="008E7E8D"/>
    <w:rsid w:val="008F0640"/>
    <w:rsid w:val="008F1F4A"/>
    <w:rsid w:val="008F240E"/>
    <w:rsid w:val="008F2905"/>
    <w:rsid w:val="008F6F13"/>
    <w:rsid w:val="008F79B0"/>
    <w:rsid w:val="0090022A"/>
    <w:rsid w:val="00904D26"/>
    <w:rsid w:val="00912432"/>
    <w:rsid w:val="00913849"/>
    <w:rsid w:val="00917539"/>
    <w:rsid w:val="009207DA"/>
    <w:rsid w:val="00923C69"/>
    <w:rsid w:val="00953D20"/>
    <w:rsid w:val="0095718B"/>
    <w:rsid w:val="009571A1"/>
    <w:rsid w:val="0096545C"/>
    <w:rsid w:val="00970FC6"/>
    <w:rsid w:val="009751EB"/>
    <w:rsid w:val="0097554E"/>
    <w:rsid w:val="00980226"/>
    <w:rsid w:val="009901A2"/>
    <w:rsid w:val="00996815"/>
    <w:rsid w:val="009A50C1"/>
    <w:rsid w:val="009A5C6F"/>
    <w:rsid w:val="009A6F51"/>
    <w:rsid w:val="009C39D3"/>
    <w:rsid w:val="009C64C7"/>
    <w:rsid w:val="009D4493"/>
    <w:rsid w:val="009E0FD0"/>
    <w:rsid w:val="009E2E1E"/>
    <w:rsid w:val="009E3C64"/>
    <w:rsid w:val="009E5D9E"/>
    <w:rsid w:val="009F3751"/>
    <w:rsid w:val="00A01252"/>
    <w:rsid w:val="00A053B4"/>
    <w:rsid w:val="00A21088"/>
    <w:rsid w:val="00A2547B"/>
    <w:rsid w:val="00A254C8"/>
    <w:rsid w:val="00A34926"/>
    <w:rsid w:val="00A467DE"/>
    <w:rsid w:val="00A50742"/>
    <w:rsid w:val="00A5077D"/>
    <w:rsid w:val="00A56E00"/>
    <w:rsid w:val="00A57FA8"/>
    <w:rsid w:val="00A72832"/>
    <w:rsid w:val="00A740C0"/>
    <w:rsid w:val="00A75EE3"/>
    <w:rsid w:val="00A862BE"/>
    <w:rsid w:val="00A90035"/>
    <w:rsid w:val="00A94C54"/>
    <w:rsid w:val="00A969A4"/>
    <w:rsid w:val="00AA06B5"/>
    <w:rsid w:val="00AA2B6D"/>
    <w:rsid w:val="00AB022A"/>
    <w:rsid w:val="00AB1C57"/>
    <w:rsid w:val="00AB50D7"/>
    <w:rsid w:val="00AB670E"/>
    <w:rsid w:val="00AC050F"/>
    <w:rsid w:val="00AC0629"/>
    <w:rsid w:val="00AC51F0"/>
    <w:rsid w:val="00AC6E77"/>
    <w:rsid w:val="00AD0B96"/>
    <w:rsid w:val="00AD279B"/>
    <w:rsid w:val="00AD4942"/>
    <w:rsid w:val="00AD59CE"/>
    <w:rsid w:val="00AE088B"/>
    <w:rsid w:val="00AE5B3B"/>
    <w:rsid w:val="00AE6C9B"/>
    <w:rsid w:val="00B01158"/>
    <w:rsid w:val="00B03485"/>
    <w:rsid w:val="00B14FF8"/>
    <w:rsid w:val="00B152C0"/>
    <w:rsid w:val="00B26845"/>
    <w:rsid w:val="00B27853"/>
    <w:rsid w:val="00B32C37"/>
    <w:rsid w:val="00B332B7"/>
    <w:rsid w:val="00B3640D"/>
    <w:rsid w:val="00B42851"/>
    <w:rsid w:val="00B44090"/>
    <w:rsid w:val="00B45AA1"/>
    <w:rsid w:val="00B45DAB"/>
    <w:rsid w:val="00B47D56"/>
    <w:rsid w:val="00B51996"/>
    <w:rsid w:val="00B51EFA"/>
    <w:rsid w:val="00B549ED"/>
    <w:rsid w:val="00B576C3"/>
    <w:rsid w:val="00B6252B"/>
    <w:rsid w:val="00B62E53"/>
    <w:rsid w:val="00B64B70"/>
    <w:rsid w:val="00B815A5"/>
    <w:rsid w:val="00BA0B64"/>
    <w:rsid w:val="00BA3A24"/>
    <w:rsid w:val="00BA7A50"/>
    <w:rsid w:val="00BB19C4"/>
    <w:rsid w:val="00BB4DA2"/>
    <w:rsid w:val="00BC0B29"/>
    <w:rsid w:val="00BC0F19"/>
    <w:rsid w:val="00BD2D1B"/>
    <w:rsid w:val="00BD53E6"/>
    <w:rsid w:val="00BD6DAF"/>
    <w:rsid w:val="00BE255C"/>
    <w:rsid w:val="00BE7C41"/>
    <w:rsid w:val="00BF0EFC"/>
    <w:rsid w:val="00BF1124"/>
    <w:rsid w:val="00BF4A76"/>
    <w:rsid w:val="00BF5CD9"/>
    <w:rsid w:val="00C002E7"/>
    <w:rsid w:val="00C062E4"/>
    <w:rsid w:val="00C077EE"/>
    <w:rsid w:val="00C165B2"/>
    <w:rsid w:val="00C16BFE"/>
    <w:rsid w:val="00C21B23"/>
    <w:rsid w:val="00C21B45"/>
    <w:rsid w:val="00C252F8"/>
    <w:rsid w:val="00C30137"/>
    <w:rsid w:val="00C33681"/>
    <w:rsid w:val="00C34F8B"/>
    <w:rsid w:val="00C35BEC"/>
    <w:rsid w:val="00C35E61"/>
    <w:rsid w:val="00C52510"/>
    <w:rsid w:val="00C530CC"/>
    <w:rsid w:val="00C63183"/>
    <w:rsid w:val="00C63826"/>
    <w:rsid w:val="00C771AA"/>
    <w:rsid w:val="00C80B7B"/>
    <w:rsid w:val="00C80BFF"/>
    <w:rsid w:val="00C8185D"/>
    <w:rsid w:val="00C82840"/>
    <w:rsid w:val="00C82913"/>
    <w:rsid w:val="00C86F99"/>
    <w:rsid w:val="00C902E4"/>
    <w:rsid w:val="00C92D95"/>
    <w:rsid w:val="00C976B7"/>
    <w:rsid w:val="00CA1F15"/>
    <w:rsid w:val="00CA2403"/>
    <w:rsid w:val="00CA3141"/>
    <w:rsid w:val="00CB2816"/>
    <w:rsid w:val="00CC2D6A"/>
    <w:rsid w:val="00CC7262"/>
    <w:rsid w:val="00CE0859"/>
    <w:rsid w:val="00CE1AB3"/>
    <w:rsid w:val="00CE3DD9"/>
    <w:rsid w:val="00D03FBB"/>
    <w:rsid w:val="00D202D9"/>
    <w:rsid w:val="00D40247"/>
    <w:rsid w:val="00D40368"/>
    <w:rsid w:val="00D41903"/>
    <w:rsid w:val="00D4739A"/>
    <w:rsid w:val="00D52A11"/>
    <w:rsid w:val="00D53FC9"/>
    <w:rsid w:val="00D54A04"/>
    <w:rsid w:val="00D6351C"/>
    <w:rsid w:val="00D648C4"/>
    <w:rsid w:val="00D70EEA"/>
    <w:rsid w:val="00D76352"/>
    <w:rsid w:val="00D8245F"/>
    <w:rsid w:val="00D82976"/>
    <w:rsid w:val="00D84CA5"/>
    <w:rsid w:val="00D8511A"/>
    <w:rsid w:val="00D8587B"/>
    <w:rsid w:val="00D8733D"/>
    <w:rsid w:val="00D90209"/>
    <w:rsid w:val="00D93959"/>
    <w:rsid w:val="00DA1BA6"/>
    <w:rsid w:val="00DA6276"/>
    <w:rsid w:val="00DB11D0"/>
    <w:rsid w:val="00DB6A9B"/>
    <w:rsid w:val="00DC2582"/>
    <w:rsid w:val="00DD7B5C"/>
    <w:rsid w:val="00DE12A8"/>
    <w:rsid w:val="00DE57ED"/>
    <w:rsid w:val="00DF382D"/>
    <w:rsid w:val="00DF6BE2"/>
    <w:rsid w:val="00E01D74"/>
    <w:rsid w:val="00E06E23"/>
    <w:rsid w:val="00E10F62"/>
    <w:rsid w:val="00E11095"/>
    <w:rsid w:val="00E11F61"/>
    <w:rsid w:val="00E142C9"/>
    <w:rsid w:val="00E264D6"/>
    <w:rsid w:val="00E331A2"/>
    <w:rsid w:val="00E4372D"/>
    <w:rsid w:val="00E50F3B"/>
    <w:rsid w:val="00E533FA"/>
    <w:rsid w:val="00E56986"/>
    <w:rsid w:val="00E67438"/>
    <w:rsid w:val="00E67F40"/>
    <w:rsid w:val="00E878CA"/>
    <w:rsid w:val="00E907D2"/>
    <w:rsid w:val="00E97CDD"/>
    <w:rsid w:val="00EA59AE"/>
    <w:rsid w:val="00EB0B53"/>
    <w:rsid w:val="00EC35B2"/>
    <w:rsid w:val="00EC45D0"/>
    <w:rsid w:val="00EC539A"/>
    <w:rsid w:val="00ED3706"/>
    <w:rsid w:val="00ED4613"/>
    <w:rsid w:val="00ED63BB"/>
    <w:rsid w:val="00EE08BE"/>
    <w:rsid w:val="00EE2A26"/>
    <w:rsid w:val="00EE6E50"/>
    <w:rsid w:val="00EE77E7"/>
    <w:rsid w:val="00F01F1A"/>
    <w:rsid w:val="00F0474C"/>
    <w:rsid w:val="00F05A7F"/>
    <w:rsid w:val="00F05E7A"/>
    <w:rsid w:val="00F06C12"/>
    <w:rsid w:val="00F13243"/>
    <w:rsid w:val="00F202C8"/>
    <w:rsid w:val="00F33F59"/>
    <w:rsid w:val="00F372A2"/>
    <w:rsid w:val="00F419E3"/>
    <w:rsid w:val="00F503E0"/>
    <w:rsid w:val="00F511FD"/>
    <w:rsid w:val="00F54DDA"/>
    <w:rsid w:val="00F569AE"/>
    <w:rsid w:val="00F61C3A"/>
    <w:rsid w:val="00F647F7"/>
    <w:rsid w:val="00F67D5E"/>
    <w:rsid w:val="00F70EF5"/>
    <w:rsid w:val="00F70FA0"/>
    <w:rsid w:val="00F77DA2"/>
    <w:rsid w:val="00F866D0"/>
    <w:rsid w:val="00F934CA"/>
    <w:rsid w:val="00F949D9"/>
    <w:rsid w:val="00F95C71"/>
    <w:rsid w:val="00FA5B7C"/>
    <w:rsid w:val="00FA65C5"/>
    <w:rsid w:val="00FB1A01"/>
    <w:rsid w:val="00FC2F49"/>
    <w:rsid w:val="00FC4115"/>
    <w:rsid w:val="00FC57CD"/>
    <w:rsid w:val="00FD03C8"/>
    <w:rsid w:val="00FD2F81"/>
    <w:rsid w:val="00FD45E1"/>
    <w:rsid w:val="00FE1D7F"/>
    <w:rsid w:val="00FE691D"/>
    <w:rsid w:val="00FE6921"/>
    <w:rsid w:val="00FE7B18"/>
    <w:rsid w:val="00FF3020"/>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0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40"/>
    <w:pPr>
      <w:spacing w:after="120"/>
      <w:jc w:val="both"/>
    </w:pPr>
    <w:rPr>
      <w:sz w:val="22"/>
    </w:rPr>
  </w:style>
  <w:style w:type="paragraph" w:styleId="1">
    <w:name w:val="heading 1"/>
    <w:basedOn w:val="a"/>
    <w:next w:val="a0"/>
    <w:link w:val="1Char"/>
    <w:qFormat/>
    <w:rsid w:val="003F165E"/>
    <w:pPr>
      <w:keepNext/>
      <w:numPr>
        <w:numId w:val="38"/>
      </w:numPr>
      <w:spacing w:before="240" w:after="240"/>
      <w:outlineLvl w:val="0"/>
    </w:pPr>
    <w:rPr>
      <w:rFonts w:ascii="Times New Roman Bold" w:hAnsi="Times New Roman Bold"/>
      <w:b/>
      <w:caps/>
      <w:kern w:val="28"/>
    </w:rPr>
  </w:style>
  <w:style w:type="paragraph" w:styleId="2">
    <w:name w:val="heading 2"/>
    <w:basedOn w:val="a"/>
    <w:next w:val="a0"/>
    <w:link w:val="2Char"/>
    <w:qFormat/>
    <w:rsid w:val="006843BF"/>
    <w:pPr>
      <w:keepNext/>
      <w:numPr>
        <w:ilvl w:val="1"/>
        <w:numId w:val="38"/>
      </w:numPr>
      <w:spacing w:before="240" w:after="240"/>
      <w:ind w:left="0"/>
      <w:outlineLvl w:val="1"/>
    </w:pPr>
    <w:rPr>
      <w:b/>
    </w:rPr>
  </w:style>
  <w:style w:type="paragraph" w:styleId="3">
    <w:name w:val="heading 3"/>
    <w:basedOn w:val="a"/>
    <w:next w:val="a"/>
    <w:qFormat/>
    <w:rsid w:val="00B815A5"/>
    <w:pPr>
      <w:keepNext/>
      <w:spacing w:before="240" w:after="60"/>
      <w:outlineLvl w:val="2"/>
    </w:pPr>
    <w:rPr>
      <w:i/>
    </w:rPr>
  </w:style>
  <w:style w:type="paragraph" w:styleId="4">
    <w:name w:val="heading 4"/>
    <w:basedOn w:val="a"/>
    <w:next w:val="a"/>
    <w:qFormat/>
    <w:rsid w:val="00B815A5"/>
    <w:pPr>
      <w:keepNext/>
      <w:spacing w:before="240" w:after="60"/>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ulletList">
    <w:name w:val="Bullet List"/>
    <w:basedOn w:val="a"/>
    <w:rsid w:val="00B815A5"/>
    <w:pPr>
      <w:numPr>
        <w:numId w:val="1"/>
      </w:numPr>
    </w:pPr>
  </w:style>
  <w:style w:type="paragraph" w:customStyle="1" w:styleId="Table">
    <w:name w:val="Table"/>
    <w:basedOn w:val="a"/>
    <w:rsid w:val="00B815A5"/>
    <w:pPr>
      <w:spacing w:before="40" w:after="40"/>
    </w:pPr>
  </w:style>
  <w:style w:type="paragraph" w:customStyle="1" w:styleId="DocumentHeading">
    <w:name w:val="Document Heading"/>
    <w:basedOn w:val="a"/>
    <w:next w:val="a"/>
    <w:rsid w:val="00B815A5"/>
    <w:rPr>
      <w:b/>
      <w:sz w:val="28"/>
    </w:rPr>
  </w:style>
  <w:style w:type="paragraph" w:customStyle="1" w:styleId="SectionHeading">
    <w:name w:val="Section Heading"/>
    <w:basedOn w:val="a"/>
    <w:next w:val="a"/>
    <w:rsid w:val="00B815A5"/>
    <w:rPr>
      <w:b/>
      <w:sz w:val="28"/>
    </w:rPr>
  </w:style>
  <w:style w:type="paragraph" w:styleId="a4">
    <w:name w:val="caption"/>
    <w:basedOn w:val="a"/>
    <w:next w:val="a"/>
    <w:qFormat/>
    <w:rsid w:val="00B815A5"/>
    <w:pPr>
      <w:jc w:val="center"/>
    </w:pPr>
    <w:rPr>
      <w:bCs/>
      <w:i/>
      <w:sz w:val="18"/>
    </w:rPr>
  </w:style>
  <w:style w:type="paragraph" w:customStyle="1" w:styleId="CaptionStyle">
    <w:name w:val="Caption Style"/>
    <w:basedOn w:val="a4"/>
    <w:rsid w:val="00B815A5"/>
    <w:rPr>
      <w:bCs w:val="0"/>
      <w:iCs/>
    </w:rPr>
  </w:style>
  <w:style w:type="paragraph" w:styleId="a5">
    <w:name w:val="Document Map"/>
    <w:basedOn w:val="a"/>
    <w:semiHidden/>
    <w:rsid w:val="005F7118"/>
    <w:pPr>
      <w:shd w:val="clear" w:color="auto" w:fill="000080"/>
    </w:pPr>
    <w:rPr>
      <w:rFonts w:ascii="Tahoma" w:hAnsi="Tahoma" w:cs="Tahoma"/>
      <w:sz w:val="20"/>
    </w:rPr>
  </w:style>
  <w:style w:type="paragraph" w:styleId="a0">
    <w:name w:val="Normal Indent"/>
    <w:basedOn w:val="a"/>
    <w:rsid w:val="009E0FD0"/>
    <w:pPr>
      <w:ind w:left="720"/>
    </w:pPr>
  </w:style>
  <w:style w:type="table" w:styleId="a6">
    <w:name w:val="Table Grid"/>
    <w:basedOn w:val="a2"/>
    <w:rsid w:val="00E14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E142C9"/>
    <w:pPr>
      <w:spacing w:before="100" w:beforeAutospacing="1" w:after="100" w:afterAutospacing="1"/>
    </w:pPr>
    <w:rPr>
      <w:sz w:val="24"/>
      <w:szCs w:val="24"/>
      <w:lang w:val="en-US" w:eastAsia="en-US"/>
    </w:rPr>
  </w:style>
  <w:style w:type="paragraph" w:styleId="a7">
    <w:name w:val="envelope return"/>
    <w:basedOn w:val="a"/>
    <w:link w:val="Char"/>
    <w:rsid w:val="00732969"/>
    <w:rPr>
      <w:rFonts w:ascii="Arial" w:hAnsi="Arial" w:cs="Arial"/>
      <w:sz w:val="20"/>
    </w:rPr>
  </w:style>
  <w:style w:type="character" w:customStyle="1" w:styleId="Char">
    <w:name w:val="Διεύθυνση αποστολέα στο φάκελο Char"/>
    <w:basedOn w:val="a1"/>
    <w:link w:val="a7"/>
    <w:rsid w:val="00732969"/>
    <w:rPr>
      <w:rFonts w:ascii="Arial" w:hAnsi="Arial" w:cs="Arial"/>
      <w:lang w:val="en-GB" w:eastAsia="en-GB" w:bidi="ar-SA"/>
    </w:rPr>
  </w:style>
  <w:style w:type="paragraph" w:customStyle="1" w:styleId="EMEAEnBodyText">
    <w:name w:val="EMEA En Body Text"/>
    <w:basedOn w:val="a"/>
    <w:rsid w:val="00B01158"/>
    <w:pPr>
      <w:spacing w:before="120"/>
    </w:pPr>
    <w:rPr>
      <w:lang w:val="en-US" w:eastAsia="en-US"/>
    </w:rPr>
  </w:style>
  <w:style w:type="character" w:styleId="-">
    <w:name w:val="Hyperlink"/>
    <w:rsid w:val="00B01158"/>
    <w:rPr>
      <w:color w:val="0000FF"/>
      <w:u w:val="single"/>
    </w:rPr>
  </w:style>
  <w:style w:type="paragraph" w:styleId="20">
    <w:name w:val="Body Text 2"/>
    <w:basedOn w:val="a"/>
    <w:link w:val="2Char0"/>
    <w:rsid w:val="00B01158"/>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pPr>
    <w:rPr>
      <w:b/>
      <w:bCs/>
      <w:color w:val="0000FF"/>
      <w:szCs w:val="22"/>
      <w:u w:val="single"/>
      <w:lang w:eastAsia="en-US"/>
    </w:rPr>
  </w:style>
  <w:style w:type="character" w:customStyle="1" w:styleId="2Char0">
    <w:name w:val="Σώμα κείμενου 2 Char"/>
    <w:basedOn w:val="a1"/>
    <w:link w:val="20"/>
    <w:rsid w:val="00B01158"/>
    <w:rPr>
      <w:b/>
      <w:bCs/>
      <w:color w:val="0000FF"/>
      <w:sz w:val="22"/>
      <w:szCs w:val="22"/>
      <w:u w:val="single"/>
      <w:lang w:eastAsia="en-US"/>
    </w:rPr>
  </w:style>
  <w:style w:type="paragraph" w:customStyle="1" w:styleId="BodytextAgency">
    <w:name w:val="Body text (Agency)"/>
    <w:basedOn w:val="a"/>
    <w:link w:val="BodytextAgencyChar"/>
    <w:qFormat/>
    <w:rsid w:val="006843BF"/>
    <w:pPr>
      <w:spacing w:after="140" w:line="280" w:lineRule="atLeast"/>
    </w:pPr>
    <w:rPr>
      <w:rFonts w:ascii="Verdana" w:eastAsia="Verdana" w:hAnsi="Verdana" w:cs="Verdana"/>
      <w:sz w:val="18"/>
      <w:szCs w:val="18"/>
    </w:rPr>
  </w:style>
  <w:style w:type="character" w:customStyle="1" w:styleId="BodytextAgencyChar">
    <w:name w:val="Body text (Agency) Char"/>
    <w:link w:val="BodytextAgency"/>
    <w:rsid w:val="006843BF"/>
    <w:rPr>
      <w:rFonts w:ascii="Verdana" w:eastAsia="Verdana" w:hAnsi="Verdana" w:cs="Verdana"/>
      <w:sz w:val="18"/>
      <w:szCs w:val="18"/>
    </w:rPr>
  </w:style>
  <w:style w:type="paragraph" w:styleId="a8">
    <w:name w:val="List Paragraph"/>
    <w:basedOn w:val="a"/>
    <w:uiPriority w:val="34"/>
    <w:qFormat/>
    <w:rsid w:val="006843BF"/>
    <w:pPr>
      <w:ind w:left="720"/>
      <w:contextualSpacing/>
    </w:pPr>
  </w:style>
  <w:style w:type="paragraph" w:styleId="a9">
    <w:name w:val="Title"/>
    <w:basedOn w:val="a"/>
    <w:next w:val="a"/>
    <w:link w:val="Char0"/>
    <w:qFormat/>
    <w:rsid w:val="003F165E"/>
    <w:pPr>
      <w:spacing w:before="240" w:after="240"/>
      <w:contextualSpacing/>
      <w:jc w:val="center"/>
    </w:pPr>
    <w:rPr>
      <w:rFonts w:eastAsiaTheme="majorEastAsia" w:cstheme="majorBidi"/>
      <w:b/>
      <w:spacing w:val="-10"/>
      <w:kern w:val="28"/>
      <w:szCs w:val="56"/>
    </w:rPr>
  </w:style>
  <w:style w:type="character" w:customStyle="1" w:styleId="Char0">
    <w:name w:val="Τίτλος Char"/>
    <w:basedOn w:val="a1"/>
    <w:link w:val="a9"/>
    <w:rsid w:val="003F165E"/>
    <w:rPr>
      <w:rFonts w:eastAsiaTheme="majorEastAsia" w:cstheme="majorBidi"/>
      <w:b/>
      <w:spacing w:val="-10"/>
      <w:kern w:val="28"/>
      <w:sz w:val="22"/>
      <w:szCs w:val="56"/>
    </w:rPr>
  </w:style>
  <w:style w:type="paragraph" w:styleId="aa">
    <w:name w:val="annotation text"/>
    <w:basedOn w:val="a"/>
    <w:link w:val="Char1"/>
    <w:rsid w:val="00B42851"/>
    <w:pPr>
      <w:tabs>
        <w:tab w:val="left" w:pos="567"/>
      </w:tabs>
      <w:spacing w:after="0" w:line="260" w:lineRule="exact"/>
    </w:pPr>
    <w:rPr>
      <w:sz w:val="20"/>
      <w:lang w:eastAsia="en-US"/>
    </w:rPr>
  </w:style>
  <w:style w:type="character" w:customStyle="1" w:styleId="Char1">
    <w:name w:val="Κείμενο σχολίου Char"/>
    <w:basedOn w:val="a1"/>
    <w:link w:val="aa"/>
    <w:rsid w:val="00B42851"/>
    <w:rPr>
      <w:lang w:eastAsia="en-US"/>
    </w:rPr>
  </w:style>
  <w:style w:type="character" w:styleId="ab">
    <w:name w:val="annotation reference"/>
    <w:rsid w:val="00B42851"/>
    <w:rPr>
      <w:sz w:val="16"/>
      <w:szCs w:val="16"/>
    </w:rPr>
  </w:style>
  <w:style w:type="paragraph" w:styleId="ac">
    <w:name w:val="Balloon Text"/>
    <w:basedOn w:val="a"/>
    <w:link w:val="Char2"/>
    <w:semiHidden/>
    <w:unhideWhenUsed/>
    <w:rsid w:val="00B42851"/>
    <w:pPr>
      <w:spacing w:after="0"/>
    </w:pPr>
    <w:rPr>
      <w:rFonts w:ascii="Tahoma" w:hAnsi="Tahoma" w:cs="Tahoma"/>
      <w:sz w:val="16"/>
      <w:szCs w:val="16"/>
    </w:rPr>
  </w:style>
  <w:style w:type="character" w:customStyle="1" w:styleId="Char2">
    <w:name w:val="Κείμενο πλαισίου Char"/>
    <w:basedOn w:val="a1"/>
    <w:link w:val="ac"/>
    <w:semiHidden/>
    <w:rsid w:val="00B42851"/>
    <w:rPr>
      <w:rFonts w:ascii="Tahoma" w:hAnsi="Tahoma" w:cs="Tahoma"/>
      <w:sz w:val="16"/>
      <w:szCs w:val="16"/>
    </w:rPr>
  </w:style>
  <w:style w:type="paragraph" w:styleId="ad">
    <w:name w:val="annotation subject"/>
    <w:basedOn w:val="aa"/>
    <w:next w:val="aa"/>
    <w:link w:val="Char3"/>
    <w:rsid w:val="00126123"/>
    <w:pPr>
      <w:tabs>
        <w:tab w:val="clear" w:pos="567"/>
      </w:tabs>
      <w:spacing w:after="120" w:line="240" w:lineRule="auto"/>
    </w:pPr>
    <w:rPr>
      <w:b/>
      <w:bCs/>
      <w:lang w:eastAsia="en-GB"/>
    </w:rPr>
  </w:style>
  <w:style w:type="character" w:customStyle="1" w:styleId="Char3">
    <w:name w:val="Θέμα σχολίου Char"/>
    <w:basedOn w:val="Char1"/>
    <w:link w:val="ad"/>
    <w:rsid w:val="00126123"/>
    <w:rPr>
      <w:b/>
      <w:bCs/>
      <w:lang w:eastAsia="en-US"/>
    </w:rPr>
  </w:style>
  <w:style w:type="paragraph" w:customStyle="1" w:styleId="TabletextrowsAgency">
    <w:name w:val="Table text rows (Agency)"/>
    <w:basedOn w:val="a"/>
    <w:link w:val="TabletextrowsAgencyChar"/>
    <w:rsid w:val="003D682F"/>
    <w:pPr>
      <w:spacing w:after="0" w:line="280" w:lineRule="exact"/>
      <w:jc w:val="left"/>
    </w:pPr>
    <w:rPr>
      <w:rFonts w:ascii="Verdana" w:hAnsi="Verdana"/>
      <w:sz w:val="18"/>
      <w:szCs w:val="18"/>
      <w:lang w:eastAsia="zh-CN"/>
    </w:rPr>
  </w:style>
  <w:style w:type="character" w:customStyle="1" w:styleId="TabletextrowsAgencyChar">
    <w:name w:val="Table text rows (Agency) Char"/>
    <w:link w:val="TabletextrowsAgency"/>
    <w:rsid w:val="003D682F"/>
    <w:rPr>
      <w:rFonts w:ascii="Verdana" w:hAnsi="Verdana"/>
      <w:sz w:val="18"/>
      <w:szCs w:val="18"/>
      <w:lang w:eastAsia="zh-CN"/>
    </w:rPr>
  </w:style>
  <w:style w:type="paragraph" w:styleId="ae">
    <w:name w:val="header"/>
    <w:aliases w:val="Header Char Char Char,Header Char Char Char Char Char Char Char Char Char Char Char Char,Header Char Char Char Char Char Char Char,Header Char Char Char Char Char Char,Header Char Char Char Char,Header Char Char Char Char Char Char Char Char"/>
    <w:basedOn w:val="a"/>
    <w:link w:val="Char4"/>
    <w:uiPriority w:val="99"/>
    <w:rsid w:val="006C6540"/>
    <w:pPr>
      <w:tabs>
        <w:tab w:val="center" w:pos="4320"/>
        <w:tab w:val="right" w:pos="8640"/>
      </w:tabs>
      <w:spacing w:after="0"/>
      <w:jc w:val="left"/>
    </w:pPr>
    <w:rPr>
      <w:sz w:val="24"/>
      <w:szCs w:val="24"/>
      <w:lang w:val="en-US" w:eastAsia="en-US"/>
    </w:rPr>
  </w:style>
  <w:style w:type="character" w:customStyle="1" w:styleId="Char4">
    <w:name w:val="Κεφαλίδα Char"/>
    <w:aliases w:val="Header Char Char Char Char1,Header Char Char Char Char Char Char Char Char Char Char Char Char Char,Header Char Char Char Char Char Char Char Char1,Header Char Char Char Char Char Char Char1,Header Char Char Char Char Char"/>
    <w:basedOn w:val="a1"/>
    <w:link w:val="ae"/>
    <w:uiPriority w:val="99"/>
    <w:rsid w:val="006C6540"/>
    <w:rPr>
      <w:sz w:val="24"/>
      <w:szCs w:val="24"/>
      <w:lang w:val="en-US" w:eastAsia="en-US"/>
    </w:rPr>
  </w:style>
  <w:style w:type="paragraph" w:styleId="-HTML">
    <w:name w:val="HTML Preformatted"/>
    <w:basedOn w:val="a"/>
    <w:link w:val="-HTMLChar"/>
    <w:uiPriority w:val="99"/>
    <w:semiHidden/>
    <w:unhideWhenUsed/>
    <w:rsid w:val="00B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Char">
    <w:name w:val="Προ-διαμορφωμένο HTML Char"/>
    <w:basedOn w:val="a1"/>
    <w:link w:val="-HTML"/>
    <w:uiPriority w:val="99"/>
    <w:semiHidden/>
    <w:rsid w:val="00BD6DAF"/>
    <w:rPr>
      <w:rFonts w:ascii="Courier New" w:hAnsi="Courier New" w:cs="Courier New"/>
    </w:rPr>
  </w:style>
  <w:style w:type="paragraph" w:customStyle="1" w:styleId="Default">
    <w:name w:val="Default"/>
    <w:rsid w:val="00BF4A76"/>
    <w:pPr>
      <w:autoSpaceDE w:val="0"/>
      <w:autoSpaceDN w:val="0"/>
      <w:adjustRightInd w:val="0"/>
    </w:pPr>
    <w:rPr>
      <w:color w:val="000000"/>
      <w:sz w:val="24"/>
      <w:szCs w:val="24"/>
      <w:lang w:val="en-IN"/>
    </w:rPr>
  </w:style>
  <w:style w:type="paragraph" w:styleId="af">
    <w:name w:val="footer"/>
    <w:basedOn w:val="a"/>
    <w:link w:val="Char5"/>
    <w:semiHidden/>
    <w:unhideWhenUsed/>
    <w:rsid w:val="00C80BFF"/>
    <w:pPr>
      <w:tabs>
        <w:tab w:val="center" w:pos="4513"/>
        <w:tab w:val="right" w:pos="9026"/>
      </w:tabs>
      <w:spacing w:after="0"/>
    </w:pPr>
  </w:style>
  <w:style w:type="character" w:customStyle="1" w:styleId="Char5">
    <w:name w:val="Υποσέλιδο Char"/>
    <w:basedOn w:val="a1"/>
    <w:link w:val="af"/>
    <w:semiHidden/>
    <w:rsid w:val="00C80BFF"/>
    <w:rPr>
      <w:sz w:val="22"/>
    </w:rPr>
  </w:style>
  <w:style w:type="paragraph" w:customStyle="1" w:styleId="Textkrpernummeriert">
    <w:name w:val="Textkörper nummeriert"/>
    <w:basedOn w:val="a"/>
    <w:rsid w:val="00C92D95"/>
    <w:pPr>
      <w:numPr>
        <w:numId w:val="48"/>
      </w:numPr>
      <w:spacing w:before="120" w:after="0"/>
    </w:pPr>
    <w:rPr>
      <w:rFonts w:cs="Verdana"/>
      <w:sz w:val="24"/>
      <w:szCs w:val="22"/>
      <w:lang w:eastAsia="en-US"/>
    </w:rPr>
  </w:style>
  <w:style w:type="character" w:customStyle="1" w:styleId="1Char">
    <w:name w:val="Επικεφαλίδα 1 Char"/>
    <w:basedOn w:val="a1"/>
    <w:link w:val="1"/>
    <w:rsid w:val="00061777"/>
    <w:rPr>
      <w:rFonts w:ascii="Times New Roman Bold" w:hAnsi="Times New Roman Bold"/>
      <w:b/>
      <w:caps/>
      <w:kern w:val="28"/>
      <w:sz w:val="22"/>
    </w:rPr>
  </w:style>
  <w:style w:type="character" w:customStyle="1" w:styleId="2Char">
    <w:name w:val="Επικεφαλίδα 2 Char"/>
    <w:basedOn w:val="a1"/>
    <w:link w:val="2"/>
    <w:rsid w:val="00061777"/>
    <w:rPr>
      <w:b/>
      <w:sz w:val="22"/>
    </w:rPr>
  </w:style>
  <w:style w:type="paragraph" w:styleId="af0">
    <w:name w:val="Revision"/>
    <w:hidden/>
    <w:uiPriority w:val="99"/>
    <w:semiHidden/>
    <w:rsid w:val="001968D1"/>
    <w:rPr>
      <w:sz w:val="22"/>
    </w:rPr>
  </w:style>
  <w:style w:type="character" w:customStyle="1" w:styleId="A10">
    <w:name w:val="A1"/>
    <w:uiPriority w:val="99"/>
    <w:rsid w:val="005A7E70"/>
    <w:rPr>
      <w:color w:val="211D1E"/>
      <w:sz w:val="18"/>
      <w:szCs w:val="18"/>
    </w:rPr>
  </w:style>
  <w:style w:type="character" w:customStyle="1" w:styleId="A20">
    <w:name w:val="A2"/>
    <w:uiPriority w:val="99"/>
    <w:rsid w:val="005A7E70"/>
    <w:rPr>
      <w:color w:val="211D1E"/>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40"/>
    <w:pPr>
      <w:spacing w:after="120"/>
      <w:jc w:val="both"/>
    </w:pPr>
    <w:rPr>
      <w:sz w:val="22"/>
    </w:rPr>
  </w:style>
  <w:style w:type="paragraph" w:styleId="1">
    <w:name w:val="heading 1"/>
    <w:basedOn w:val="a"/>
    <w:next w:val="a0"/>
    <w:link w:val="1Char"/>
    <w:qFormat/>
    <w:rsid w:val="003F165E"/>
    <w:pPr>
      <w:keepNext/>
      <w:numPr>
        <w:numId w:val="38"/>
      </w:numPr>
      <w:spacing w:before="240" w:after="240"/>
      <w:outlineLvl w:val="0"/>
    </w:pPr>
    <w:rPr>
      <w:rFonts w:ascii="Times New Roman Bold" w:hAnsi="Times New Roman Bold"/>
      <w:b/>
      <w:caps/>
      <w:kern w:val="28"/>
    </w:rPr>
  </w:style>
  <w:style w:type="paragraph" w:styleId="2">
    <w:name w:val="heading 2"/>
    <w:basedOn w:val="a"/>
    <w:next w:val="a0"/>
    <w:link w:val="2Char"/>
    <w:qFormat/>
    <w:rsid w:val="006843BF"/>
    <w:pPr>
      <w:keepNext/>
      <w:numPr>
        <w:ilvl w:val="1"/>
        <w:numId w:val="38"/>
      </w:numPr>
      <w:spacing w:before="240" w:after="240"/>
      <w:ind w:left="0"/>
      <w:outlineLvl w:val="1"/>
    </w:pPr>
    <w:rPr>
      <w:b/>
    </w:rPr>
  </w:style>
  <w:style w:type="paragraph" w:styleId="3">
    <w:name w:val="heading 3"/>
    <w:basedOn w:val="a"/>
    <w:next w:val="a"/>
    <w:qFormat/>
    <w:rsid w:val="00B815A5"/>
    <w:pPr>
      <w:keepNext/>
      <w:spacing w:before="240" w:after="60"/>
      <w:outlineLvl w:val="2"/>
    </w:pPr>
    <w:rPr>
      <w:i/>
    </w:rPr>
  </w:style>
  <w:style w:type="paragraph" w:styleId="4">
    <w:name w:val="heading 4"/>
    <w:basedOn w:val="a"/>
    <w:next w:val="a"/>
    <w:qFormat/>
    <w:rsid w:val="00B815A5"/>
    <w:pPr>
      <w:keepNext/>
      <w:spacing w:before="240" w:after="60"/>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ulletList">
    <w:name w:val="Bullet List"/>
    <w:basedOn w:val="a"/>
    <w:rsid w:val="00B815A5"/>
    <w:pPr>
      <w:numPr>
        <w:numId w:val="1"/>
      </w:numPr>
    </w:pPr>
  </w:style>
  <w:style w:type="paragraph" w:customStyle="1" w:styleId="Table">
    <w:name w:val="Table"/>
    <w:basedOn w:val="a"/>
    <w:rsid w:val="00B815A5"/>
    <w:pPr>
      <w:spacing w:before="40" w:after="40"/>
    </w:pPr>
  </w:style>
  <w:style w:type="paragraph" w:customStyle="1" w:styleId="DocumentHeading">
    <w:name w:val="Document Heading"/>
    <w:basedOn w:val="a"/>
    <w:next w:val="a"/>
    <w:rsid w:val="00B815A5"/>
    <w:rPr>
      <w:b/>
      <w:sz w:val="28"/>
    </w:rPr>
  </w:style>
  <w:style w:type="paragraph" w:customStyle="1" w:styleId="SectionHeading">
    <w:name w:val="Section Heading"/>
    <w:basedOn w:val="a"/>
    <w:next w:val="a"/>
    <w:rsid w:val="00B815A5"/>
    <w:rPr>
      <w:b/>
      <w:sz w:val="28"/>
    </w:rPr>
  </w:style>
  <w:style w:type="paragraph" w:styleId="a4">
    <w:name w:val="caption"/>
    <w:basedOn w:val="a"/>
    <w:next w:val="a"/>
    <w:qFormat/>
    <w:rsid w:val="00B815A5"/>
    <w:pPr>
      <w:jc w:val="center"/>
    </w:pPr>
    <w:rPr>
      <w:bCs/>
      <w:i/>
      <w:sz w:val="18"/>
    </w:rPr>
  </w:style>
  <w:style w:type="paragraph" w:customStyle="1" w:styleId="CaptionStyle">
    <w:name w:val="Caption Style"/>
    <w:basedOn w:val="a4"/>
    <w:rsid w:val="00B815A5"/>
    <w:rPr>
      <w:bCs w:val="0"/>
      <w:iCs/>
    </w:rPr>
  </w:style>
  <w:style w:type="paragraph" w:styleId="a5">
    <w:name w:val="Document Map"/>
    <w:basedOn w:val="a"/>
    <w:semiHidden/>
    <w:rsid w:val="005F7118"/>
    <w:pPr>
      <w:shd w:val="clear" w:color="auto" w:fill="000080"/>
    </w:pPr>
    <w:rPr>
      <w:rFonts w:ascii="Tahoma" w:hAnsi="Tahoma" w:cs="Tahoma"/>
      <w:sz w:val="20"/>
    </w:rPr>
  </w:style>
  <w:style w:type="paragraph" w:styleId="a0">
    <w:name w:val="Normal Indent"/>
    <w:basedOn w:val="a"/>
    <w:rsid w:val="009E0FD0"/>
    <w:pPr>
      <w:ind w:left="720"/>
    </w:pPr>
  </w:style>
  <w:style w:type="table" w:styleId="a6">
    <w:name w:val="Table Grid"/>
    <w:basedOn w:val="a2"/>
    <w:rsid w:val="00E14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E142C9"/>
    <w:pPr>
      <w:spacing w:before="100" w:beforeAutospacing="1" w:after="100" w:afterAutospacing="1"/>
    </w:pPr>
    <w:rPr>
      <w:sz w:val="24"/>
      <w:szCs w:val="24"/>
      <w:lang w:val="en-US" w:eastAsia="en-US"/>
    </w:rPr>
  </w:style>
  <w:style w:type="paragraph" w:styleId="a7">
    <w:name w:val="envelope return"/>
    <w:basedOn w:val="a"/>
    <w:link w:val="Char"/>
    <w:rsid w:val="00732969"/>
    <w:rPr>
      <w:rFonts w:ascii="Arial" w:hAnsi="Arial" w:cs="Arial"/>
      <w:sz w:val="20"/>
    </w:rPr>
  </w:style>
  <w:style w:type="character" w:customStyle="1" w:styleId="Char">
    <w:name w:val="Διεύθυνση αποστολέα στο φάκελο Char"/>
    <w:basedOn w:val="a1"/>
    <w:link w:val="a7"/>
    <w:rsid w:val="00732969"/>
    <w:rPr>
      <w:rFonts w:ascii="Arial" w:hAnsi="Arial" w:cs="Arial"/>
      <w:lang w:val="en-GB" w:eastAsia="en-GB" w:bidi="ar-SA"/>
    </w:rPr>
  </w:style>
  <w:style w:type="paragraph" w:customStyle="1" w:styleId="EMEAEnBodyText">
    <w:name w:val="EMEA En Body Text"/>
    <w:basedOn w:val="a"/>
    <w:rsid w:val="00B01158"/>
    <w:pPr>
      <w:spacing w:before="120"/>
    </w:pPr>
    <w:rPr>
      <w:lang w:val="en-US" w:eastAsia="en-US"/>
    </w:rPr>
  </w:style>
  <w:style w:type="character" w:styleId="-">
    <w:name w:val="Hyperlink"/>
    <w:rsid w:val="00B01158"/>
    <w:rPr>
      <w:color w:val="0000FF"/>
      <w:u w:val="single"/>
    </w:rPr>
  </w:style>
  <w:style w:type="paragraph" w:styleId="20">
    <w:name w:val="Body Text 2"/>
    <w:basedOn w:val="a"/>
    <w:link w:val="2Char0"/>
    <w:rsid w:val="00B01158"/>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pPr>
    <w:rPr>
      <w:b/>
      <w:bCs/>
      <w:color w:val="0000FF"/>
      <w:szCs w:val="22"/>
      <w:u w:val="single"/>
      <w:lang w:eastAsia="en-US"/>
    </w:rPr>
  </w:style>
  <w:style w:type="character" w:customStyle="1" w:styleId="2Char0">
    <w:name w:val="Σώμα κείμενου 2 Char"/>
    <w:basedOn w:val="a1"/>
    <w:link w:val="20"/>
    <w:rsid w:val="00B01158"/>
    <w:rPr>
      <w:b/>
      <w:bCs/>
      <w:color w:val="0000FF"/>
      <w:sz w:val="22"/>
      <w:szCs w:val="22"/>
      <w:u w:val="single"/>
      <w:lang w:eastAsia="en-US"/>
    </w:rPr>
  </w:style>
  <w:style w:type="paragraph" w:customStyle="1" w:styleId="BodytextAgency">
    <w:name w:val="Body text (Agency)"/>
    <w:basedOn w:val="a"/>
    <w:link w:val="BodytextAgencyChar"/>
    <w:qFormat/>
    <w:rsid w:val="006843BF"/>
    <w:pPr>
      <w:spacing w:after="140" w:line="280" w:lineRule="atLeast"/>
    </w:pPr>
    <w:rPr>
      <w:rFonts w:ascii="Verdana" w:eastAsia="Verdana" w:hAnsi="Verdana" w:cs="Verdana"/>
      <w:sz w:val="18"/>
      <w:szCs w:val="18"/>
    </w:rPr>
  </w:style>
  <w:style w:type="character" w:customStyle="1" w:styleId="BodytextAgencyChar">
    <w:name w:val="Body text (Agency) Char"/>
    <w:link w:val="BodytextAgency"/>
    <w:rsid w:val="006843BF"/>
    <w:rPr>
      <w:rFonts w:ascii="Verdana" w:eastAsia="Verdana" w:hAnsi="Verdana" w:cs="Verdana"/>
      <w:sz w:val="18"/>
      <w:szCs w:val="18"/>
    </w:rPr>
  </w:style>
  <w:style w:type="paragraph" w:styleId="a8">
    <w:name w:val="List Paragraph"/>
    <w:basedOn w:val="a"/>
    <w:uiPriority w:val="34"/>
    <w:qFormat/>
    <w:rsid w:val="006843BF"/>
    <w:pPr>
      <w:ind w:left="720"/>
      <w:contextualSpacing/>
    </w:pPr>
  </w:style>
  <w:style w:type="paragraph" w:styleId="a9">
    <w:name w:val="Title"/>
    <w:basedOn w:val="a"/>
    <w:next w:val="a"/>
    <w:link w:val="Char0"/>
    <w:qFormat/>
    <w:rsid w:val="003F165E"/>
    <w:pPr>
      <w:spacing w:before="240" w:after="240"/>
      <w:contextualSpacing/>
      <w:jc w:val="center"/>
    </w:pPr>
    <w:rPr>
      <w:rFonts w:eastAsiaTheme="majorEastAsia" w:cstheme="majorBidi"/>
      <w:b/>
      <w:spacing w:val="-10"/>
      <w:kern w:val="28"/>
      <w:szCs w:val="56"/>
    </w:rPr>
  </w:style>
  <w:style w:type="character" w:customStyle="1" w:styleId="Char0">
    <w:name w:val="Τίτλος Char"/>
    <w:basedOn w:val="a1"/>
    <w:link w:val="a9"/>
    <w:rsid w:val="003F165E"/>
    <w:rPr>
      <w:rFonts w:eastAsiaTheme="majorEastAsia" w:cstheme="majorBidi"/>
      <w:b/>
      <w:spacing w:val="-10"/>
      <w:kern w:val="28"/>
      <w:sz w:val="22"/>
      <w:szCs w:val="56"/>
    </w:rPr>
  </w:style>
  <w:style w:type="paragraph" w:styleId="aa">
    <w:name w:val="annotation text"/>
    <w:basedOn w:val="a"/>
    <w:link w:val="Char1"/>
    <w:rsid w:val="00B42851"/>
    <w:pPr>
      <w:tabs>
        <w:tab w:val="left" w:pos="567"/>
      </w:tabs>
      <w:spacing w:after="0" w:line="260" w:lineRule="exact"/>
    </w:pPr>
    <w:rPr>
      <w:sz w:val="20"/>
      <w:lang w:eastAsia="en-US"/>
    </w:rPr>
  </w:style>
  <w:style w:type="character" w:customStyle="1" w:styleId="Char1">
    <w:name w:val="Κείμενο σχολίου Char"/>
    <w:basedOn w:val="a1"/>
    <w:link w:val="aa"/>
    <w:rsid w:val="00B42851"/>
    <w:rPr>
      <w:lang w:eastAsia="en-US"/>
    </w:rPr>
  </w:style>
  <w:style w:type="character" w:styleId="ab">
    <w:name w:val="annotation reference"/>
    <w:rsid w:val="00B42851"/>
    <w:rPr>
      <w:sz w:val="16"/>
      <w:szCs w:val="16"/>
    </w:rPr>
  </w:style>
  <w:style w:type="paragraph" w:styleId="ac">
    <w:name w:val="Balloon Text"/>
    <w:basedOn w:val="a"/>
    <w:link w:val="Char2"/>
    <w:semiHidden/>
    <w:unhideWhenUsed/>
    <w:rsid w:val="00B42851"/>
    <w:pPr>
      <w:spacing w:after="0"/>
    </w:pPr>
    <w:rPr>
      <w:rFonts w:ascii="Tahoma" w:hAnsi="Tahoma" w:cs="Tahoma"/>
      <w:sz w:val="16"/>
      <w:szCs w:val="16"/>
    </w:rPr>
  </w:style>
  <w:style w:type="character" w:customStyle="1" w:styleId="Char2">
    <w:name w:val="Κείμενο πλαισίου Char"/>
    <w:basedOn w:val="a1"/>
    <w:link w:val="ac"/>
    <w:semiHidden/>
    <w:rsid w:val="00B42851"/>
    <w:rPr>
      <w:rFonts w:ascii="Tahoma" w:hAnsi="Tahoma" w:cs="Tahoma"/>
      <w:sz w:val="16"/>
      <w:szCs w:val="16"/>
    </w:rPr>
  </w:style>
  <w:style w:type="paragraph" w:styleId="ad">
    <w:name w:val="annotation subject"/>
    <w:basedOn w:val="aa"/>
    <w:next w:val="aa"/>
    <w:link w:val="Char3"/>
    <w:rsid w:val="00126123"/>
    <w:pPr>
      <w:tabs>
        <w:tab w:val="clear" w:pos="567"/>
      </w:tabs>
      <w:spacing w:after="120" w:line="240" w:lineRule="auto"/>
    </w:pPr>
    <w:rPr>
      <w:b/>
      <w:bCs/>
      <w:lang w:eastAsia="en-GB"/>
    </w:rPr>
  </w:style>
  <w:style w:type="character" w:customStyle="1" w:styleId="Char3">
    <w:name w:val="Θέμα σχολίου Char"/>
    <w:basedOn w:val="Char1"/>
    <w:link w:val="ad"/>
    <w:rsid w:val="00126123"/>
    <w:rPr>
      <w:b/>
      <w:bCs/>
      <w:lang w:eastAsia="en-US"/>
    </w:rPr>
  </w:style>
  <w:style w:type="paragraph" w:customStyle="1" w:styleId="TabletextrowsAgency">
    <w:name w:val="Table text rows (Agency)"/>
    <w:basedOn w:val="a"/>
    <w:link w:val="TabletextrowsAgencyChar"/>
    <w:rsid w:val="003D682F"/>
    <w:pPr>
      <w:spacing w:after="0" w:line="280" w:lineRule="exact"/>
      <w:jc w:val="left"/>
    </w:pPr>
    <w:rPr>
      <w:rFonts w:ascii="Verdana" w:hAnsi="Verdana"/>
      <w:sz w:val="18"/>
      <w:szCs w:val="18"/>
      <w:lang w:eastAsia="zh-CN"/>
    </w:rPr>
  </w:style>
  <w:style w:type="character" w:customStyle="1" w:styleId="TabletextrowsAgencyChar">
    <w:name w:val="Table text rows (Agency) Char"/>
    <w:link w:val="TabletextrowsAgency"/>
    <w:rsid w:val="003D682F"/>
    <w:rPr>
      <w:rFonts w:ascii="Verdana" w:hAnsi="Verdana"/>
      <w:sz w:val="18"/>
      <w:szCs w:val="18"/>
      <w:lang w:eastAsia="zh-CN"/>
    </w:rPr>
  </w:style>
  <w:style w:type="paragraph" w:styleId="ae">
    <w:name w:val="header"/>
    <w:aliases w:val="Header Char Char Char,Header Char Char Char Char Char Char Char Char Char Char Char Char,Header Char Char Char Char Char Char Char,Header Char Char Char Char Char Char,Header Char Char Char Char,Header Char Char Char Char Char Char Char Char"/>
    <w:basedOn w:val="a"/>
    <w:link w:val="Char4"/>
    <w:uiPriority w:val="99"/>
    <w:rsid w:val="006C6540"/>
    <w:pPr>
      <w:tabs>
        <w:tab w:val="center" w:pos="4320"/>
        <w:tab w:val="right" w:pos="8640"/>
      </w:tabs>
      <w:spacing w:after="0"/>
      <w:jc w:val="left"/>
    </w:pPr>
    <w:rPr>
      <w:sz w:val="24"/>
      <w:szCs w:val="24"/>
      <w:lang w:val="en-US" w:eastAsia="en-US"/>
    </w:rPr>
  </w:style>
  <w:style w:type="character" w:customStyle="1" w:styleId="Char4">
    <w:name w:val="Κεφαλίδα Char"/>
    <w:aliases w:val="Header Char Char Char Char1,Header Char Char Char Char Char Char Char Char Char Char Char Char Char,Header Char Char Char Char Char Char Char Char1,Header Char Char Char Char Char Char Char1,Header Char Char Char Char Char"/>
    <w:basedOn w:val="a1"/>
    <w:link w:val="ae"/>
    <w:uiPriority w:val="99"/>
    <w:rsid w:val="006C6540"/>
    <w:rPr>
      <w:sz w:val="24"/>
      <w:szCs w:val="24"/>
      <w:lang w:val="en-US" w:eastAsia="en-US"/>
    </w:rPr>
  </w:style>
  <w:style w:type="paragraph" w:styleId="-HTML">
    <w:name w:val="HTML Preformatted"/>
    <w:basedOn w:val="a"/>
    <w:link w:val="-HTMLChar"/>
    <w:uiPriority w:val="99"/>
    <w:semiHidden/>
    <w:unhideWhenUsed/>
    <w:rsid w:val="00B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Char">
    <w:name w:val="Προ-διαμορφωμένο HTML Char"/>
    <w:basedOn w:val="a1"/>
    <w:link w:val="-HTML"/>
    <w:uiPriority w:val="99"/>
    <w:semiHidden/>
    <w:rsid w:val="00BD6DAF"/>
    <w:rPr>
      <w:rFonts w:ascii="Courier New" w:hAnsi="Courier New" w:cs="Courier New"/>
    </w:rPr>
  </w:style>
  <w:style w:type="paragraph" w:customStyle="1" w:styleId="Default">
    <w:name w:val="Default"/>
    <w:rsid w:val="00BF4A76"/>
    <w:pPr>
      <w:autoSpaceDE w:val="0"/>
      <w:autoSpaceDN w:val="0"/>
      <w:adjustRightInd w:val="0"/>
    </w:pPr>
    <w:rPr>
      <w:color w:val="000000"/>
      <w:sz w:val="24"/>
      <w:szCs w:val="24"/>
      <w:lang w:val="en-IN"/>
    </w:rPr>
  </w:style>
  <w:style w:type="paragraph" w:styleId="af">
    <w:name w:val="footer"/>
    <w:basedOn w:val="a"/>
    <w:link w:val="Char5"/>
    <w:semiHidden/>
    <w:unhideWhenUsed/>
    <w:rsid w:val="00C80BFF"/>
    <w:pPr>
      <w:tabs>
        <w:tab w:val="center" w:pos="4513"/>
        <w:tab w:val="right" w:pos="9026"/>
      </w:tabs>
      <w:spacing w:after="0"/>
    </w:pPr>
  </w:style>
  <w:style w:type="character" w:customStyle="1" w:styleId="Char5">
    <w:name w:val="Υποσέλιδο Char"/>
    <w:basedOn w:val="a1"/>
    <w:link w:val="af"/>
    <w:semiHidden/>
    <w:rsid w:val="00C80BFF"/>
    <w:rPr>
      <w:sz w:val="22"/>
    </w:rPr>
  </w:style>
  <w:style w:type="paragraph" w:customStyle="1" w:styleId="Textkrpernummeriert">
    <w:name w:val="Textkörper nummeriert"/>
    <w:basedOn w:val="a"/>
    <w:rsid w:val="00C92D95"/>
    <w:pPr>
      <w:numPr>
        <w:numId w:val="48"/>
      </w:numPr>
      <w:spacing w:before="120" w:after="0"/>
    </w:pPr>
    <w:rPr>
      <w:rFonts w:cs="Verdana"/>
      <w:sz w:val="24"/>
      <w:szCs w:val="22"/>
      <w:lang w:eastAsia="en-US"/>
    </w:rPr>
  </w:style>
  <w:style w:type="character" w:customStyle="1" w:styleId="1Char">
    <w:name w:val="Επικεφαλίδα 1 Char"/>
    <w:basedOn w:val="a1"/>
    <w:link w:val="1"/>
    <w:rsid w:val="00061777"/>
    <w:rPr>
      <w:rFonts w:ascii="Times New Roman Bold" w:hAnsi="Times New Roman Bold"/>
      <w:b/>
      <w:caps/>
      <w:kern w:val="28"/>
      <w:sz w:val="22"/>
    </w:rPr>
  </w:style>
  <w:style w:type="character" w:customStyle="1" w:styleId="2Char">
    <w:name w:val="Επικεφαλίδα 2 Char"/>
    <w:basedOn w:val="a1"/>
    <w:link w:val="2"/>
    <w:rsid w:val="00061777"/>
    <w:rPr>
      <w:b/>
      <w:sz w:val="22"/>
    </w:rPr>
  </w:style>
  <w:style w:type="paragraph" w:styleId="af0">
    <w:name w:val="Revision"/>
    <w:hidden/>
    <w:uiPriority w:val="99"/>
    <w:semiHidden/>
    <w:rsid w:val="001968D1"/>
    <w:rPr>
      <w:sz w:val="22"/>
    </w:rPr>
  </w:style>
  <w:style w:type="character" w:customStyle="1" w:styleId="A10">
    <w:name w:val="A1"/>
    <w:uiPriority w:val="99"/>
    <w:rsid w:val="005A7E70"/>
    <w:rPr>
      <w:color w:val="211D1E"/>
      <w:sz w:val="18"/>
      <w:szCs w:val="18"/>
    </w:rPr>
  </w:style>
  <w:style w:type="character" w:customStyle="1" w:styleId="A20">
    <w:name w:val="A2"/>
    <w:uiPriority w:val="99"/>
    <w:rsid w:val="005A7E70"/>
    <w:rPr>
      <w:color w:val="211D1E"/>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1437">
      <w:bodyDiv w:val="1"/>
      <w:marLeft w:val="30"/>
      <w:marRight w:val="30"/>
      <w:marTop w:val="0"/>
      <w:marBottom w:val="0"/>
      <w:divBdr>
        <w:top w:val="none" w:sz="0" w:space="0" w:color="auto"/>
        <w:left w:val="none" w:sz="0" w:space="0" w:color="auto"/>
        <w:bottom w:val="none" w:sz="0" w:space="0" w:color="auto"/>
        <w:right w:val="none" w:sz="0" w:space="0" w:color="auto"/>
      </w:divBdr>
      <w:divsChild>
        <w:div w:id="677385578">
          <w:marLeft w:val="0"/>
          <w:marRight w:val="0"/>
          <w:marTop w:val="0"/>
          <w:marBottom w:val="0"/>
          <w:divBdr>
            <w:top w:val="none" w:sz="0" w:space="0" w:color="auto"/>
            <w:left w:val="none" w:sz="0" w:space="0" w:color="auto"/>
            <w:bottom w:val="none" w:sz="0" w:space="0" w:color="auto"/>
            <w:right w:val="none" w:sz="0" w:space="0" w:color="auto"/>
          </w:divBdr>
          <w:divsChild>
            <w:div w:id="1079333154">
              <w:marLeft w:val="0"/>
              <w:marRight w:val="0"/>
              <w:marTop w:val="0"/>
              <w:marBottom w:val="0"/>
              <w:divBdr>
                <w:top w:val="none" w:sz="0" w:space="0" w:color="auto"/>
                <w:left w:val="none" w:sz="0" w:space="0" w:color="auto"/>
                <w:bottom w:val="none" w:sz="0" w:space="0" w:color="auto"/>
                <w:right w:val="none" w:sz="0" w:space="0" w:color="auto"/>
              </w:divBdr>
              <w:divsChild>
                <w:div w:id="1965381746">
                  <w:marLeft w:val="180"/>
                  <w:marRight w:val="0"/>
                  <w:marTop w:val="0"/>
                  <w:marBottom w:val="0"/>
                  <w:divBdr>
                    <w:top w:val="none" w:sz="0" w:space="0" w:color="auto"/>
                    <w:left w:val="none" w:sz="0" w:space="0" w:color="auto"/>
                    <w:bottom w:val="none" w:sz="0" w:space="0" w:color="auto"/>
                    <w:right w:val="none" w:sz="0" w:space="0" w:color="auto"/>
                  </w:divBdr>
                  <w:divsChild>
                    <w:div w:id="8787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6011">
      <w:bodyDiv w:val="1"/>
      <w:marLeft w:val="0"/>
      <w:marRight w:val="0"/>
      <w:marTop w:val="0"/>
      <w:marBottom w:val="0"/>
      <w:divBdr>
        <w:top w:val="none" w:sz="0" w:space="0" w:color="auto"/>
        <w:left w:val="none" w:sz="0" w:space="0" w:color="auto"/>
        <w:bottom w:val="none" w:sz="0" w:space="0" w:color="auto"/>
        <w:right w:val="none" w:sz="0" w:space="0" w:color="auto"/>
      </w:divBdr>
      <w:divsChild>
        <w:div w:id="1820881138">
          <w:marLeft w:val="0"/>
          <w:marRight w:val="0"/>
          <w:marTop w:val="0"/>
          <w:marBottom w:val="0"/>
          <w:divBdr>
            <w:top w:val="none" w:sz="0" w:space="0" w:color="auto"/>
            <w:left w:val="none" w:sz="0" w:space="0" w:color="auto"/>
            <w:bottom w:val="none" w:sz="0" w:space="0" w:color="auto"/>
            <w:right w:val="none" w:sz="0" w:space="0" w:color="auto"/>
          </w:divBdr>
        </w:div>
        <w:div w:id="176816384">
          <w:marLeft w:val="0"/>
          <w:marRight w:val="0"/>
          <w:marTop w:val="0"/>
          <w:marBottom w:val="0"/>
          <w:divBdr>
            <w:top w:val="none" w:sz="0" w:space="0" w:color="auto"/>
            <w:left w:val="none" w:sz="0" w:space="0" w:color="auto"/>
            <w:bottom w:val="none" w:sz="0" w:space="0" w:color="auto"/>
            <w:right w:val="none" w:sz="0" w:space="0" w:color="auto"/>
          </w:divBdr>
        </w:div>
        <w:div w:id="1810901447">
          <w:marLeft w:val="0"/>
          <w:marRight w:val="0"/>
          <w:marTop w:val="0"/>
          <w:marBottom w:val="0"/>
          <w:divBdr>
            <w:top w:val="none" w:sz="0" w:space="0" w:color="auto"/>
            <w:left w:val="none" w:sz="0" w:space="0" w:color="auto"/>
            <w:bottom w:val="none" w:sz="0" w:space="0" w:color="auto"/>
            <w:right w:val="none" w:sz="0" w:space="0" w:color="auto"/>
          </w:divBdr>
        </w:div>
        <w:div w:id="1385062434">
          <w:marLeft w:val="0"/>
          <w:marRight w:val="0"/>
          <w:marTop w:val="0"/>
          <w:marBottom w:val="0"/>
          <w:divBdr>
            <w:top w:val="none" w:sz="0" w:space="0" w:color="auto"/>
            <w:left w:val="none" w:sz="0" w:space="0" w:color="auto"/>
            <w:bottom w:val="none" w:sz="0" w:space="0" w:color="auto"/>
            <w:right w:val="none" w:sz="0" w:space="0" w:color="auto"/>
          </w:divBdr>
        </w:div>
        <w:div w:id="384909679">
          <w:marLeft w:val="0"/>
          <w:marRight w:val="0"/>
          <w:marTop w:val="0"/>
          <w:marBottom w:val="0"/>
          <w:divBdr>
            <w:top w:val="none" w:sz="0" w:space="0" w:color="auto"/>
            <w:left w:val="none" w:sz="0" w:space="0" w:color="auto"/>
            <w:bottom w:val="none" w:sz="0" w:space="0" w:color="auto"/>
            <w:right w:val="none" w:sz="0" w:space="0" w:color="auto"/>
          </w:divBdr>
        </w:div>
        <w:div w:id="1595824619">
          <w:marLeft w:val="0"/>
          <w:marRight w:val="0"/>
          <w:marTop w:val="0"/>
          <w:marBottom w:val="0"/>
          <w:divBdr>
            <w:top w:val="none" w:sz="0" w:space="0" w:color="auto"/>
            <w:left w:val="none" w:sz="0" w:space="0" w:color="auto"/>
            <w:bottom w:val="none" w:sz="0" w:space="0" w:color="auto"/>
            <w:right w:val="none" w:sz="0" w:space="0" w:color="auto"/>
          </w:divBdr>
        </w:div>
        <w:div w:id="668824328">
          <w:marLeft w:val="0"/>
          <w:marRight w:val="0"/>
          <w:marTop w:val="0"/>
          <w:marBottom w:val="0"/>
          <w:divBdr>
            <w:top w:val="none" w:sz="0" w:space="0" w:color="auto"/>
            <w:left w:val="none" w:sz="0" w:space="0" w:color="auto"/>
            <w:bottom w:val="none" w:sz="0" w:space="0" w:color="auto"/>
            <w:right w:val="none" w:sz="0" w:space="0" w:color="auto"/>
          </w:divBdr>
        </w:div>
        <w:div w:id="457264745">
          <w:marLeft w:val="0"/>
          <w:marRight w:val="0"/>
          <w:marTop w:val="0"/>
          <w:marBottom w:val="0"/>
          <w:divBdr>
            <w:top w:val="none" w:sz="0" w:space="0" w:color="auto"/>
            <w:left w:val="none" w:sz="0" w:space="0" w:color="auto"/>
            <w:bottom w:val="none" w:sz="0" w:space="0" w:color="auto"/>
            <w:right w:val="none" w:sz="0" w:space="0" w:color="auto"/>
          </w:divBdr>
        </w:div>
        <w:div w:id="1122113821">
          <w:marLeft w:val="0"/>
          <w:marRight w:val="0"/>
          <w:marTop w:val="0"/>
          <w:marBottom w:val="0"/>
          <w:divBdr>
            <w:top w:val="none" w:sz="0" w:space="0" w:color="auto"/>
            <w:left w:val="none" w:sz="0" w:space="0" w:color="auto"/>
            <w:bottom w:val="none" w:sz="0" w:space="0" w:color="auto"/>
            <w:right w:val="none" w:sz="0" w:space="0" w:color="auto"/>
          </w:divBdr>
        </w:div>
        <w:div w:id="1843550412">
          <w:marLeft w:val="0"/>
          <w:marRight w:val="0"/>
          <w:marTop w:val="0"/>
          <w:marBottom w:val="0"/>
          <w:divBdr>
            <w:top w:val="none" w:sz="0" w:space="0" w:color="auto"/>
            <w:left w:val="none" w:sz="0" w:space="0" w:color="auto"/>
            <w:bottom w:val="none" w:sz="0" w:space="0" w:color="auto"/>
            <w:right w:val="none" w:sz="0" w:space="0" w:color="auto"/>
          </w:divBdr>
        </w:div>
        <w:div w:id="760832549">
          <w:marLeft w:val="0"/>
          <w:marRight w:val="0"/>
          <w:marTop w:val="0"/>
          <w:marBottom w:val="0"/>
          <w:divBdr>
            <w:top w:val="none" w:sz="0" w:space="0" w:color="auto"/>
            <w:left w:val="none" w:sz="0" w:space="0" w:color="auto"/>
            <w:bottom w:val="none" w:sz="0" w:space="0" w:color="auto"/>
            <w:right w:val="none" w:sz="0" w:space="0" w:color="auto"/>
          </w:divBdr>
        </w:div>
        <w:div w:id="1312097407">
          <w:marLeft w:val="0"/>
          <w:marRight w:val="0"/>
          <w:marTop w:val="0"/>
          <w:marBottom w:val="0"/>
          <w:divBdr>
            <w:top w:val="none" w:sz="0" w:space="0" w:color="auto"/>
            <w:left w:val="none" w:sz="0" w:space="0" w:color="auto"/>
            <w:bottom w:val="none" w:sz="0" w:space="0" w:color="auto"/>
            <w:right w:val="none" w:sz="0" w:space="0" w:color="auto"/>
          </w:divBdr>
        </w:div>
        <w:div w:id="2121341810">
          <w:marLeft w:val="0"/>
          <w:marRight w:val="0"/>
          <w:marTop w:val="0"/>
          <w:marBottom w:val="0"/>
          <w:divBdr>
            <w:top w:val="none" w:sz="0" w:space="0" w:color="auto"/>
            <w:left w:val="none" w:sz="0" w:space="0" w:color="auto"/>
            <w:bottom w:val="none" w:sz="0" w:space="0" w:color="auto"/>
            <w:right w:val="none" w:sz="0" w:space="0" w:color="auto"/>
          </w:divBdr>
        </w:div>
        <w:div w:id="1754546573">
          <w:marLeft w:val="0"/>
          <w:marRight w:val="0"/>
          <w:marTop w:val="0"/>
          <w:marBottom w:val="0"/>
          <w:divBdr>
            <w:top w:val="none" w:sz="0" w:space="0" w:color="auto"/>
            <w:left w:val="none" w:sz="0" w:space="0" w:color="auto"/>
            <w:bottom w:val="none" w:sz="0" w:space="0" w:color="auto"/>
            <w:right w:val="none" w:sz="0" w:space="0" w:color="auto"/>
          </w:divBdr>
        </w:div>
        <w:div w:id="1193227031">
          <w:marLeft w:val="0"/>
          <w:marRight w:val="0"/>
          <w:marTop w:val="0"/>
          <w:marBottom w:val="0"/>
          <w:divBdr>
            <w:top w:val="none" w:sz="0" w:space="0" w:color="auto"/>
            <w:left w:val="none" w:sz="0" w:space="0" w:color="auto"/>
            <w:bottom w:val="none" w:sz="0" w:space="0" w:color="auto"/>
            <w:right w:val="none" w:sz="0" w:space="0" w:color="auto"/>
          </w:divBdr>
        </w:div>
        <w:div w:id="196554629">
          <w:marLeft w:val="0"/>
          <w:marRight w:val="0"/>
          <w:marTop w:val="0"/>
          <w:marBottom w:val="0"/>
          <w:divBdr>
            <w:top w:val="none" w:sz="0" w:space="0" w:color="auto"/>
            <w:left w:val="none" w:sz="0" w:space="0" w:color="auto"/>
            <w:bottom w:val="none" w:sz="0" w:space="0" w:color="auto"/>
            <w:right w:val="none" w:sz="0" w:space="0" w:color="auto"/>
          </w:divBdr>
        </w:div>
        <w:div w:id="545609398">
          <w:marLeft w:val="0"/>
          <w:marRight w:val="0"/>
          <w:marTop w:val="0"/>
          <w:marBottom w:val="0"/>
          <w:divBdr>
            <w:top w:val="none" w:sz="0" w:space="0" w:color="auto"/>
            <w:left w:val="none" w:sz="0" w:space="0" w:color="auto"/>
            <w:bottom w:val="none" w:sz="0" w:space="0" w:color="auto"/>
            <w:right w:val="none" w:sz="0" w:space="0" w:color="auto"/>
          </w:divBdr>
        </w:div>
        <w:div w:id="902445333">
          <w:marLeft w:val="0"/>
          <w:marRight w:val="0"/>
          <w:marTop w:val="0"/>
          <w:marBottom w:val="0"/>
          <w:divBdr>
            <w:top w:val="none" w:sz="0" w:space="0" w:color="auto"/>
            <w:left w:val="none" w:sz="0" w:space="0" w:color="auto"/>
            <w:bottom w:val="none" w:sz="0" w:space="0" w:color="auto"/>
            <w:right w:val="none" w:sz="0" w:space="0" w:color="auto"/>
          </w:divBdr>
        </w:div>
        <w:div w:id="1852059526">
          <w:marLeft w:val="0"/>
          <w:marRight w:val="0"/>
          <w:marTop w:val="0"/>
          <w:marBottom w:val="0"/>
          <w:divBdr>
            <w:top w:val="none" w:sz="0" w:space="0" w:color="auto"/>
            <w:left w:val="none" w:sz="0" w:space="0" w:color="auto"/>
            <w:bottom w:val="none" w:sz="0" w:space="0" w:color="auto"/>
            <w:right w:val="none" w:sz="0" w:space="0" w:color="auto"/>
          </w:divBdr>
        </w:div>
        <w:div w:id="1141314893">
          <w:marLeft w:val="0"/>
          <w:marRight w:val="0"/>
          <w:marTop w:val="0"/>
          <w:marBottom w:val="0"/>
          <w:divBdr>
            <w:top w:val="none" w:sz="0" w:space="0" w:color="auto"/>
            <w:left w:val="none" w:sz="0" w:space="0" w:color="auto"/>
            <w:bottom w:val="none" w:sz="0" w:space="0" w:color="auto"/>
            <w:right w:val="none" w:sz="0" w:space="0" w:color="auto"/>
          </w:divBdr>
        </w:div>
        <w:div w:id="1165824749">
          <w:marLeft w:val="0"/>
          <w:marRight w:val="0"/>
          <w:marTop w:val="0"/>
          <w:marBottom w:val="0"/>
          <w:divBdr>
            <w:top w:val="none" w:sz="0" w:space="0" w:color="auto"/>
            <w:left w:val="none" w:sz="0" w:space="0" w:color="auto"/>
            <w:bottom w:val="none" w:sz="0" w:space="0" w:color="auto"/>
            <w:right w:val="none" w:sz="0" w:space="0" w:color="auto"/>
          </w:divBdr>
        </w:div>
        <w:div w:id="605817360">
          <w:marLeft w:val="0"/>
          <w:marRight w:val="0"/>
          <w:marTop w:val="0"/>
          <w:marBottom w:val="0"/>
          <w:divBdr>
            <w:top w:val="none" w:sz="0" w:space="0" w:color="auto"/>
            <w:left w:val="none" w:sz="0" w:space="0" w:color="auto"/>
            <w:bottom w:val="none" w:sz="0" w:space="0" w:color="auto"/>
            <w:right w:val="none" w:sz="0" w:space="0" w:color="auto"/>
          </w:divBdr>
        </w:div>
      </w:divsChild>
    </w:div>
    <w:div w:id="504780657">
      <w:bodyDiv w:val="1"/>
      <w:marLeft w:val="30"/>
      <w:marRight w:val="30"/>
      <w:marTop w:val="0"/>
      <w:marBottom w:val="0"/>
      <w:divBdr>
        <w:top w:val="none" w:sz="0" w:space="0" w:color="auto"/>
        <w:left w:val="none" w:sz="0" w:space="0" w:color="auto"/>
        <w:bottom w:val="none" w:sz="0" w:space="0" w:color="auto"/>
        <w:right w:val="none" w:sz="0" w:space="0" w:color="auto"/>
      </w:divBdr>
      <w:divsChild>
        <w:div w:id="968631873">
          <w:marLeft w:val="0"/>
          <w:marRight w:val="0"/>
          <w:marTop w:val="0"/>
          <w:marBottom w:val="0"/>
          <w:divBdr>
            <w:top w:val="none" w:sz="0" w:space="0" w:color="auto"/>
            <w:left w:val="none" w:sz="0" w:space="0" w:color="auto"/>
            <w:bottom w:val="none" w:sz="0" w:space="0" w:color="auto"/>
            <w:right w:val="none" w:sz="0" w:space="0" w:color="auto"/>
          </w:divBdr>
          <w:divsChild>
            <w:div w:id="947273587">
              <w:marLeft w:val="0"/>
              <w:marRight w:val="0"/>
              <w:marTop w:val="0"/>
              <w:marBottom w:val="0"/>
              <w:divBdr>
                <w:top w:val="none" w:sz="0" w:space="0" w:color="auto"/>
                <w:left w:val="none" w:sz="0" w:space="0" w:color="auto"/>
                <w:bottom w:val="none" w:sz="0" w:space="0" w:color="auto"/>
                <w:right w:val="none" w:sz="0" w:space="0" w:color="auto"/>
              </w:divBdr>
              <w:divsChild>
                <w:div w:id="1715961246">
                  <w:marLeft w:val="180"/>
                  <w:marRight w:val="0"/>
                  <w:marTop w:val="0"/>
                  <w:marBottom w:val="0"/>
                  <w:divBdr>
                    <w:top w:val="none" w:sz="0" w:space="0" w:color="auto"/>
                    <w:left w:val="none" w:sz="0" w:space="0" w:color="auto"/>
                    <w:bottom w:val="none" w:sz="0" w:space="0" w:color="auto"/>
                    <w:right w:val="none" w:sz="0" w:space="0" w:color="auto"/>
                  </w:divBdr>
                  <w:divsChild>
                    <w:div w:id="6750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1807">
      <w:bodyDiv w:val="1"/>
      <w:marLeft w:val="0"/>
      <w:marRight w:val="0"/>
      <w:marTop w:val="0"/>
      <w:marBottom w:val="0"/>
      <w:divBdr>
        <w:top w:val="none" w:sz="0" w:space="0" w:color="auto"/>
        <w:left w:val="none" w:sz="0" w:space="0" w:color="auto"/>
        <w:bottom w:val="none" w:sz="0" w:space="0" w:color="auto"/>
        <w:right w:val="none" w:sz="0" w:space="0" w:color="auto"/>
      </w:divBdr>
      <w:divsChild>
        <w:div w:id="1183276958">
          <w:marLeft w:val="0"/>
          <w:marRight w:val="0"/>
          <w:marTop w:val="0"/>
          <w:marBottom w:val="0"/>
          <w:divBdr>
            <w:top w:val="none" w:sz="0" w:space="0" w:color="auto"/>
            <w:left w:val="none" w:sz="0" w:space="0" w:color="auto"/>
            <w:bottom w:val="none" w:sz="0" w:space="0" w:color="auto"/>
            <w:right w:val="none" w:sz="0" w:space="0" w:color="auto"/>
          </w:divBdr>
        </w:div>
        <w:div w:id="1218080533">
          <w:marLeft w:val="0"/>
          <w:marRight w:val="0"/>
          <w:marTop w:val="0"/>
          <w:marBottom w:val="0"/>
          <w:divBdr>
            <w:top w:val="none" w:sz="0" w:space="0" w:color="auto"/>
            <w:left w:val="none" w:sz="0" w:space="0" w:color="auto"/>
            <w:bottom w:val="none" w:sz="0" w:space="0" w:color="auto"/>
            <w:right w:val="none" w:sz="0" w:space="0" w:color="auto"/>
          </w:divBdr>
        </w:div>
      </w:divsChild>
    </w:div>
    <w:div w:id="895311035">
      <w:bodyDiv w:val="1"/>
      <w:marLeft w:val="0"/>
      <w:marRight w:val="0"/>
      <w:marTop w:val="0"/>
      <w:marBottom w:val="0"/>
      <w:divBdr>
        <w:top w:val="none" w:sz="0" w:space="0" w:color="auto"/>
        <w:left w:val="none" w:sz="0" w:space="0" w:color="auto"/>
        <w:bottom w:val="none" w:sz="0" w:space="0" w:color="auto"/>
        <w:right w:val="none" w:sz="0" w:space="0" w:color="auto"/>
      </w:divBdr>
      <w:divsChild>
        <w:div w:id="756025933">
          <w:marLeft w:val="0"/>
          <w:marRight w:val="0"/>
          <w:marTop w:val="0"/>
          <w:marBottom w:val="0"/>
          <w:divBdr>
            <w:top w:val="none" w:sz="0" w:space="0" w:color="auto"/>
            <w:left w:val="none" w:sz="0" w:space="0" w:color="auto"/>
            <w:bottom w:val="none" w:sz="0" w:space="0" w:color="auto"/>
            <w:right w:val="none" w:sz="0" w:space="0" w:color="auto"/>
          </w:divBdr>
        </w:div>
      </w:divsChild>
    </w:div>
    <w:div w:id="941108716">
      <w:bodyDiv w:val="1"/>
      <w:marLeft w:val="0"/>
      <w:marRight w:val="0"/>
      <w:marTop w:val="0"/>
      <w:marBottom w:val="0"/>
      <w:divBdr>
        <w:top w:val="none" w:sz="0" w:space="0" w:color="auto"/>
        <w:left w:val="none" w:sz="0" w:space="0" w:color="auto"/>
        <w:bottom w:val="none" w:sz="0" w:space="0" w:color="auto"/>
        <w:right w:val="none" w:sz="0" w:space="0" w:color="auto"/>
      </w:divBdr>
      <w:divsChild>
        <w:div w:id="1458063092">
          <w:marLeft w:val="0"/>
          <w:marRight w:val="0"/>
          <w:marTop w:val="0"/>
          <w:marBottom w:val="0"/>
          <w:divBdr>
            <w:top w:val="none" w:sz="0" w:space="0" w:color="auto"/>
            <w:left w:val="none" w:sz="0" w:space="0" w:color="auto"/>
            <w:bottom w:val="none" w:sz="0" w:space="0" w:color="auto"/>
            <w:right w:val="none" w:sz="0" w:space="0" w:color="auto"/>
          </w:divBdr>
        </w:div>
        <w:div w:id="247154023">
          <w:marLeft w:val="0"/>
          <w:marRight w:val="0"/>
          <w:marTop w:val="0"/>
          <w:marBottom w:val="0"/>
          <w:divBdr>
            <w:top w:val="none" w:sz="0" w:space="0" w:color="auto"/>
            <w:left w:val="none" w:sz="0" w:space="0" w:color="auto"/>
            <w:bottom w:val="none" w:sz="0" w:space="0" w:color="auto"/>
            <w:right w:val="none" w:sz="0" w:space="0" w:color="auto"/>
          </w:divBdr>
        </w:div>
        <w:div w:id="771048271">
          <w:marLeft w:val="0"/>
          <w:marRight w:val="0"/>
          <w:marTop w:val="0"/>
          <w:marBottom w:val="0"/>
          <w:divBdr>
            <w:top w:val="none" w:sz="0" w:space="0" w:color="auto"/>
            <w:left w:val="none" w:sz="0" w:space="0" w:color="auto"/>
            <w:bottom w:val="none" w:sz="0" w:space="0" w:color="auto"/>
            <w:right w:val="none" w:sz="0" w:space="0" w:color="auto"/>
          </w:divBdr>
        </w:div>
        <w:div w:id="1549222303">
          <w:marLeft w:val="0"/>
          <w:marRight w:val="0"/>
          <w:marTop w:val="0"/>
          <w:marBottom w:val="0"/>
          <w:divBdr>
            <w:top w:val="none" w:sz="0" w:space="0" w:color="auto"/>
            <w:left w:val="none" w:sz="0" w:space="0" w:color="auto"/>
            <w:bottom w:val="none" w:sz="0" w:space="0" w:color="auto"/>
            <w:right w:val="none" w:sz="0" w:space="0" w:color="auto"/>
          </w:divBdr>
        </w:div>
        <w:div w:id="467433131">
          <w:marLeft w:val="0"/>
          <w:marRight w:val="0"/>
          <w:marTop w:val="0"/>
          <w:marBottom w:val="0"/>
          <w:divBdr>
            <w:top w:val="none" w:sz="0" w:space="0" w:color="auto"/>
            <w:left w:val="none" w:sz="0" w:space="0" w:color="auto"/>
            <w:bottom w:val="none" w:sz="0" w:space="0" w:color="auto"/>
            <w:right w:val="none" w:sz="0" w:space="0" w:color="auto"/>
          </w:divBdr>
        </w:div>
        <w:div w:id="1013000224">
          <w:marLeft w:val="0"/>
          <w:marRight w:val="0"/>
          <w:marTop w:val="0"/>
          <w:marBottom w:val="0"/>
          <w:divBdr>
            <w:top w:val="none" w:sz="0" w:space="0" w:color="auto"/>
            <w:left w:val="none" w:sz="0" w:space="0" w:color="auto"/>
            <w:bottom w:val="none" w:sz="0" w:space="0" w:color="auto"/>
            <w:right w:val="none" w:sz="0" w:space="0" w:color="auto"/>
          </w:divBdr>
        </w:div>
        <w:div w:id="1908226050">
          <w:marLeft w:val="0"/>
          <w:marRight w:val="0"/>
          <w:marTop w:val="0"/>
          <w:marBottom w:val="0"/>
          <w:divBdr>
            <w:top w:val="none" w:sz="0" w:space="0" w:color="auto"/>
            <w:left w:val="none" w:sz="0" w:space="0" w:color="auto"/>
            <w:bottom w:val="none" w:sz="0" w:space="0" w:color="auto"/>
            <w:right w:val="none" w:sz="0" w:space="0" w:color="auto"/>
          </w:divBdr>
        </w:div>
      </w:divsChild>
    </w:div>
    <w:div w:id="1060712926">
      <w:bodyDiv w:val="1"/>
      <w:marLeft w:val="0"/>
      <w:marRight w:val="0"/>
      <w:marTop w:val="0"/>
      <w:marBottom w:val="0"/>
      <w:divBdr>
        <w:top w:val="none" w:sz="0" w:space="0" w:color="auto"/>
        <w:left w:val="none" w:sz="0" w:space="0" w:color="auto"/>
        <w:bottom w:val="none" w:sz="0" w:space="0" w:color="auto"/>
        <w:right w:val="none" w:sz="0" w:space="0" w:color="auto"/>
      </w:divBdr>
      <w:divsChild>
        <w:div w:id="1927767670">
          <w:marLeft w:val="0"/>
          <w:marRight w:val="0"/>
          <w:marTop w:val="0"/>
          <w:marBottom w:val="0"/>
          <w:divBdr>
            <w:top w:val="none" w:sz="0" w:space="0" w:color="auto"/>
            <w:left w:val="none" w:sz="0" w:space="0" w:color="auto"/>
            <w:bottom w:val="none" w:sz="0" w:space="0" w:color="auto"/>
            <w:right w:val="none" w:sz="0" w:space="0" w:color="auto"/>
          </w:divBdr>
        </w:div>
        <w:div w:id="1434595286">
          <w:marLeft w:val="0"/>
          <w:marRight w:val="0"/>
          <w:marTop w:val="0"/>
          <w:marBottom w:val="0"/>
          <w:divBdr>
            <w:top w:val="none" w:sz="0" w:space="0" w:color="auto"/>
            <w:left w:val="none" w:sz="0" w:space="0" w:color="auto"/>
            <w:bottom w:val="none" w:sz="0" w:space="0" w:color="auto"/>
            <w:right w:val="none" w:sz="0" w:space="0" w:color="auto"/>
          </w:divBdr>
        </w:div>
        <w:div w:id="1075005601">
          <w:marLeft w:val="0"/>
          <w:marRight w:val="0"/>
          <w:marTop w:val="0"/>
          <w:marBottom w:val="0"/>
          <w:divBdr>
            <w:top w:val="none" w:sz="0" w:space="0" w:color="auto"/>
            <w:left w:val="none" w:sz="0" w:space="0" w:color="auto"/>
            <w:bottom w:val="none" w:sz="0" w:space="0" w:color="auto"/>
            <w:right w:val="none" w:sz="0" w:space="0" w:color="auto"/>
          </w:divBdr>
        </w:div>
        <w:div w:id="1773546797">
          <w:marLeft w:val="0"/>
          <w:marRight w:val="0"/>
          <w:marTop w:val="0"/>
          <w:marBottom w:val="0"/>
          <w:divBdr>
            <w:top w:val="none" w:sz="0" w:space="0" w:color="auto"/>
            <w:left w:val="none" w:sz="0" w:space="0" w:color="auto"/>
            <w:bottom w:val="none" w:sz="0" w:space="0" w:color="auto"/>
            <w:right w:val="none" w:sz="0" w:space="0" w:color="auto"/>
          </w:divBdr>
        </w:div>
        <w:div w:id="1029070633">
          <w:marLeft w:val="0"/>
          <w:marRight w:val="0"/>
          <w:marTop w:val="0"/>
          <w:marBottom w:val="0"/>
          <w:divBdr>
            <w:top w:val="none" w:sz="0" w:space="0" w:color="auto"/>
            <w:left w:val="none" w:sz="0" w:space="0" w:color="auto"/>
            <w:bottom w:val="none" w:sz="0" w:space="0" w:color="auto"/>
            <w:right w:val="none" w:sz="0" w:space="0" w:color="auto"/>
          </w:divBdr>
        </w:div>
        <w:div w:id="1485049373">
          <w:marLeft w:val="0"/>
          <w:marRight w:val="0"/>
          <w:marTop w:val="0"/>
          <w:marBottom w:val="0"/>
          <w:divBdr>
            <w:top w:val="none" w:sz="0" w:space="0" w:color="auto"/>
            <w:left w:val="none" w:sz="0" w:space="0" w:color="auto"/>
            <w:bottom w:val="none" w:sz="0" w:space="0" w:color="auto"/>
            <w:right w:val="none" w:sz="0" w:space="0" w:color="auto"/>
          </w:divBdr>
        </w:div>
        <w:div w:id="1901091607">
          <w:marLeft w:val="0"/>
          <w:marRight w:val="0"/>
          <w:marTop w:val="0"/>
          <w:marBottom w:val="0"/>
          <w:divBdr>
            <w:top w:val="none" w:sz="0" w:space="0" w:color="auto"/>
            <w:left w:val="none" w:sz="0" w:space="0" w:color="auto"/>
            <w:bottom w:val="none" w:sz="0" w:space="0" w:color="auto"/>
            <w:right w:val="none" w:sz="0" w:space="0" w:color="auto"/>
          </w:divBdr>
        </w:div>
        <w:div w:id="649867510">
          <w:marLeft w:val="0"/>
          <w:marRight w:val="0"/>
          <w:marTop w:val="0"/>
          <w:marBottom w:val="0"/>
          <w:divBdr>
            <w:top w:val="none" w:sz="0" w:space="0" w:color="auto"/>
            <w:left w:val="none" w:sz="0" w:space="0" w:color="auto"/>
            <w:bottom w:val="none" w:sz="0" w:space="0" w:color="auto"/>
            <w:right w:val="none" w:sz="0" w:space="0" w:color="auto"/>
          </w:divBdr>
        </w:div>
        <w:div w:id="1969891445">
          <w:marLeft w:val="0"/>
          <w:marRight w:val="0"/>
          <w:marTop w:val="0"/>
          <w:marBottom w:val="0"/>
          <w:divBdr>
            <w:top w:val="none" w:sz="0" w:space="0" w:color="auto"/>
            <w:left w:val="none" w:sz="0" w:space="0" w:color="auto"/>
            <w:bottom w:val="none" w:sz="0" w:space="0" w:color="auto"/>
            <w:right w:val="none" w:sz="0" w:space="0" w:color="auto"/>
          </w:divBdr>
        </w:div>
        <w:div w:id="467750545">
          <w:marLeft w:val="0"/>
          <w:marRight w:val="0"/>
          <w:marTop w:val="0"/>
          <w:marBottom w:val="0"/>
          <w:divBdr>
            <w:top w:val="none" w:sz="0" w:space="0" w:color="auto"/>
            <w:left w:val="none" w:sz="0" w:space="0" w:color="auto"/>
            <w:bottom w:val="none" w:sz="0" w:space="0" w:color="auto"/>
            <w:right w:val="none" w:sz="0" w:space="0" w:color="auto"/>
          </w:divBdr>
        </w:div>
        <w:div w:id="744842454">
          <w:marLeft w:val="0"/>
          <w:marRight w:val="0"/>
          <w:marTop w:val="0"/>
          <w:marBottom w:val="0"/>
          <w:divBdr>
            <w:top w:val="none" w:sz="0" w:space="0" w:color="auto"/>
            <w:left w:val="none" w:sz="0" w:space="0" w:color="auto"/>
            <w:bottom w:val="none" w:sz="0" w:space="0" w:color="auto"/>
            <w:right w:val="none" w:sz="0" w:space="0" w:color="auto"/>
          </w:divBdr>
        </w:div>
        <w:div w:id="192766459">
          <w:marLeft w:val="0"/>
          <w:marRight w:val="0"/>
          <w:marTop w:val="0"/>
          <w:marBottom w:val="0"/>
          <w:divBdr>
            <w:top w:val="none" w:sz="0" w:space="0" w:color="auto"/>
            <w:left w:val="none" w:sz="0" w:space="0" w:color="auto"/>
            <w:bottom w:val="none" w:sz="0" w:space="0" w:color="auto"/>
            <w:right w:val="none" w:sz="0" w:space="0" w:color="auto"/>
          </w:divBdr>
        </w:div>
        <w:div w:id="1821652775">
          <w:marLeft w:val="0"/>
          <w:marRight w:val="0"/>
          <w:marTop w:val="0"/>
          <w:marBottom w:val="0"/>
          <w:divBdr>
            <w:top w:val="none" w:sz="0" w:space="0" w:color="auto"/>
            <w:left w:val="none" w:sz="0" w:space="0" w:color="auto"/>
            <w:bottom w:val="none" w:sz="0" w:space="0" w:color="auto"/>
            <w:right w:val="none" w:sz="0" w:space="0" w:color="auto"/>
          </w:divBdr>
        </w:div>
        <w:div w:id="2108963689">
          <w:marLeft w:val="0"/>
          <w:marRight w:val="0"/>
          <w:marTop w:val="0"/>
          <w:marBottom w:val="0"/>
          <w:divBdr>
            <w:top w:val="none" w:sz="0" w:space="0" w:color="auto"/>
            <w:left w:val="none" w:sz="0" w:space="0" w:color="auto"/>
            <w:bottom w:val="none" w:sz="0" w:space="0" w:color="auto"/>
            <w:right w:val="none" w:sz="0" w:space="0" w:color="auto"/>
          </w:divBdr>
        </w:div>
        <w:div w:id="1164395793">
          <w:marLeft w:val="0"/>
          <w:marRight w:val="0"/>
          <w:marTop w:val="0"/>
          <w:marBottom w:val="0"/>
          <w:divBdr>
            <w:top w:val="none" w:sz="0" w:space="0" w:color="auto"/>
            <w:left w:val="none" w:sz="0" w:space="0" w:color="auto"/>
            <w:bottom w:val="none" w:sz="0" w:space="0" w:color="auto"/>
            <w:right w:val="none" w:sz="0" w:space="0" w:color="auto"/>
          </w:divBdr>
        </w:div>
        <w:div w:id="697707354">
          <w:marLeft w:val="0"/>
          <w:marRight w:val="0"/>
          <w:marTop w:val="0"/>
          <w:marBottom w:val="0"/>
          <w:divBdr>
            <w:top w:val="none" w:sz="0" w:space="0" w:color="auto"/>
            <w:left w:val="none" w:sz="0" w:space="0" w:color="auto"/>
            <w:bottom w:val="none" w:sz="0" w:space="0" w:color="auto"/>
            <w:right w:val="none" w:sz="0" w:space="0" w:color="auto"/>
          </w:divBdr>
        </w:div>
        <w:div w:id="723719057">
          <w:marLeft w:val="0"/>
          <w:marRight w:val="0"/>
          <w:marTop w:val="0"/>
          <w:marBottom w:val="0"/>
          <w:divBdr>
            <w:top w:val="none" w:sz="0" w:space="0" w:color="auto"/>
            <w:left w:val="none" w:sz="0" w:space="0" w:color="auto"/>
            <w:bottom w:val="none" w:sz="0" w:space="0" w:color="auto"/>
            <w:right w:val="none" w:sz="0" w:space="0" w:color="auto"/>
          </w:divBdr>
        </w:div>
      </w:divsChild>
    </w:div>
    <w:div w:id="1261791168">
      <w:bodyDiv w:val="1"/>
      <w:marLeft w:val="0"/>
      <w:marRight w:val="0"/>
      <w:marTop w:val="0"/>
      <w:marBottom w:val="0"/>
      <w:divBdr>
        <w:top w:val="none" w:sz="0" w:space="0" w:color="auto"/>
        <w:left w:val="none" w:sz="0" w:space="0" w:color="auto"/>
        <w:bottom w:val="none" w:sz="0" w:space="0" w:color="auto"/>
        <w:right w:val="none" w:sz="0" w:space="0" w:color="auto"/>
      </w:divBdr>
    </w:div>
    <w:div w:id="1632518238">
      <w:bodyDiv w:val="1"/>
      <w:marLeft w:val="0"/>
      <w:marRight w:val="0"/>
      <w:marTop w:val="0"/>
      <w:marBottom w:val="0"/>
      <w:divBdr>
        <w:top w:val="none" w:sz="0" w:space="0" w:color="auto"/>
        <w:left w:val="none" w:sz="0" w:space="0" w:color="auto"/>
        <w:bottom w:val="none" w:sz="0" w:space="0" w:color="auto"/>
        <w:right w:val="none" w:sz="0" w:space="0" w:color="auto"/>
      </w:divBdr>
      <w:divsChild>
        <w:div w:id="1956405918">
          <w:marLeft w:val="0"/>
          <w:marRight w:val="0"/>
          <w:marTop w:val="0"/>
          <w:marBottom w:val="0"/>
          <w:divBdr>
            <w:top w:val="none" w:sz="0" w:space="0" w:color="auto"/>
            <w:left w:val="none" w:sz="0" w:space="0" w:color="auto"/>
            <w:bottom w:val="none" w:sz="0" w:space="0" w:color="auto"/>
            <w:right w:val="none" w:sz="0" w:space="0" w:color="auto"/>
          </w:divBdr>
        </w:div>
        <w:div w:id="1803964011">
          <w:marLeft w:val="0"/>
          <w:marRight w:val="0"/>
          <w:marTop w:val="0"/>
          <w:marBottom w:val="0"/>
          <w:divBdr>
            <w:top w:val="none" w:sz="0" w:space="0" w:color="auto"/>
            <w:left w:val="none" w:sz="0" w:space="0" w:color="auto"/>
            <w:bottom w:val="none" w:sz="0" w:space="0" w:color="auto"/>
            <w:right w:val="none" w:sz="0" w:space="0" w:color="auto"/>
          </w:divBdr>
        </w:div>
        <w:div w:id="65610468">
          <w:marLeft w:val="0"/>
          <w:marRight w:val="0"/>
          <w:marTop w:val="0"/>
          <w:marBottom w:val="0"/>
          <w:divBdr>
            <w:top w:val="none" w:sz="0" w:space="0" w:color="auto"/>
            <w:left w:val="none" w:sz="0" w:space="0" w:color="auto"/>
            <w:bottom w:val="none" w:sz="0" w:space="0" w:color="auto"/>
            <w:right w:val="none" w:sz="0" w:space="0" w:color="auto"/>
          </w:divBdr>
        </w:div>
        <w:div w:id="189993775">
          <w:marLeft w:val="0"/>
          <w:marRight w:val="0"/>
          <w:marTop w:val="0"/>
          <w:marBottom w:val="0"/>
          <w:divBdr>
            <w:top w:val="none" w:sz="0" w:space="0" w:color="auto"/>
            <w:left w:val="none" w:sz="0" w:space="0" w:color="auto"/>
            <w:bottom w:val="none" w:sz="0" w:space="0" w:color="auto"/>
            <w:right w:val="none" w:sz="0" w:space="0" w:color="auto"/>
          </w:divBdr>
        </w:div>
        <w:div w:id="2139948797">
          <w:marLeft w:val="0"/>
          <w:marRight w:val="0"/>
          <w:marTop w:val="0"/>
          <w:marBottom w:val="0"/>
          <w:divBdr>
            <w:top w:val="none" w:sz="0" w:space="0" w:color="auto"/>
            <w:left w:val="none" w:sz="0" w:space="0" w:color="auto"/>
            <w:bottom w:val="none" w:sz="0" w:space="0" w:color="auto"/>
            <w:right w:val="none" w:sz="0" w:space="0" w:color="auto"/>
          </w:divBdr>
        </w:div>
        <w:div w:id="636030697">
          <w:marLeft w:val="0"/>
          <w:marRight w:val="0"/>
          <w:marTop w:val="0"/>
          <w:marBottom w:val="0"/>
          <w:divBdr>
            <w:top w:val="none" w:sz="0" w:space="0" w:color="auto"/>
            <w:left w:val="none" w:sz="0" w:space="0" w:color="auto"/>
            <w:bottom w:val="none" w:sz="0" w:space="0" w:color="auto"/>
            <w:right w:val="none" w:sz="0" w:space="0" w:color="auto"/>
          </w:divBdr>
        </w:div>
        <w:div w:id="190345593">
          <w:marLeft w:val="0"/>
          <w:marRight w:val="0"/>
          <w:marTop w:val="0"/>
          <w:marBottom w:val="0"/>
          <w:divBdr>
            <w:top w:val="none" w:sz="0" w:space="0" w:color="auto"/>
            <w:left w:val="none" w:sz="0" w:space="0" w:color="auto"/>
            <w:bottom w:val="none" w:sz="0" w:space="0" w:color="auto"/>
            <w:right w:val="none" w:sz="0" w:space="0" w:color="auto"/>
          </w:divBdr>
        </w:div>
        <w:div w:id="1308701796">
          <w:marLeft w:val="0"/>
          <w:marRight w:val="0"/>
          <w:marTop w:val="0"/>
          <w:marBottom w:val="0"/>
          <w:divBdr>
            <w:top w:val="none" w:sz="0" w:space="0" w:color="auto"/>
            <w:left w:val="none" w:sz="0" w:space="0" w:color="auto"/>
            <w:bottom w:val="none" w:sz="0" w:space="0" w:color="auto"/>
            <w:right w:val="none" w:sz="0" w:space="0" w:color="auto"/>
          </w:divBdr>
        </w:div>
        <w:div w:id="1822963599">
          <w:marLeft w:val="0"/>
          <w:marRight w:val="0"/>
          <w:marTop w:val="0"/>
          <w:marBottom w:val="0"/>
          <w:divBdr>
            <w:top w:val="none" w:sz="0" w:space="0" w:color="auto"/>
            <w:left w:val="none" w:sz="0" w:space="0" w:color="auto"/>
            <w:bottom w:val="none" w:sz="0" w:space="0" w:color="auto"/>
            <w:right w:val="none" w:sz="0" w:space="0" w:color="auto"/>
          </w:divBdr>
        </w:div>
        <w:div w:id="2020348159">
          <w:marLeft w:val="0"/>
          <w:marRight w:val="0"/>
          <w:marTop w:val="0"/>
          <w:marBottom w:val="0"/>
          <w:divBdr>
            <w:top w:val="none" w:sz="0" w:space="0" w:color="auto"/>
            <w:left w:val="none" w:sz="0" w:space="0" w:color="auto"/>
            <w:bottom w:val="none" w:sz="0" w:space="0" w:color="auto"/>
            <w:right w:val="none" w:sz="0" w:space="0" w:color="auto"/>
          </w:divBdr>
        </w:div>
        <w:div w:id="636909209">
          <w:marLeft w:val="0"/>
          <w:marRight w:val="0"/>
          <w:marTop w:val="0"/>
          <w:marBottom w:val="0"/>
          <w:divBdr>
            <w:top w:val="none" w:sz="0" w:space="0" w:color="auto"/>
            <w:left w:val="none" w:sz="0" w:space="0" w:color="auto"/>
            <w:bottom w:val="none" w:sz="0" w:space="0" w:color="auto"/>
            <w:right w:val="none" w:sz="0" w:space="0" w:color="auto"/>
          </w:divBdr>
        </w:div>
        <w:div w:id="1902641348">
          <w:marLeft w:val="0"/>
          <w:marRight w:val="0"/>
          <w:marTop w:val="0"/>
          <w:marBottom w:val="0"/>
          <w:divBdr>
            <w:top w:val="none" w:sz="0" w:space="0" w:color="auto"/>
            <w:left w:val="none" w:sz="0" w:space="0" w:color="auto"/>
            <w:bottom w:val="none" w:sz="0" w:space="0" w:color="auto"/>
            <w:right w:val="none" w:sz="0" w:space="0" w:color="auto"/>
          </w:divBdr>
        </w:div>
        <w:div w:id="1765760746">
          <w:marLeft w:val="0"/>
          <w:marRight w:val="0"/>
          <w:marTop w:val="0"/>
          <w:marBottom w:val="0"/>
          <w:divBdr>
            <w:top w:val="none" w:sz="0" w:space="0" w:color="auto"/>
            <w:left w:val="none" w:sz="0" w:space="0" w:color="auto"/>
            <w:bottom w:val="none" w:sz="0" w:space="0" w:color="auto"/>
            <w:right w:val="none" w:sz="0" w:space="0" w:color="auto"/>
          </w:divBdr>
        </w:div>
        <w:div w:id="1233810090">
          <w:marLeft w:val="0"/>
          <w:marRight w:val="0"/>
          <w:marTop w:val="0"/>
          <w:marBottom w:val="0"/>
          <w:divBdr>
            <w:top w:val="none" w:sz="0" w:space="0" w:color="auto"/>
            <w:left w:val="none" w:sz="0" w:space="0" w:color="auto"/>
            <w:bottom w:val="none" w:sz="0" w:space="0" w:color="auto"/>
            <w:right w:val="none" w:sz="0" w:space="0" w:color="auto"/>
          </w:divBdr>
        </w:div>
        <w:div w:id="135992226">
          <w:marLeft w:val="0"/>
          <w:marRight w:val="0"/>
          <w:marTop w:val="0"/>
          <w:marBottom w:val="0"/>
          <w:divBdr>
            <w:top w:val="none" w:sz="0" w:space="0" w:color="auto"/>
            <w:left w:val="none" w:sz="0" w:space="0" w:color="auto"/>
            <w:bottom w:val="none" w:sz="0" w:space="0" w:color="auto"/>
            <w:right w:val="none" w:sz="0" w:space="0" w:color="auto"/>
          </w:divBdr>
        </w:div>
        <w:div w:id="679233443">
          <w:marLeft w:val="0"/>
          <w:marRight w:val="0"/>
          <w:marTop w:val="0"/>
          <w:marBottom w:val="0"/>
          <w:divBdr>
            <w:top w:val="none" w:sz="0" w:space="0" w:color="auto"/>
            <w:left w:val="none" w:sz="0" w:space="0" w:color="auto"/>
            <w:bottom w:val="none" w:sz="0" w:space="0" w:color="auto"/>
            <w:right w:val="none" w:sz="0" w:space="0" w:color="auto"/>
          </w:divBdr>
        </w:div>
        <w:div w:id="1444492284">
          <w:marLeft w:val="0"/>
          <w:marRight w:val="0"/>
          <w:marTop w:val="0"/>
          <w:marBottom w:val="0"/>
          <w:divBdr>
            <w:top w:val="none" w:sz="0" w:space="0" w:color="auto"/>
            <w:left w:val="none" w:sz="0" w:space="0" w:color="auto"/>
            <w:bottom w:val="none" w:sz="0" w:space="0" w:color="auto"/>
            <w:right w:val="none" w:sz="0" w:space="0" w:color="auto"/>
          </w:divBdr>
        </w:div>
      </w:divsChild>
    </w:div>
    <w:div w:id="1700399166">
      <w:bodyDiv w:val="1"/>
      <w:marLeft w:val="0"/>
      <w:marRight w:val="0"/>
      <w:marTop w:val="0"/>
      <w:marBottom w:val="0"/>
      <w:divBdr>
        <w:top w:val="none" w:sz="0" w:space="0" w:color="auto"/>
        <w:left w:val="none" w:sz="0" w:space="0" w:color="auto"/>
        <w:bottom w:val="none" w:sz="0" w:space="0" w:color="auto"/>
        <w:right w:val="none" w:sz="0" w:space="0" w:color="auto"/>
      </w:divBdr>
      <w:divsChild>
        <w:div w:id="447357964">
          <w:marLeft w:val="0"/>
          <w:marRight w:val="0"/>
          <w:marTop w:val="0"/>
          <w:marBottom w:val="0"/>
          <w:divBdr>
            <w:top w:val="none" w:sz="0" w:space="0" w:color="auto"/>
            <w:left w:val="none" w:sz="0" w:space="0" w:color="auto"/>
            <w:bottom w:val="none" w:sz="0" w:space="0" w:color="auto"/>
            <w:right w:val="none" w:sz="0" w:space="0" w:color="auto"/>
          </w:divBdr>
          <w:divsChild>
            <w:div w:id="811218084">
              <w:marLeft w:val="0"/>
              <w:marRight w:val="0"/>
              <w:marTop w:val="0"/>
              <w:marBottom w:val="0"/>
              <w:divBdr>
                <w:top w:val="none" w:sz="0" w:space="0" w:color="auto"/>
                <w:left w:val="none" w:sz="0" w:space="0" w:color="auto"/>
                <w:bottom w:val="none" w:sz="0" w:space="0" w:color="auto"/>
                <w:right w:val="none" w:sz="0" w:space="0" w:color="auto"/>
              </w:divBdr>
              <w:divsChild>
                <w:div w:id="1840271167">
                  <w:marLeft w:val="0"/>
                  <w:marRight w:val="0"/>
                  <w:marTop w:val="0"/>
                  <w:marBottom w:val="0"/>
                  <w:divBdr>
                    <w:top w:val="none" w:sz="0" w:space="0" w:color="auto"/>
                    <w:left w:val="none" w:sz="0" w:space="0" w:color="auto"/>
                    <w:bottom w:val="none" w:sz="0" w:space="0" w:color="auto"/>
                    <w:right w:val="none" w:sz="0" w:space="0" w:color="auto"/>
                  </w:divBdr>
                  <w:divsChild>
                    <w:div w:id="564754700">
                      <w:marLeft w:val="0"/>
                      <w:marRight w:val="0"/>
                      <w:marTop w:val="0"/>
                      <w:marBottom w:val="0"/>
                      <w:divBdr>
                        <w:top w:val="none" w:sz="0" w:space="0" w:color="auto"/>
                        <w:left w:val="none" w:sz="0" w:space="0" w:color="auto"/>
                        <w:bottom w:val="none" w:sz="0" w:space="0" w:color="auto"/>
                        <w:right w:val="none" w:sz="0" w:space="0" w:color="auto"/>
                      </w:divBdr>
                      <w:divsChild>
                        <w:div w:id="1943759423">
                          <w:marLeft w:val="0"/>
                          <w:marRight w:val="0"/>
                          <w:marTop w:val="45"/>
                          <w:marBottom w:val="0"/>
                          <w:divBdr>
                            <w:top w:val="none" w:sz="0" w:space="0" w:color="auto"/>
                            <w:left w:val="none" w:sz="0" w:space="0" w:color="auto"/>
                            <w:bottom w:val="none" w:sz="0" w:space="0" w:color="auto"/>
                            <w:right w:val="none" w:sz="0" w:space="0" w:color="auto"/>
                          </w:divBdr>
                          <w:divsChild>
                            <w:div w:id="1097142536">
                              <w:marLeft w:val="0"/>
                              <w:marRight w:val="0"/>
                              <w:marTop w:val="0"/>
                              <w:marBottom w:val="0"/>
                              <w:divBdr>
                                <w:top w:val="none" w:sz="0" w:space="0" w:color="auto"/>
                                <w:left w:val="none" w:sz="0" w:space="0" w:color="auto"/>
                                <w:bottom w:val="none" w:sz="0" w:space="0" w:color="auto"/>
                                <w:right w:val="none" w:sz="0" w:space="0" w:color="auto"/>
                              </w:divBdr>
                              <w:divsChild>
                                <w:div w:id="1710498043">
                                  <w:marLeft w:val="2070"/>
                                  <w:marRight w:val="3810"/>
                                  <w:marTop w:val="0"/>
                                  <w:marBottom w:val="0"/>
                                  <w:divBdr>
                                    <w:top w:val="none" w:sz="0" w:space="0" w:color="auto"/>
                                    <w:left w:val="none" w:sz="0" w:space="0" w:color="auto"/>
                                    <w:bottom w:val="none" w:sz="0" w:space="0" w:color="auto"/>
                                    <w:right w:val="none" w:sz="0" w:space="0" w:color="auto"/>
                                  </w:divBdr>
                                  <w:divsChild>
                                    <w:div w:id="537671450">
                                      <w:marLeft w:val="0"/>
                                      <w:marRight w:val="0"/>
                                      <w:marTop w:val="0"/>
                                      <w:marBottom w:val="0"/>
                                      <w:divBdr>
                                        <w:top w:val="none" w:sz="0" w:space="0" w:color="auto"/>
                                        <w:left w:val="none" w:sz="0" w:space="0" w:color="auto"/>
                                        <w:bottom w:val="none" w:sz="0" w:space="0" w:color="auto"/>
                                        <w:right w:val="none" w:sz="0" w:space="0" w:color="auto"/>
                                      </w:divBdr>
                                      <w:divsChild>
                                        <w:div w:id="1556039799">
                                          <w:marLeft w:val="0"/>
                                          <w:marRight w:val="0"/>
                                          <w:marTop w:val="0"/>
                                          <w:marBottom w:val="0"/>
                                          <w:divBdr>
                                            <w:top w:val="none" w:sz="0" w:space="0" w:color="auto"/>
                                            <w:left w:val="none" w:sz="0" w:space="0" w:color="auto"/>
                                            <w:bottom w:val="none" w:sz="0" w:space="0" w:color="auto"/>
                                            <w:right w:val="none" w:sz="0" w:space="0" w:color="auto"/>
                                          </w:divBdr>
                                          <w:divsChild>
                                            <w:div w:id="2035418375">
                                              <w:marLeft w:val="0"/>
                                              <w:marRight w:val="0"/>
                                              <w:marTop w:val="0"/>
                                              <w:marBottom w:val="0"/>
                                              <w:divBdr>
                                                <w:top w:val="none" w:sz="0" w:space="0" w:color="auto"/>
                                                <w:left w:val="none" w:sz="0" w:space="0" w:color="auto"/>
                                                <w:bottom w:val="none" w:sz="0" w:space="0" w:color="auto"/>
                                                <w:right w:val="none" w:sz="0" w:space="0" w:color="auto"/>
                                              </w:divBdr>
                                              <w:divsChild>
                                                <w:div w:id="1550729230">
                                                  <w:marLeft w:val="0"/>
                                                  <w:marRight w:val="0"/>
                                                  <w:marTop w:val="90"/>
                                                  <w:marBottom w:val="0"/>
                                                  <w:divBdr>
                                                    <w:top w:val="none" w:sz="0" w:space="0" w:color="auto"/>
                                                    <w:left w:val="none" w:sz="0" w:space="0" w:color="auto"/>
                                                    <w:bottom w:val="none" w:sz="0" w:space="0" w:color="auto"/>
                                                    <w:right w:val="none" w:sz="0" w:space="0" w:color="auto"/>
                                                  </w:divBdr>
                                                  <w:divsChild>
                                                    <w:div w:id="47534642">
                                                      <w:marLeft w:val="0"/>
                                                      <w:marRight w:val="0"/>
                                                      <w:marTop w:val="0"/>
                                                      <w:marBottom w:val="0"/>
                                                      <w:divBdr>
                                                        <w:top w:val="none" w:sz="0" w:space="0" w:color="auto"/>
                                                        <w:left w:val="none" w:sz="0" w:space="0" w:color="auto"/>
                                                        <w:bottom w:val="none" w:sz="0" w:space="0" w:color="auto"/>
                                                        <w:right w:val="none" w:sz="0" w:space="0" w:color="auto"/>
                                                      </w:divBdr>
                                                      <w:divsChild>
                                                        <w:div w:id="386346838">
                                                          <w:marLeft w:val="0"/>
                                                          <w:marRight w:val="0"/>
                                                          <w:marTop w:val="0"/>
                                                          <w:marBottom w:val="0"/>
                                                          <w:divBdr>
                                                            <w:top w:val="none" w:sz="0" w:space="0" w:color="auto"/>
                                                            <w:left w:val="none" w:sz="0" w:space="0" w:color="auto"/>
                                                            <w:bottom w:val="none" w:sz="0" w:space="0" w:color="auto"/>
                                                            <w:right w:val="none" w:sz="0" w:space="0" w:color="auto"/>
                                                          </w:divBdr>
                                                          <w:divsChild>
                                                            <w:div w:id="1486160970">
                                                              <w:marLeft w:val="0"/>
                                                              <w:marRight w:val="0"/>
                                                              <w:marTop w:val="0"/>
                                                              <w:marBottom w:val="390"/>
                                                              <w:divBdr>
                                                                <w:top w:val="none" w:sz="0" w:space="0" w:color="auto"/>
                                                                <w:left w:val="none" w:sz="0" w:space="0" w:color="auto"/>
                                                                <w:bottom w:val="none" w:sz="0" w:space="0" w:color="auto"/>
                                                                <w:right w:val="none" w:sz="0" w:space="0" w:color="auto"/>
                                                              </w:divBdr>
                                                              <w:divsChild>
                                                                <w:div w:id="1661036827">
                                                                  <w:marLeft w:val="0"/>
                                                                  <w:marRight w:val="0"/>
                                                                  <w:marTop w:val="0"/>
                                                                  <w:marBottom w:val="0"/>
                                                                  <w:divBdr>
                                                                    <w:top w:val="none" w:sz="0" w:space="0" w:color="auto"/>
                                                                    <w:left w:val="none" w:sz="0" w:space="0" w:color="auto"/>
                                                                    <w:bottom w:val="none" w:sz="0" w:space="0" w:color="auto"/>
                                                                    <w:right w:val="none" w:sz="0" w:space="0" w:color="auto"/>
                                                                  </w:divBdr>
                                                                  <w:divsChild>
                                                                    <w:div w:id="478691578">
                                                                      <w:marLeft w:val="0"/>
                                                                      <w:marRight w:val="0"/>
                                                                      <w:marTop w:val="0"/>
                                                                      <w:marBottom w:val="0"/>
                                                                      <w:divBdr>
                                                                        <w:top w:val="none" w:sz="0" w:space="0" w:color="auto"/>
                                                                        <w:left w:val="none" w:sz="0" w:space="0" w:color="auto"/>
                                                                        <w:bottom w:val="none" w:sz="0" w:space="0" w:color="auto"/>
                                                                        <w:right w:val="none" w:sz="0" w:space="0" w:color="auto"/>
                                                                      </w:divBdr>
                                                                      <w:divsChild>
                                                                        <w:div w:id="1015305286">
                                                                          <w:marLeft w:val="0"/>
                                                                          <w:marRight w:val="0"/>
                                                                          <w:marTop w:val="0"/>
                                                                          <w:marBottom w:val="0"/>
                                                                          <w:divBdr>
                                                                            <w:top w:val="none" w:sz="0" w:space="0" w:color="auto"/>
                                                                            <w:left w:val="none" w:sz="0" w:space="0" w:color="auto"/>
                                                                            <w:bottom w:val="none" w:sz="0" w:space="0" w:color="auto"/>
                                                                            <w:right w:val="none" w:sz="0" w:space="0" w:color="auto"/>
                                                                          </w:divBdr>
                                                                          <w:divsChild>
                                                                            <w:div w:id="239220454">
                                                                              <w:marLeft w:val="0"/>
                                                                              <w:marRight w:val="0"/>
                                                                              <w:marTop w:val="0"/>
                                                                              <w:marBottom w:val="0"/>
                                                                              <w:divBdr>
                                                                                <w:top w:val="none" w:sz="0" w:space="0" w:color="auto"/>
                                                                                <w:left w:val="none" w:sz="0" w:space="0" w:color="auto"/>
                                                                                <w:bottom w:val="none" w:sz="0" w:space="0" w:color="auto"/>
                                                                                <w:right w:val="none" w:sz="0" w:space="0" w:color="auto"/>
                                                                              </w:divBdr>
                                                                              <w:divsChild>
                                                                                <w:div w:id="948514773">
                                                                                  <w:marLeft w:val="0"/>
                                                                                  <w:marRight w:val="0"/>
                                                                                  <w:marTop w:val="0"/>
                                                                                  <w:marBottom w:val="0"/>
                                                                                  <w:divBdr>
                                                                                    <w:top w:val="none" w:sz="0" w:space="0" w:color="auto"/>
                                                                                    <w:left w:val="none" w:sz="0" w:space="0" w:color="auto"/>
                                                                                    <w:bottom w:val="none" w:sz="0" w:space="0" w:color="auto"/>
                                                                                    <w:right w:val="none" w:sz="0" w:space="0" w:color="auto"/>
                                                                                  </w:divBdr>
                                                                                  <w:divsChild>
                                                                                    <w:div w:id="272128918">
                                                                                      <w:marLeft w:val="0"/>
                                                                                      <w:marRight w:val="0"/>
                                                                                      <w:marTop w:val="0"/>
                                                                                      <w:marBottom w:val="0"/>
                                                                                      <w:divBdr>
                                                                                        <w:top w:val="none" w:sz="0" w:space="0" w:color="auto"/>
                                                                                        <w:left w:val="none" w:sz="0" w:space="0" w:color="auto"/>
                                                                                        <w:bottom w:val="none" w:sz="0" w:space="0" w:color="auto"/>
                                                                                        <w:right w:val="none" w:sz="0" w:space="0" w:color="auto"/>
                                                                                      </w:divBdr>
                                                                                      <w:divsChild>
                                                                                        <w:div w:id="794566852">
                                                                                          <w:marLeft w:val="0"/>
                                                                                          <w:marRight w:val="0"/>
                                                                                          <w:marTop w:val="0"/>
                                                                                          <w:marBottom w:val="0"/>
                                                                                          <w:divBdr>
                                                                                            <w:top w:val="none" w:sz="0" w:space="0" w:color="auto"/>
                                                                                            <w:left w:val="none" w:sz="0" w:space="0" w:color="auto"/>
                                                                                            <w:bottom w:val="none" w:sz="0" w:space="0" w:color="auto"/>
                                                                                            <w:right w:val="none" w:sz="0" w:space="0" w:color="auto"/>
                                                                                          </w:divBdr>
                                                                                          <w:divsChild>
                                                                                            <w:div w:id="1748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431708">
      <w:bodyDiv w:val="1"/>
      <w:marLeft w:val="30"/>
      <w:marRight w:val="30"/>
      <w:marTop w:val="0"/>
      <w:marBottom w:val="0"/>
      <w:divBdr>
        <w:top w:val="none" w:sz="0" w:space="0" w:color="auto"/>
        <w:left w:val="none" w:sz="0" w:space="0" w:color="auto"/>
        <w:bottom w:val="none" w:sz="0" w:space="0" w:color="auto"/>
        <w:right w:val="none" w:sz="0" w:space="0" w:color="auto"/>
      </w:divBdr>
      <w:divsChild>
        <w:div w:id="1766799227">
          <w:marLeft w:val="0"/>
          <w:marRight w:val="0"/>
          <w:marTop w:val="0"/>
          <w:marBottom w:val="0"/>
          <w:divBdr>
            <w:top w:val="none" w:sz="0" w:space="0" w:color="auto"/>
            <w:left w:val="none" w:sz="0" w:space="0" w:color="auto"/>
            <w:bottom w:val="none" w:sz="0" w:space="0" w:color="auto"/>
            <w:right w:val="none" w:sz="0" w:space="0" w:color="auto"/>
          </w:divBdr>
          <w:divsChild>
            <w:div w:id="354234034">
              <w:marLeft w:val="0"/>
              <w:marRight w:val="0"/>
              <w:marTop w:val="0"/>
              <w:marBottom w:val="0"/>
              <w:divBdr>
                <w:top w:val="none" w:sz="0" w:space="0" w:color="auto"/>
                <w:left w:val="none" w:sz="0" w:space="0" w:color="auto"/>
                <w:bottom w:val="none" w:sz="0" w:space="0" w:color="auto"/>
                <w:right w:val="none" w:sz="0" w:space="0" w:color="auto"/>
              </w:divBdr>
              <w:divsChild>
                <w:div w:id="1801922967">
                  <w:marLeft w:val="180"/>
                  <w:marRight w:val="0"/>
                  <w:marTop w:val="0"/>
                  <w:marBottom w:val="0"/>
                  <w:divBdr>
                    <w:top w:val="none" w:sz="0" w:space="0" w:color="auto"/>
                    <w:left w:val="none" w:sz="0" w:space="0" w:color="auto"/>
                    <w:bottom w:val="none" w:sz="0" w:space="0" w:color="auto"/>
                    <w:right w:val="none" w:sz="0" w:space="0" w:color="auto"/>
                  </w:divBdr>
                  <w:divsChild>
                    <w:div w:id="16920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oh.gov.cy/phs" TargetMode="Externa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2A29-569E-4B78-B9CB-4C630356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5306</Words>
  <Characters>28654</Characters>
  <Application>Microsoft Office Word</Application>
  <DocSecurity>0</DocSecurity>
  <Lines>238</Lines>
  <Paragraphs>67</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Part IB Summary of Product Characteristics</vt:lpstr>
      <vt:lpstr>Part IB Summary of Product Characteristics</vt:lpstr>
      <vt:lpstr>Part IB Summary of Product Characteristics</vt:lpstr>
    </vt:vector>
  </TitlesOfParts>
  <Company>Accenture</Company>
  <LinksUpToDate>false</LinksUpToDate>
  <CharactersWithSpaces>33893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IB Summary of Product Characteristics</dc:title>
  <dc:creator>ra.eu2</dc:creator>
  <cp:lastModifiedBy>User66</cp:lastModifiedBy>
  <cp:revision>7</cp:revision>
  <cp:lastPrinted>2018-04-10T07:17:00Z</cp:lastPrinted>
  <dcterms:created xsi:type="dcterms:W3CDTF">2018-03-29T07:21:00Z</dcterms:created>
  <dcterms:modified xsi:type="dcterms:W3CDTF">2018-04-10T07:18:00Z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