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AA" w:rsidRDefault="006E4B73" w:rsidP="00046B36">
      <w:pPr>
        <w:pStyle w:val="a3"/>
        <w:jc w:val="both"/>
        <w:rPr>
          <w:sz w:val="20"/>
        </w:rPr>
      </w:pPr>
      <w:r>
        <w:rPr>
          <w:sz w:val="20"/>
        </w:rPr>
        <w:t xml:space="preserve"> </w:t>
      </w: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jc w:val="both"/>
        <w:rPr>
          <w:sz w:val="20"/>
        </w:rPr>
      </w:pPr>
    </w:p>
    <w:p w:rsidR="00A56FAA" w:rsidRDefault="00A56FAA" w:rsidP="00046B36">
      <w:pPr>
        <w:pStyle w:val="a3"/>
        <w:spacing w:before="10"/>
        <w:jc w:val="both"/>
        <w:rPr>
          <w:sz w:val="18"/>
        </w:rPr>
      </w:pPr>
    </w:p>
    <w:p w:rsidR="00A56FAA" w:rsidRPr="005C1C4A" w:rsidRDefault="00A56FAA" w:rsidP="00046B36">
      <w:pPr>
        <w:pStyle w:val="a3"/>
        <w:spacing w:before="1"/>
        <w:jc w:val="both"/>
        <w:rPr>
          <w:b/>
          <w:sz w:val="23"/>
          <w:lang w:val="el-GR"/>
        </w:rPr>
      </w:pPr>
      <w:bookmarkStart w:id="0" w:name="ΠΕΡΙΛΗΨΗ_ΤΩΝ_ΧΑΡΑΚΤΗΡΙΣΤΙΚΩΝ_ΤΟΥ_ΠΡΟΪΟΝΤ"/>
      <w:bookmarkEnd w:id="0"/>
    </w:p>
    <w:p w:rsidR="00A56FAA" w:rsidRPr="005C1C4A" w:rsidRDefault="005C1C4A" w:rsidP="00046B36">
      <w:pPr>
        <w:ind w:left="1765"/>
        <w:jc w:val="both"/>
        <w:rPr>
          <w:b/>
          <w:lang w:val="el-GR"/>
        </w:rPr>
      </w:pPr>
      <w:r w:rsidRPr="005C1C4A">
        <w:rPr>
          <w:b/>
          <w:lang w:val="el-GR"/>
        </w:rPr>
        <w:t>ΠΕΡΙΛΗΨΗ ΤΩΝ ΧΑΡΑΚΤΗΡΙΣΤΙΚΩΝ ΤΟΥ ΠΡΟΪΟΝΤΟΣ</w:t>
      </w:r>
    </w:p>
    <w:p w:rsidR="00A56FAA" w:rsidRPr="005C1C4A" w:rsidRDefault="00A56FAA" w:rsidP="00046B36">
      <w:pPr>
        <w:jc w:val="both"/>
        <w:rPr>
          <w:lang w:val="el-GR"/>
        </w:rPr>
        <w:sectPr w:rsidR="00A56FAA" w:rsidRPr="005C1C4A">
          <w:footerReference w:type="default" r:id="rId8"/>
          <w:type w:val="continuous"/>
          <w:pgSz w:w="11910" w:h="16840"/>
          <w:pgMar w:top="1580" w:right="1180" w:bottom="900" w:left="1200" w:header="720" w:footer="714" w:gutter="0"/>
          <w:pgNumType w:start="1"/>
          <w:cols w:space="720"/>
        </w:sectPr>
      </w:pPr>
    </w:p>
    <w:p w:rsidR="00A56FAA" w:rsidRDefault="005C1C4A" w:rsidP="00046B36">
      <w:pPr>
        <w:pStyle w:val="a4"/>
        <w:numPr>
          <w:ilvl w:val="0"/>
          <w:numId w:val="17"/>
        </w:numPr>
        <w:tabs>
          <w:tab w:val="left" w:pos="784"/>
          <w:tab w:val="left" w:pos="785"/>
        </w:tabs>
        <w:spacing w:before="65"/>
        <w:jc w:val="both"/>
        <w:rPr>
          <w:b/>
        </w:rPr>
      </w:pPr>
      <w:r>
        <w:rPr>
          <w:b/>
        </w:rPr>
        <w:lastRenderedPageBreak/>
        <w:t>ΟΝΟΜΑΣΙΑ ΤΟΥ ΦΑΡΜΑΚΕΥΤΙΚΟΥ ΠΡΟΪΟΝΤΟΣ</w:t>
      </w:r>
    </w:p>
    <w:p w:rsidR="00A56FAA" w:rsidRDefault="00A56FAA" w:rsidP="00046B36">
      <w:pPr>
        <w:pStyle w:val="a3"/>
        <w:spacing w:before="7"/>
        <w:jc w:val="both"/>
        <w:rPr>
          <w:b/>
        </w:rPr>
      </w:pPr>
    </w:p>
    <w:p w:rsidR="00A56FAA" w:rsidRPr="005C1C4A" w:rsidRDefault="00B20484" w:rsidP="00046B36">
      <w:pPr>
        <w:pStyle w:val="a3"/>
        <w:ind w:left="218"/>
        <w:jc w:val="both"/>
        <w:rPr>
          <w:lang w:val="el-GR"/>
        </w:rPr>
      </w:pPr>
      <w:r>
        <w:t>SINVIA</w:t>
      </w:r>
      <w:r w:rsidR="005C1C4A" w:rsidRPr="005C1C4A">
        <w:rPr>
          <w:lang w:val="el-GR"/>
        </w:rPr>
        <w:t xml:space="preserve"> 25 </w:t>
      </w:r>
      <w:r w:rsidR="005C1C4A">
        <w:t>mg</w:t>
      </w:r>
      <w:r w:rsidR="005C1C4A" w:rsidRPr="005C1C4A">
        <w:rPr>
          <w:lang w:val="el-GR"/>
        </w:rPr>
        <w:t xml:space="preserve"> επικαλυμμένα με λεπτό υμένιο δισκία</w:t>
      </w:r>
    </w:p>
    <w:p w:rsidR="00A56FAA" w:rsidRPr="006E4B73" w:rsidRDefault="00A56FAA" w:rsidP="00046B36">
      <w:pPr>
        <w:pStyle w:val="a3"/>
        <w:spacing w:before="1"/>
        <w:jc w:val="both"/>
        <w:rPr>
          <w:lang w:val="el-GR"/>
        </w:rPr>
      </w:pPr>
    </w:p>
    <w:p w:rsidR="00A56FAA" w:rsidRDefault="005C1C4A" w:rsidP="00046B36">
      <w:pPr>
        <w:pStyle w:val="1"/>
        <w:numPr>
          <w:ilvl w:val="0"/>
          <w:numId w:val="17"/>
        </w:numPr>
        <w:tabs>
          <w:tab w:val="left" w:pos="784"/>
          <w:tab w:val="left" w:pos="785"/>
        </w:tabs>
        <w:jc w:val="both"/>
      </w:pPr>
      <w:r>
        <w:t>ΠΟΙΟΤΙΚΗ ΚΑΙ ΠΟΣΟΤΙΚΗ ΣΥΝΘΕΣΗ</w:t>
      </w:r>
    </w:p>
    <w:p w:rsidR="00A56FAA" w:rsidRDefault="00A56FAA" w:rsidP="00046B36">
      <w:pPr>
        <w:pStyle w:val="a3"/>
        <w:spacing w:before="7"/>
        <w:jc w:val="both"/>
        <w:rPr>
          <w:b/>
        </w:rPr>
      </w:pPr>
    </w:p>
    <w:p w:rsidR="0080628E" w:rsidRDefault="005C1C4A" w:rsidP="00046B36">
      <w:pPr>
        <w:pStyle w:val="a3"/>
        <w:spacing w:line="491" w:lineRule="auto"/>
        <w:ind w:left="218"/>
        <w:jc w:val="both"/>
        <w:rPr>
          <w:lang w:val="el-GR"/>
        </w:rPr>
      </w:pPr>
      <w:r w:rsidRPr="005C1C4A">
        <w:rPr>
          <w:lang w:val="el-GR"/>
        </w:rPr>
        <w:t xml:space="preserve">Κάθε δισκίο περιέχει μονοϋδρική </w:t>
      </w:r>
      <w:r w:rsidR="00B20484">
        <w:rPr>
          <w:lang w:val="el-GR"/>
        </w:rPr>
        <w:t xml:space="preserve">υδροχλωρική </w:t>
      </w:r>
      <w:r w:rsidRPr="005C1C4A">
        <w:rPr>
          <w:lang w:val="el-GR"/>
        </w:rPr>
        <w:t xml:space="preserve">σιταγλιπτίνη, ισοδύναμη με 25 </w:t>
      </w:r>
      <w:r>
        <w:t>mg</w:t>
      </w:r>
      <w:r w:rsidRPr="005C1C4A">
        <w:rPr>
          <w:lang w:val="el-GR"/>
        </w:rPr>
        <w:t xml:space="preserve"> σιταγλιπτίνης. </w:t>
      </w:r>
    </w:p>
    <w:p w:rsidR="00B20484" w:rsidRPr="00B20484" w:rsidRDefault="005C1C4A" w:rsidP="00046B36">
      <w:pPr>
        <w:pStyle w:val="a3"/>
        <w:spacing w:line="491" w:lineRule="auto"/>
        <w:ind w:left="218"/>
        <w:jc w:val="both"/>
        <w:rPr>
          <w:lang w:val="el-GR"/>
        </w:rPr>
      </w:pPr>
      <w:r w:rsidRPr="00B20484">
        <w:rPr>
          <w:lang w:val="el-GR"/>
        </w:rPr>
        <w:t>Για τον πλήρη κατάλογο των εκδόχων, βλ. παράγραφο 6.1.</w:t>
      </w:r>
    </w:p>
    <w:p w:rsidR="00A56FAA" w:rsidRDefault="005C1C4A" w:rsidP="00046B36">
      <w:pPr>
        <w:pStyle w:val="1"/>
        <w:numPr>
          <w:ilvl w:val="0"/>
          <w:numId w:val="17"/>
        </w:numPr>
        <w:tabs>
          <w:tab w:val="left" w:pos="784"/>
          <w:tab w:val="left" w:pos="785"/>
        </w:tabs>
        <w:jc w:val="both"/>
      </w:pPr>
      <w:r>
        <w:t>ΦΑΡΜΑΚΟΤΕΧΝΙΚΗ ΜΟΡΦΗ</w:t>
      </w:r>
    </w:p>
    <w:p w:rsidR="00A56FAA" w:rsidRDefault="00A56FAA" w:rsidP="00046B36">
      <w:pPr>
        <w:pStyle w:val="a3"/>
        <w:spacing w:before="8"/>
        <w:jc w:val="both"/>
        <w:rPr>
          <w:b/>
        </w:rPr>
      </w:pPr>
    </w:p>
    <w:p w:rsidR="00A56FAA" w:rsidRPr="005C1C4A" w:rsidRDefault="005C1C4A" w:rsidP="00046B36">
      <w:pPr>
        <w:pStyle w:val="a3"/>
        <w:ind w:left="218"/>
        <w:jc w:val="both"/>
        <w:rPr>
          <w:lang w:val="el-GR"/>
        </w:rPr>
      </w:pPr>
      <w:r w:rsidRPr="005C1C4A">
        <w:rPr>
          <w:lang w:val="el-GR"/>
        </w:rPr>
        <w:t xml:space="preserve">Επικαλυμμένο με </w:t>
      </w:r>
      <w:r w:rsidR="00B20484">
        <w:rPr>
          <w:lang w:val="el-GR"/>
        </w:rPr>
        <w:t>λεπτό υμένιο δισκίο</w:t>
      </w:r>
    </w:p>
    <w:p w:rsidR="00A56FAA" w:rsidRPr="005C1C4A" w:rsidRDefault="00A56FAA" w:rsidP="00046B36">
      <w:pPr>
        <w:pStyle w:val="a3"/>
        <w:jc w:val="both"/>
        <w:rPr>
          <w:sz w:val="23"/>
          <w:lang w:val="el-GR"/>
        </w:rPr>
      </w:pPr>
    </w:p>
    <w:p w:rsidR="00A56FAA" w:rsidRPr="00B20484" w:rsidRDefault="005C1C4A" w:rsidP="00046B36">
      <w:pPr>
        <w:pStyle w:val="a3"/>
        <w:spacing w:before="1"/>
        <w:ind w:left="218"/>
        <w:jc w:val="both"/>
        <w:rPr>
          <w:lang w:val="el-GR"/>
        </w:rPr>
      </w:pPr>
      <w:r w:rsidRPr="005C1C4A">
        <w:rPr>
          <w:lang w:val="el-GR"/>
        </w:rPr>
        <w:t>Στρογγυλό, ροζ</w:t>
      </w:r>
      <w:r w:rsidR="00543ADB" w:rsidRPr="00543ADB">
        <w:rPr>
          <w:lang w:val="el-GR"/>
        </w:rPr>
        <w:t>,</w:t>
      </w:r>
      <w:r w:rsidRPr="005C1C4A">
        <w:rPr>
          <w:lang w:val="el-GR"/>
        </w:rPr>
        <w:t xml:space="preserve"> επικαλυμμένο με λεπτό υμένιο δισκίο </w:t>
      </w:r>
      <w:r w:rsidR="00B20484">
        <w:rPr>
          <w:lang w:val="el-GR"/>
        </w:rPr>
        <w:t>διαμέτρου περίπου 6,3</w:t>
      </w:r>
      <w:r w:rsidR="00B20484">
        <w:t>mm</w:t>
      </w:r>
      <w:r w:rsidR="00B20484" w:rsidRPr="00B20484">
        <w:rPr>
          <w:lang w:val="el-GR"/>
        </w:rPr>
        <w:t>.</w:t>
      </w:r>
    </w:p>
    <w:p w:rsidR="00A56FAA" w:rsidRPr="005C1C4A" w:rsidRDefault="00A56FAA" w:rsidP="00046B36">
      <w:pPr>
        <w:pStyle w:val="a3"/>
        <w:jc w:val="both"/>
        <w:rPr>
          <w:lang w:val="el-GR"/>
        </w:rPr>
      </w:pPr>
    </w:p>
    <w:p w:rsidR="00A56FAA" w:rsidRDefault="005C1C4A" w:rsidP="00046B36">
      <w:pPr>
        <w:pStyle w:val="1"/>
        <w:numPr>
          <w:ilvl w:val="0"/>
          <w:numId w:val="17"/>
        </w:numPr>
        <w:tabs>
          <w:tab w:val="left" w:pos="784"/>
          <w:tab w:val="left" w:pos="785"/>
        </w:tabs>
        <w:jc w:val="both"/>
      </w:pPr>
      <w:r>
        <w:t>ΚΛΙΝΙΚΕΣ</w:t>
      </w:r>
      <w:r>
        <w:rPr>
          <w:spacing w:val="1"/>
        </w:rPr>
        <w:t xml:space="preserve"> </w:t>
      </w:r>
      <w:r>
        <w:t>ΠΛΗΡΟΦΟΡΙΕΣ</w:t>
      </w:r>
    </w:p>
    <w:p w:rsidR="00A56FAA" w:rsidRDefault="00A56FAA" w:rsidP="00046B36">
      <w:pPr>
        <w:pStyle w:val="a3"/>
        <w:spacing w:before="1"/>
        <w:jc w:val="both"/>
        <w:rPr>
          <w:b/>
          <w:sz w:val="23"/>
        </w:rPr>
      </w:pPr>
    </w:p>
    <w:p w:rsidR="00A56FAA" w:rsidRDefault="005C1C4A" w:rsidP="00046B36">
      <w:pPr>
        <w:pStyle w:val="a4"/>
        <w:numPr>
          <w:ilvl w:val="1"/>
          <w:numId w:val="17"/>
        </w:numPr>
        <w:tabs>
          <w:tab w:val="left" w:pos="784"/>
          <w:tab w:val="left" w:pos="785"/>
        </w:tabs>
        <w:jc w:val="both"/>
        <w:rPr>
          <w:b/>
        </w:rPr>
      </w:pPr>
      <w:r>
        <w:rPr>
          <w:b/>
        </w:rPr>
        <w:t>Θεραπευτικές</w:t>
      </w:r>
      <w:r>
        <w:rPr>
          <w:b/>
          <w:spacing w:val="-1"/>
        </w:rPr>
        <w:t xml:space="preserve"> </w:t>
      </w:r>
      <w:r>
        <w:rPr>
          <w:b/>
        </w:rPr>
        <w:t>ενδείξεις</w:t>
      </w:r>
    </w:p>
    <w:p w:rsidR="00A56FAA" w:rsidRDefault="00A56FAA" w:rsidP="00046B36">
      <w:pPr>
        <w:pStyle w:val="a3"/>
        <w:spacing w:before="8"/>
        <w:jc w:val="both"/>
        <w:rPr>
          <w:b/>
        </w:rPr>
      </w:pPr>
    </w:p>
    <w:p w:rsidR="00A56FAA" w:rsidRPr="005C1C4A" w:rsidRDefault="005C1C4A" w:rsidP="00046B36">
      <w:pPr>
        <w:pStyle w:val="a3"/>
        <w:spacing w:line="244" w:lineRule="auto"/>
        <w:ind w:left="218"/>
        <w:jc w:val="both"/>
        <w:rPr>
          <w:lang w:val="el-GR"/>
        </w:rPr>
      </w:pPr>
      <w:r w:rsidRPr="005C1C4A">
        <w:rPr>
          <w:lang w:val="el-GR"/>
        </w:rPr>
        <w:t xml:space="preserve">Σε ενήλικες ασθενείς με σακχαρώδη διαβήτη τύπου 2, το </w:t>
      </w:r>
      <w:r w:rsidR="00B20484">
        <w:t>SINVIA</w:t>
      </w:r>
      <w:r w:rsidRPr="005C1C4A">
        <w:rPr>
          <w:lang w:val="el-GR"/>
        </w:rPr>
        <w:t xml:space="preserve"> ενδείκνυται για τη βελτίωση του γλυκαιμικού ελέγχου:</w:t>
      </w:r>
    </w:p>
    <w:p w:rsidR="00A56FAA" w:rsidRPr="005C1C4A" w:rsidRDefault="00A56FAA" w:rsidP="00046B36">
      <w:pPr>
        <w:pStyle w:val="a3"/>
        <w:spacing w:before="8"/>
        <w:jc w:val="both"/>
        <w:rPr>
          <w:lang w:val="el-GR"/>
        </w:rPr>
      </w:pPr>
    </w:p>
    <w:p w:rsidR="00A56FAA" w:rsidRDefault="00B20484" w:rsidP="00046B36">
      <w:pPr>
        <w:pStyle w:val="a3"/>
        <w:ind w:left="218"/>
        <w:jc w:val="both"/>
      </w:pPr>
      <w:r>
        <w:rPr>
          <w:lang w:val="el-GR"/>
        </w:rPr>
        <w:t>Ω</w:t>
      </w:r>
      <w:r w:rsidR="005C1C4A">
        <w:t>ς μονοθεραπεία:</w:t>
      </w:r>
    </w:p>
    <w:p w:rsidR="00A56FAA" w:rsidRDefault="00A56FAA" w:rsidP="00046B36">
      <w:pPr>
        <w:pStyle w:val="a3"/>
        <w:jc w:val="both"/>
        <w:rPr>
          <w:sz w:val="23"/>
        </w:rPr>
      </w:pPr>
    </w:p>
    <w:p w:rsidR="00A56FAA" w:rsidRPr="005C1C4A" w:rsidRDefault="005C1C4A" w:rsidP="00046B36">
      <w:pPr>
        <w:pStyle w:val="a4"/>
        <w:numPr>
          <w:ilvl w:val="0"/>
          <w:numId w:val="16"/>
        </w:numPr>
        <w:tabs>
          <w:tab w:val="left" w:pos="784"/>
          <w:tab w:val="left" w:pos="785"/>
        </w:tabs>
        <w:spacing w:line="244" w:lineRule="auto"/>
        <w:jc w:val="both"/>
        <w:rPr>
          <w:lang w:val="el-GR"/>
        </w:rPr>
      </w:pPr>
      <w:r w:rsidRPr="005C1C4A">
        <w:rPr>
          <w:lang w:val="el-GR"/>
        </w:rPr>
        <w:t>σε ασθενείς που δεν ελέγχονται επαρκώς με δίαιτα και άσκηση μόνον και για τους οποίους η μετφορμίνη δεν είναι κατάλληλη λόγω αντενδείξεων ή μη</w:t>
      </w:r>
      <w:r w:rsidRPr="005C1C4A">
        <w:rPr>
          <w:spacing w:val="4"/>
          <w:lang w:val="el-GR"/>
        </w:rPr>
        <w:t xml:space="preserve"> </w:t>
      </w:r>
      <w:r w:rsidRPr="005C1C4A">
        <w:rPr>
          <w:lang w:val="el-GR"/>
        </w:rPr>
        <w:t>ανεκτικότητας.</w:t>
      </w:r>
    </w:p>
    <w:p w:rsidR="00A56FAA" w:rsidRPr="005C1C4A" w:rsidRDefault="00A56FAA" w:rsidP="00046B36">
      <w:pPr>
        <w:pStyle w:val="a3"/>
        <w:spacing w:before="7"/>
        <w:jc w:val="both"/>
        <w:rPr>
          <w:lang w:val="el-GR"/>
        </w:rPr>
      </w:pPr>
    </w:p>
    <w:p w:rsidR="00A56FAA" w:rsidRPr="005C1C4A" w:rsidRDefault="00B20484" w:rsidP="00046B36">
      <w:pPr>
        <w:pStyle w:val="a3"/>
        <w:ind w:left="218"/>
        <w:jc w:val="both"/>
        <w:rPr>
          <w:lang w:val="el-GR"/>
        </w:rPr>
      </w:pPr>
      <w:r>
        <w:rPr>
          <w:lang w:val="el-GR"/>
        </w:rPr>
        <w:t>Ω</w:t>
      </w:r>
      <w:r w:rsidR="005C1C4A" w:rsidRPr="005C1C4A">
        <w:rPr>
          <w:lang w:val="el-GR"/>
        </w:rPr>
        <w:t>ς διπλή από του στόματος χορηγούμενη θεραπεία σε συνδυασμό με:</w:t>
      </w:r>
    </w:p>
    <w:p w:rsidR="00A56FAA" w:rsidRPr="005C1C4A" w:rsidRDefault="00A56FAA" w:rsidP="00046B36">
      <w:pPr>
        <w:pStyle w:val="a3"/>
        <w:jc w:val="both"/>
        <w:rPr>
          <w:sz w:val="23"/>
          <w:lang w:val="el-GR"/>
        </w:rPr>
      </w:pPr>
    </w:p>
    <w:p w:rsidR="00A56FAA" w:rsidRPr="005C1C4A" w:rsidRDefault="005C1C4A" w:rsidP="00046B36">
      <w:pPr>
        <w:pStyle w:val="a4"/>
        <w:numPr>
          <w:ilvl w:val="0"/>
          <w:numId w:val="16"/>
        </w:numPr>
        <w:tabs>
          <w:tab w:val="left" w:pos="784"/>
          <w:tab w:val="left" w:pos="785"/>
        </w:tabs>
        <w:spacing w:line="244" w:lineRule="auto"/>
        <w:jc w:val="both"/>
        <w:rPr>
          <w:lang w:val="el-GR"/>
        </w:rPr>
      </w:pPr>
      <w:r w:rsidRPr="005C1C4A">
        <w:rPr>
          <w:lang w:val="el-GR"/>
        </w:rPr>
        <w:t>μετφορμίνη όταν η δίαιτα και η άσκηση μαζί με μετφορμίνη μόνο δεν παρέχουν επαρκή γλυκαιμικό έλεγχο.</w:t>
      </w:r>
    </w:p>
    <w:p w:rsidR="00A56FAA" w:rsidRPr="005C1C4A" w:rsidRDefault="00A56FAA" w:rsidP="00046B36">
      <w:pPr>
        <w:pStyle w:val="a3"/>
        <w:spacing w:before="6"/>
        <w:jc w:val="both"/>
        <w:rPr>
          <w:lang w:val="el-GR"/>
        </w:rPr>
      </w:pPr>
    </w:p>
    <w:p w:rsidR="00A56FAA" w:rsidRPr="005C1C4A" w:rsidRDefault="005C1C4A" w:rsidP="00046B36">
      <w:pPr>
        <w:pStyle w:val="a4"/>
        <w:numPr>
          <w:ilvl w:val="0"/>
          <w:numId w:val="16"/>
        </w:numPr>
        <w:tabs>
          <w:tab w:val="left" w:pos="784"/>
          <w:tab w:val="left" w:pos="785"/>
        </w:tabs>
        <w:spacing w:line="244" w:lineRule="auto"/>
        <w:jc w:val="both"/>
        <w:rPr>
          <w:lang w:val="el-GR"/>
        </w:rPr>
      </w:pPr>
      <w:r w:rsidRPr="005C1C4A">
        <w:rPr>
          <w:lang w:val="el-GR"/>
        </w:rPr>
        <w:t>μία σουλφονυλουρία όταν η δίαιτα και η άσκηση μαζί με την μέγιστη ανεκτή δόση μιας σουλφονυλουρίας μόνο δεν παρέχουν επαρκή γλυκαιμικό έλεγχο και όταν η μετφορμίνη δεν είναι κατάλληλη, λόγω αντενδείξεων ή μη</w:t>
      </w:r>
      <w:r w:rsidRPr="005C1C4A">
        <w:rPr>
          <w:spacing w:val="1"/>
          <w:lang w:val="el-GR"/>
        </w:rPr>
        <w:t xml:space="preserve"> </w:t>
      </w:r>
      <w:r w:rsidRPr="005C1C4A">
        <w:rPr>
          <w:lang w:val="el-GR"/>
        </w:rPr>
        <w:t>ανεκτικότητας.</w:t>
      </w:r>
    </w:p>
    <w:p w:rsidR="00A56FAA" w:rsidRPr="005C1C4A" w:rsidRDefault="00A56FAA" w:rsidP="00046B36">
      <w:pPr>
        <w:pStyle w:val="a3"/>
        <w:spacing w:before="7"/>
        <w:jc w:val="both"/>
        <w:rPr>
          <w:lang w:val="el-GR"/>
        </w:rPr>
      </w:pPr>
    </w:p>
    <w:p w:rsidR="00A56FAA" w:rsidRPr="005C1C4A" w:rsidRDefault="005C1C4A" w:rsidP="00046B36">
      <w:pPr>
        <w:pStyle w:val="a4"/>
        <w:numPr>
          <w:ilvl w:val="0"/>
          <w:numId w:val="16"/>
        </w:numPr>
        <w:tabs>
          <w:tab w:val="left" w:pos="784"/>
          <w:tab w:val="left" w:pos="785"/>
        </w:tabs>
        <w:spacing w:line="244" w:lineRule="auto"/>
        <w:jc w:val="both"/>
        <w:rPr>
          <w:lang w:val="el-GR"/>
        </w:rPr>
      </w:pPr>
      <w:r w:rsidRPr="005C1C4A">
        <w:rPr>
          <w:lang w:val="el-GR"/>
        </w:rPr>
        <w:t>έναν ενεργοποιημένο υποδοχέα του γάμα (</w:t>
      </w:r>
      <w:r>
        <w:t>PPAR</w:t>
      </w:r>
      <w:r w:rsidRPr="005C1C4A">
        <w:rPr>
          <w:lang w:val="el-GR"/>
        </w:rPr>
        <w:t xml:space="preserve">γ) αγωνιστή που επάγει τον πολλαπλασιασμό των υπεροξεισωμάτων (π.χ. μία θειαζολιδινεδιόνη), όταν η χρήση ενός </w:t>
      </w:r>
      <w:r>
        <w:t>PPAR</w:t>
      </w:r>
      <w:r w:rsidRPr="005C1C4A">
        <w:rPr>
          <w:lang w:val="el-GR"/>
        </w:rPr>
        <w:t xml:space="preserve">γ αγωνιστή είναι κατάλληλη και όταν η δίαιτα και η άσκηση μαζί με τον </w:t>
      </w:r>
      <w:r>
        <w:t>PPAR</w:t>
      </w:r>
      <w:r w:rsidRPr="005C1C4A">
        <w:rPr>
          <w:lang w:val="el-GR"/>
        </w:rPr>
        <w:t>γ αγωνιστή μόνο δεν παρέχουν επαρκή γλυκαιμικό έλεγχο.</w:t>
      </w:r>
    </w:p>
    <w:p w:rsidR="00A56FAA" w:rsidRPr="005C1C4A" w:rsidRDefault="00A56FAA" w:rsidP="00046B36">
      <w:pPr>
        <w:pStyle w:val="a3"/>
        <w:spacing w:before="10"/>
        <w:jc w:val="both"/>
        <w:rPr>
          <w:lang w:val="el-GR"/>
        </w:rPr>
      </w:pPr>
    </w:p>
    <w:p w:rsidR="00A56FAA" w:rsidRPr="005C1C4A" w:rsidRDefault="00A000A7" w:rsidP="00046B36">
      <w:pPr>
        <w:pStyle w:val="a3"/>
        <w:ind w:left="218"/>
        <w:jc w:val="both"/>
        <w:rPr>
          <w:lang w:val="el-GR"/>
        </w:rPr>
      </w:pPr>
      <w:r>
        <w:rPr>
          <w:lang w:val="el-GR"/>
        </w:rPr>
        <w:t>Ω</w:t>
      </w:r>
      <w:r w:rsidR="005C1C4A" w:rsidRPr="005C1C4A">
        <w:rPr>
          <w:lang w:val="el-GR"/>
        </w:rPr>
        <w:t>ς τριπλή από του στόματος χορηγούμενη θεραπεία σε συνδυασμό με:</w:t>
      </w:r>
    </w:p>
    <w:p w:rsidR="00A56FAA" w:rsidRPr="005C1C4A" w:rsidRDefault="00A56FAA" w:rsidP="00046B36">
      <w:pPr>
        <w:pStyle w:val="a3"/>
        <w:spacing w:before="11"/>
        <w:jc w:val="both"/>
        <w:rPr>
          <w:lang w:val="el-GR"/>
        </w:rPr>
      </w:pPr>
    </w:p>
    <w:p w:rsidR="00A56FAA" w:rsidRPr="005C1C4A" w:rsidRDefault="005C1C4A" w:rsidP="00046B36">
      <w:pPr>
        <w:pStyle w:val="a4"/>
        <w:numPr>
          <w:ilvl w:val="0"/>
          <w:numId w:val="16"/>
        </w:numPr>
        <w:tabs>
          <w:tab w:val="left" w:pos="784"/>
          <w:tab w:val="left" w:pos="785"/>
        </w:tabs>
        <w:spacing w:line="244" w:lineRule="auto"/>
        <w:jc w:val="both"/>
        <w:rPr>
          <w:lang w:val="el-GR"/>
        </w:rPr>
      </w:pPr>
      <w:r w:rsidRPr="005C1C4A">
        <w:rPr>
          <w:lang w:val="el-GR"/>
        </w:rPr>
        <w:t>μία σουλφονυλουρία και μετφορμίνη όταν η δίαιτα και η άσκηση μαζί με τη διπλή θεραπεία με αυτά τα φαρμακευτικά προϊόντα δεν παρέχουν επαρκή γλυκαιμικό</w:t>
      </w:r>
      <w:r w:rsidRPr="005C1C4A">
        <w:rPr>
          <w:spacing w:val="4"/>
          <w:lang w:val="el-GR"/>
        </w:rPr>
        <w:t xml:space="preserve"> </w:t>
      </w:r>
      <w:r w:rsidRPr="005C1C4A">
        <w:rPr>
          <w:lang w:val="el-GR"/>
        </w:rPr>
        <w:t>έλεγχο.</w:t>
      </w:r>
    </w:p>
    <w:p w:rsidR="00A56FAA" w:rsidRPr="005C1C4A" w:rsidRDefault="00A56FAA" w:rsidP="00046B36">
      <w:pPr>
        <w:pStyle w:val="a3"/>
        <w:spacing w:before="6"/>
        <w:jc w:val="both"/>
        <w:rPr>
          <w:lang w:val="el-GR"/>
        </w:rPr>
      </w:pPr>
    </w:p>
    <w:p w:rsidR="00A56FAA" w:rsidRPr="005C1C4A" w:rsidRDefault="005C1C4A" w:rsidP="00046B36">
      <w:pPr>
        <w:pStyle w:val="a4"/>
        <w:numPr>
          <w:ilvl w:val="0"/>
          <w:numId w:val="16"/>
        </w:numPr>
        <w:tabs>
          <w:tab w:val="left" w:pos="785"/>
        </w:tabs>
        <w:spacing w:line="244" w:lineRule="auto"/>
        <w:jc w:val="both"/>
        <w:rPr>
          <w:lang w:val="el-GR"/>
        </w:rPr>
      </w:pPr>
      <w:r w:rsidRPr="005C1C4A">
        <w:rPr>
          <w:lang w:val="el-GR"/>
        </w:rPr>
        <w:t xml:space="preserve">έναν </w:t>
      </w:r>
      <w:r>
        <w:t>PPAR</w:t>
      </w:r>
      <w:r w:rsidRPr="005C1C4A">
        <w:rPr>
          <w:lang w:val="el-GR"/>
        </w:rPr>
        <w:t xml:space="preserve">γ αγωνιστή και μετφορμίνη, όταν η χρήση ενός </w:t>
      </w:r>
      <w:r>
        <w:t>PPAR</w:t>
      </w:r>
      <w:r w:rsidRPr="005C1C4A">
        <w:rPr>
          <w:lang w:val="el-GR"/>
        </w:rPr>
        <w:t>γ αγωνιστή είναι κατάλληλη και όταν η δίαιτα και η άσκηση μαζί με τη διπλή θεραπεία με αυτά τα φαρμακευτικά προϊόντα δεν παρέχουν επαρκή γλυκαιμικό έλεγχο.</w:t>
      </w:r>
    </w:p>
    <w:p w:rsidR="0080628E" w:rsidRDefault="0080628E" w:rsidP="00046B36">
      <w:pPr>
        <w:pStyle w:val="a3"/>
        <w:spacing w:before="80" w:line="244" w:lineRule="auto"/>
        <w:ind w:left="218"/>
        <w:jc w:val="both"/>
        <w:rPr>
          <w:lang w:val="el-GR"/>
        </w:rPr>
      </w:pPr>
    </w:p>
    <w:p w:rsidR="00A56FAA" w:rsidRDefault="005C1C4A" w:rsidP="00046B36">
      <w:pPr>
        <w:pStyle w:val="a3"/>
        <w:spacing w:before="80" w:line="244" w:lineRule="auto"/>
        <w:ind w:left="218"/>
        <w:jc w:val="both"/>
        <w:rPr>
          <w:lang w:val="el-GR"/>
        </w:rPr>
      </w:pPr>
      <w:r w:rsidRPr="005C1C4A">
        <w:rPr>
          <w:lang w:val="el-GR"/>
        </w:rPr>
        <w:t xml:space="preserve">Το </w:t>
      </w:r>
      <w:r w:rsidR="00B20484">
        <w:t>SINVIA</w:t>
      </w:r>
      <w:r w:rsidRPr="005C1C4A">
        <w:rPr>
          <w:lang w:val="el-GR"/>
        </w:rPr>
        <w:t xml:space="preserve"> ενδείκνυται επίσης ως προστιθέμενη θεραπεία στην ινσουλίνη (με ή χωρίς μετφορμίνη), όταν η δίαιτα και η άσκηση μαζί με σταθερή δόση ινσουλίνης δεν παρέχουν επαρκή γλυκαιμικό έλεγχο.</w:t>
      </w:r>
    </w:p>
    <w:p w:rsidR="0080628E" w:rsidRDefault="0080628E" w:rsidP="00046B36">
      <w:pPr>
        <w:pStyle w:val="a3"/>
        <w:spacing w:before="80" w:line="244" w:lineRule="auto"/>
        <w:ind w:left="218"/>
        <w:jc w:val="both"/>
        <w:rPr>
          <w:lang w:val="el-GR"/>
        </w:rPr>
      </w:pPr>
    </w:p>
    <w:p w:rsidR="0080628E" w:rsidRPr="005C1C4A" w:rsidRDefault="0080628E" w:rsidP="00046B36">
      <w:pPr>
        <w:pStyle w:val="a3"/>
        <w:spacing w:before="80" w:line="244" w:lineRule="auto"/>
        <w:ind w:left="218"/>
        <w:jc w:val="both"/>
        <w:rPr>
          <w:lang w:val="el-GR"/>
        </w:rPr>
      </w:pPr>
    </w:p>
    <w:p w:rsidR="00A56FAA" w:rsidRPr="005C1C4A" w:rsidRDefault="00A56FAA" w:rsidP="00046B36">
      <w:pPr>
        <w:pStyle w:val="a3"/>
        <w:spacing w:before="3"/>
        <w:jc w:val="both"/>
        <w:rPr>
          <w:sz w:val="23"/>
          <w:lang w:val="el-GR"/>
        </w:rPr>
      </w:pPr>
    </w:p>
    <w:p w:rsidR="00A56FAA" w:rsidRDefault="005C1C4A" w:rsidP="00046B36">
      <w:pPr>
        <w:pStyle w:val="1"/>
        <w:numPr>
          <w:ilvl w:val="1"/>
          <w:numId w:val="17"/>
        </w:numPr>
        <w:tabs>
          <w:tab w:val="left" w:pos="784"/>
          <w:tab w:val="left" w:pos="785"/>
        </w:tabs>
        <w:jc w:val="both"/>
      </w:pPr>
      <w:r>
        <w:t>Δοσολογία και τρόπος</w:t>
      </w:r>
      <w:r>
        <w:rPr>
          <w:spacing w:val="-2"/>
        </w:rPr>
        <w:t xml:space="preserve"> </w:t>
      </w:r>
      <w:r>
        <w:t>χορήγησης</w:t>
      </w:r>
    </w:p>
    <w:p w:rsidR="00A56FAA" w:rsidRDefault="00A56FAA" w:rsidP="00046B36">
      <w:pPr>
        <w:pStyle w:val="a3"/>
        <w:spacing w:before="7"/>
        <w:jc w:val="both"/>
        <w:rPr>
          <w:b/>
        </w:rPr>
      </w:pPr>
    </w:p>
    <w:p w:rsidR="00A56FAA" w:rsidRDefault="005C1C4A" w:rsidP="00046B36">
      <w:pPr>
        <w:pStyle w:val="a3"/>
        <w:spacing w:before="1"/>
        <w:ind w:left="218"/>
        <w:jc w:val="both"/>
      </w:pPr>
      <w:r>
        <w:rPr>
          <w:u w:val="single"/>
        </w:rPr>
        <w:t>Δοσολογία</w:t>
      </w:r>
    </w:p>
    <w:p w:rsidR="00A56FAA" w:rsidRPr="005C1C4A" w:rsidRDefault="005C1C4A" w:rsidP="00046B36">
      <w:pPr>
        <w:pStyle w:val="a3"/>
        <w:spacing w:before="6" w:line="244" w:lineRule="auto"/>
        <w:ind w:left="218"/>
        <w:jc w:val="both"/>
        <w:rPr>
          <w:lang w:val="el-GR"/>
        </w:rPr>
      </w:pPr>
      <w:r w:rsidRPr="005C1C4A">
        <w:rPr>
          <w:lang w:val="el-GR"/>
        </w:rPr>
        <w:t xml:space="preserve">Η δόση είναι 100 </w:t>
      </w:r>
      <w:r>
        <w:t>mg</w:t>
      </w:r>
      <w:r w:rsidRPr="005C1C4A">
        <w:rPr>
          <w:lang w:val="el-GR"/>
        </w:rPr>
        <w:t xml:space="preserve"> σιταγλιπτίνης άπαξ ημερησίως. Όταν χρησιμοποιείται σε συνδυασμό με μετφορμίνη και/ή </w:t>
      </w:r>
      <w:r>
        <w:t>PPAR</w:t>
      </w:r>
      <w:r w:rsidRPr="005C1C4A">
        <w:rPr>
          <w:lang w:val="el-GR"/>
        </w:rPr>
        <w:t xml:space="preserve">γ αγωνιστή, η δόση της μετφορμίνης και/ή του </w:t>
      </w:r>
      <w:r>
        <w:t>PPAR</w:t>
      </w:r>
      <w:r w:rsidRPr="005C1C4A">
        <w:rPr>
          <w:lang w:val="el-GR"/>
        </w:rPr>
        <w:t xml:space="preserve">γ αγωνιστή θα πρέπει να διατηρείται, και το </w:t>
      </w:r>
      <w:r w:rsidR="00B20484">
        <w:t>SINVIA</w:t>
      </w:r>
      <w:r w:rsidRPr="005C1C4A">
        <w:rPr>
          <w:lang w:val="el-GR"/>
        </w:rPr>
        <w:t xml:space="preserve"> να συγχορηγείται.</w:t>
      </w:r>
    </w:p>
    <w:p w:rsidR="00A56FAA" w:rsidRPr="005C1C4A" w:rsidRDefault="00A56FAA" w:rsidP="00046B36">
      <w:pPr>
        <w:pStyle w:val="a3"/>
        <w:spacing w:before="9"/>
        <w:jc w:val="both"/>
        <w:rPr>
          <w:lang w:val="el-GR"/>
        </w:rPr>
      </w:pPr>
    </w:p>
    <w:p w:rsidR="00A56FAA" w:rsidRPr="005C1C4A" w:rsidRDefault="005C1C4A" w:rsidP="00046B36">
      <w:pPr>
        <w:pStyle w:val="a3"/>
        <w:spacing w:line="244" w:lineRule="auto"/>
        <w:ind w:left="218"/>
        <w:jc w:val="both"/>
        <w:rPr>
          <w:lang w:val="el-GR"/>
        </w:rPr>
      </w:pPr>
      <w:r w:rsidRPr="005C1C4A">
        <w:rPr>
          <w:lang w:val="el-GR"/>
        </w:rPr>
        <w:t xml:space="preserve">Όταν το </w:t>
      </w:r>
      <w:r w:rsidR="00B20484">
        <w:t>SINVIA</w:t>
      </w:r>
      <w:r w:rsidRPr="005C1C4A">
        <w:rPr>
          <w:lang w:val="el-GR"/>
        </w:rPr>
        <w:t xml:space="preserve"> χρησιμοποιείται σε συνδυασμό με μία σουλφονυλουρία ή με ινσουλίνη, μπορεί να εξετασθεί το ενδεχόμενο χορήγησης μίας μικρότερης δόσης της σουλφονυλουρίας ή ινσουλίνης για να μειωθεί ο κίνδυνος υπογλυκαιμίας (βλ. παράγραφο 4.4).</w:t>
      </w:r>
    </w:p>
    <w:p w:rsidR="00A56FAA" w:rsidRPr="005C1C4A" w:rsidRDefault="00A56FAA" w:rsidP="00046B36">
      <w:pPr>
        <w:pStyle w:val="a3"/>
        <w:spacing w:before="10"/>
        <w:jc w:val="both"/>
        <w:rPr>
          <w:lang w:val="el-GR"/>
        </w:rPr>
      </w:pPr>
    </w:p>
    <w:p w:rsidR="00A56FAA" w:rsidRPr="005C1C4A" w:rsidRDefault="005C1C4A" w:rsidP="00046B36">
      <w:pPr>
        <w:pStyle w:val="a3"/>
        <w:spacing w:line="244" w:lineRule="auto"/>
        <w:ind w:left="218"/>
        <w:jc w:val="both"/>
        <w:rPr>
          <w:lang w:val="el-GR"/>
        </w:rPr>
      </w:pPr>
      <w:r w:rsidRPr="005C1C4A">
        <w:rPr>
          <w:lang w:val="el-GR"/>
        </w:rPr>
        <w:t xml:space="preserve">Εάν παραλειφθεί μία δόση του </w:t>
      </w:r>
      <w:r w:rsidR="00B20484">
        <w:t>SINVIA</w:t>
      </w:r>
      <w:r w:rsidRPr="005C1C4A">
        <w:rPr>
          <w:lang w:val="el-GR"/>
        </w:rPr>
        <w:t>, αυτή θα πρέπει να ληφθεί αμέσως μόλις ο ασθενής το θυμηθεί. Δεν θα πρέπει να λαμβάνεται διπλή δόση την ίδια ημέρα.</w:t>
      </w:r>
    </w:p>
    <w:p w:rsidR="00A56FAA" w:rsidRPr="005C1C4A" w:rsidRDefault="00A56FAA" w:rsidP="00046B36">
      <w:pPr>
        <w:pStyle w:val="a3"/>
        <w:spacing w:before="9"/>
        <w:jc w:val="both"/>
        <w:rPr>
          <w:lang w:val="el-GR"/>
        </w:rPr>
      </w:pPr>
    </w:p>
    <w:p w:rsidR="00A56FAA" w:rsidRPr="005C1C4A" w:rsidRDefault="005C1C4A" w:rsidP="00046B36">
      <w:pPr>
        <w:pStyle w:val="a3"/>
        <w:ind w:left="218"/>
        <w:jc w:val="both"/>
        <w:rPr>
          <w:lang w:val="el-GR"/>
        </w:rPr>
      </w:pPr>
      <w:r w:rsidRPr="005C1C4A">
        <w:rPr>
          <w:u w:val="single"/>
          <w:lang w:val="el-GR"/>
        </w:rPr>
        <w:t>Ειδικοί πληθυσμοί</w:t>
      </w:r>
    </w:p>
    <w:p w:rsidR="00A56FAA" w:rsidRPr="005C1C4A" w:rsidRDefault="005C1C4A" w:rsidP="00046B36">
      <w:pPr>
        <w:spacing w:before="6"/>
        <w:ind w:left="218"/>
        <w:jc w:val="both"/>
        <w:rPr>
          <w:i/>
          <w:lang w:val="el-GR"/>
        </w:rPr>
      </w:pPr>
      <w:r w:rsidRPr="005C1C4A">
        <w:rPr>
          <w:i/>
          <w:lang w:val="el-GR"/>
        </w:rPr>
        <w:t>Νεφρική δυσλειτουργία</w:t>
      </w:r>
    </w:p>
    <w:p w:rsidR="00A56FAA" w:rsidRPr="005C1C4A" w:rsidRDefault="005C1C4A" w:rsidP="00046B36">
      <w:pPr>
        <w:pStyle w:val="a3"/>
        <w:spacing w:before="6" w:line="244" w:lineRule="auto"/>
        <w:ind w:left="218"/>
        <w:jc w:val="both"/>
        <w:rPr>
          <w:lang w:val="el-GR"/>
        </w:rPr>
      </w:pPr>
      <w:r w:rsidRPr="005C1C4A">
        <w:rPr>
          <w:lang w:val="el-GR"/>
        </w:rPr>
        <w:t>Όταν εξετάζεται το ενδεχόμενο χορήγησης της σιταγλιπτίνης σε συνδυασμό με ένα άλλο αντιδιαβητικό φαρμακευτικό προϊόν, πρέπει να ελέγχονται οι συνθήκες του για τη χρήση σε ασθενείς με νεφρική δυσλειτουργία.</w:t>
      </w:r>
    </w:p>
    <w:p w:rsidR="00A56FAA" w:rsidRPr="005C1C4A" w:rsidRDefault="00A56FAA" w:rsidP="00046B36">
      <w:pPr>
        <w:pStyle w:val="a3"/>
        <w:spacing w:before="10"/>
        <w:jc w:val="both"/>
        <w:rPr>
          <w:lang w:val="el-GR"/>
        </w:rPr>
      </w:pPr>
    </w:p>
    <w:p w:rsidR="00A56FAA" w:rsidRPr="005C1C4A" w:rsidRDefault="005C1C4A" w:rsidP="00046B36">
      <w:pPr>
        <w:pStyle w:val="a3"/>
        <w:spacing w:line="244" w:lineRule="auto"/>
        <w:ind w:left="218"/>
        <w:jc w:val="both"/>
        <w:rPr>
          <w:lang w:val="el-GR"/>
        </w:rPr>
      </w:pPr>
      <w:r w:rsidRPr="005C1C4A">
        <w:rPr>
          <w:lang w:val="el-GR"/>
        </w:rPr>
        <w:t xml:space="preserve">Για ασθενείς με ήπιου </w:t>
      </w:r>
      <w:r w:rsidR="00E26932">
        <w:rPr>
          <w:lang w:val="el-GR"/>
        </w:rPr>
        <w:t>βαθμού νεφρική δυσλειτουργία (κάθαρση κρεατινίνης</w:t>
      </w:r>
      <w:r w:rsidRPr="005C1C4A">
        <w:rPr>
          <w:lang w:val="el-GR"/>
        </w:rPr>
        <w:t xml:space="preserve"> [</w:t>
      </w:r>
      <w:r w:rsidR="00E26932">
        <w:t>CrCl</w:t>
      </w:r>
      <w:r w:rsidR="00E26932">
        <w:rPr>
          <w:lang w:val="el-GR"/>
        </w:rPr>
        <w:t xml:space="preserve">] ≥ </w:t>
      </w:r>
      <w:r w:rsidR="00E26932" w:rsidRPr="00E26932">
        <w:rPr>
          <w:lang w:val="el-GR"/>
        </w:rPr>
        <w:t>5</w:t>
      </w:r>
      <w:r w:rsidR="00E26932">
        <w:rPr>
          <w:lang w:val="el-GR"/>
        </w:rPr>
        <w:t>0</w:t>
      </w:r>
      <w:r w:rsidRPr="005C1C4A">
        <w:rPr>
          <w:lang w:val="el-GR"/>
        </w:rPr>
        <w:t xml:space="preserve"> </w:t>
      </w:r>
      <w:r>
        <w:t>ml</w:t>
      </w:r>
      <w:r w:rsidRPr="005C1C4A">
        <w:rPr>
          <w:lang w:val="el-GR"/>
        </w:rPr>
        <w:t>/</w:t>
      </w:r>
      <w:r>
        <w:t>min</w:t>
      </w:r>
      <w:r w:rsidRPr="005C1C4A">
        <w:rPr>
          <w:lang w:val="el-GR"/>
        </w:rPr>
        <w:t>), δεν απαιτείται καμία αναπροσαρμογή της δόσης.</w:t>
      </w:r>
    </w:p>
    <w:p w:rsidR="00A56FAA" w:rsidRPr="005C1C4A" w:rsidRDefault="00A56FAA" w:rsidP="00046B36">
      <w:pPr>
        <w:pStyle w:val="a3"/>
        <w:spacing w:before="7"/>
        <w:jc w:val="both"/>
        <w:rPr>
          <w:lang w:val="el-GR"/>
        </w:rPr>
      </w:pPr>
    </w:p>
    <w:p w:rsidR="00A56FAA" w:rsidRPr="005C1C4A" w:rsidRDefault="005C1C4A" w:rsidP="00046B36">
      <w:pPr>
        <w:pStyle w:val="a3"/>
        <w:spacing w:before="1" w:line="244" w:lineRule="auto"/>
        <w:ind w:left="218"/>
        <w:jc w:val="both"/>
        <w:rPr>
          <w:lang w:val="el-GR"/>
        </w:rPr>
      </w:pPr>
      <w:r w:rsidRPr="005C1C4A">
        <w:rPr>
          <w:lang w:val="el-GR"/>
        </w:rPr>
        <w:t>Για ασθενείς με μέτριου βαθμού νεφρική δυσλειτουργία (</w:t>
      </w:r>
      <w:r w:rsidR="00E26932">
        <w:t>CrCl</w:t>
      </w:r>
      <w:r w:rsidR="00E26932">
        <w:rPr>
          <w:lang w:val="el-GR"/>
        </w:rPr>
        <w:t xml:space="preserve"> ≥ 30 έως &lt;</w:t>
      </w:r>
      <w:r w:rsidR="00E26932" w:rsidRPr="00E26932">
        <w:rPr>
          <w:lang w:val="el-GR"/>
        </w:rPr>
        <w:t xml:space="preserve"> </w:t>
      </w:r>
      <w:r w:rsidRPr="005C1C4A">
        <w:rPr>
          <w:lang w:val="el-GR"/>
        </w:rPr>
        <w:t>5</w:t>
      </w:r>
      <w:r w:rsidR="00E26932" w:rsidRPr="00E26932">
        <w:rPr>
          <w:lang w:val="el-GR"/>
        </w:rPr>
        <w:t>0</w:t>
      </w:r>
      <w:r w:rsidRPr="005C1C4A">
        <w:rPr>
          <w:lang w:val="el-GR"/>
        </w:rPr>
        <w:t xml:space="preserve"> </w:t>
      </w:r>
      <w:r>
        <w:t>ml</w:t>
      </w:r>
      <w:r w:rsidRPr="005C1C4A">
        <w:rPr>
          <w:lang w:val="el-GR"/>
        </w:rPr>
        <w:t>/</w:t>
      </w:r>
      <w:r>
        <w:t>min</w:t>
      </w:r>
      <w:r w:rsidRPr="005C1C4A">
        <w:rPr>
          <w:lang w:val="el-GR"/>
        </w:rPr>
        <w:t xml:space="preserve">), η δόση του </w:t>
      </w:r>
      <w:r w:rsidR="00B20484">
        <w:t>SINVIA</w:t>
      </w:r>
      <w:r w:rsidRPr="005C1C4A">
        <w:rPr>
          <w:lang w:val="el-GR"/>
        </w:rPr>
        <w:t xml:space="preserve"> είναι 50 </w:t>
      </w:r>
      <w:r>
        <w:t>mg</w:t>
      </w:r>
      <w:r w:rsidRPr="005C1C4A">
        <w:rPr>
          <w:lang w:val="el-GR"/>
        </w:rPr>
        <w:t xml:space="preserve"> άπαξ ημερησίως.</w:t>
      </w:r>
    </w:p>
    <w:p w:rsidR="00A56FAA" w:rsidRPr="005C1C4A" w:rsidRDefault="00A56FAA" w:rsidP="00046B36">
      <w:pPr>
        <w:pStyle w:val="a3"/>
        <w:spacing w:before="8"/>
        <w:jc w:val="both"/>
        <w:rPr>
          <w:lang w:val="el-GR"/>
        </w:rPr>
      </w:pPr>
    </w:p>
    <w:p w:rsidR="00A56FAA" w:rsidRPr="005C1C4A" w:rsidRDefault="005C1C4A" w:rsidP="00046B36">
      <w:pPr>
        <w:pStyle w:val="a3"/>
        <w:spacing w:line="244" w:lineRule="auto"/>
        <w:ind w:left="218"/>
        <w:jc w:val="both"/>
        <w:rPr>
          <w:lang w:val="el-GR"/>
        </w:rPr>
      </w:pPr>
      <w:r w:rsidRPr="005C1C4A">
        <w:rPr>
          <w:lang w:val="el-GR"/>
        </w:rPr>
        <w:t>Για ασθενείς με σοβαρού βαθμού νεφρική δυσλειτουργία (</w:t>
      </w:r>
      <w:r w:rsidR="0038128B">
        <w:t>CrCl</w:t>
      </w:r>
      <w:r w:rsidRPr="005C1C4A">
        <w:rPr>
          <w:lang w:val="el-GR"/>
        </w:rPr>
        <w:t xml:space="preserve"> &lt;30 </w:t>
      </w:r>
      <w:r>
        <w:t>ml</w:t>
      </w:r>
      <w:r w:rsidRPr="005C1C4A">
        <w:rPr>
          <w:lang w:val="el-GR"/>
        </w:rPr>
        <w:t>/</w:t>
      </w:r>
      <w:r>
        <w:t>min</w:t>
      </w:r>
      <w:r w:rsidRPr="005C1C4A">
        <w:rPr>
          <w:lang w:val="el-GR"/>
        </w:rPr>
        <w:t>) ή με νεφρι</w:t>
      </w:r>
      <w:r w:rsidR="0038128B">
        <w:rPr>
          <w:lang w:val="el-GR"/>
        </w:rPr>
        <w:t>κή νόσο τελικού σταδίου (ΝΝΤΣ)</w:t>
      </w:r>
      <w:r w:rsidRPr="005C1C4A">
        <w:rPr>
          <w:lang w:val="el-GR"/>
        </w:rPr>
        <w:t xml:space="preserve"> για τους οποίους απαιτείται αιμοκάθαρση ή περιτοναϊκή διύλιση, η δόση του </w:t>
      </w:r>
      <w:r w:rsidR="00B20484">
        <w:t>SINVIA</w:t>
      </w:r>
      <w:r w:rsidRPr="005C1C4A">
        <w:rPr>
          <w:lang w:val="el-GR"/>
        </w:rPr>
        <w:t xml:space="preserve"> είναι 25 </w:t>
      </w:r>
      <w:r>
        <w:t>mg</w:t>
      </w:r>
      <w:r w:rsidRPr="005C1C4A">
        <w:rPr>
          <w:lang w:val="el-GR"/>
        </w:rPr>
        <w:t xml:space="preserve"> άπαξ ημερησίως. Η αγωγή μπορεί να χορηγηθεί ανεξάρτητα από τον χρονικό προγραμματισμό της αιμοκάθαρσης.</w:t>
      </w:r>
    </w:p>
    <w:p w:rsidR="00A56FAA" w:rsidRPr="005C1C4A" w:rsidRDefault="00A56FAA" w:rsidP="00046B36">
      <w:pPr>
        <w:pStyle w:val="a3"/>
        <w:spacing w:before="11"/>
        <w:jc w:val="both"/>
        <w:rPr>
          <w:lang w:val="el-GR"/>
        </w:rPr>
      </w:pPr>
    </w:p>
    <w:p w:rsidR="00A56FAA" w:rsidRPr="005C1C4A" w:rsidRDefault="005C1C4A" w:rsidP="00046B36">
      <w:pPr>
        <w:pStyle w:val="a3"/>
        <w:spacing w:line="244" w:lineRule="auto"/>
        <w:ind w:left="218"/>
        <w:jc w:val="both"/>
        <w:rPr>
          <w:lang w:val="el-GR"/>
        </w:rPr>
      </w:pPr>
      <w:r w:rsidRPr="005C1C4A">
        <w:rPr>
          <w:lang w:val="el-GR"/>
        </w:rPr>
        <w:t xml:space="preserve">Επειδή γίνεται αναπροσαρμογή της δόσης βάσει της νεφρικής λειτουργίας, συνιστάται να εκτιμάται η νεφρική λειτουργία πριν από την έναρξη της θεραπείας με </w:t>
      </w:r>
      <w:r w:rsidR="00B20484">
        <w:t>SINVIA</w:t>
      </w:r>
      <w:r w:rsidRPr="005C1C4A">
        <w:rPr>
          <w:lang w:val="el-GR"/>
        </w:rPr>
        <w:t xml:space="preserve"> και κατόπιν περιοδικά.</w:t>
      </w:r>
    </w:p>
    <w:p w:rsidR="00A56FAA" w:rsidRPr="005C1C4A" w:rsidRDefault="00A56FAA" w:rsidP="00046B36">
      <w:pPr>
        <w:pStyle w:val="a3"/>
        <w:spacing w:before="8"/>
        <w:jc w:val="both"/>
        <w:rPr>
          <w:lang w:val="el-GR"/>
        </w:rPr>
      </w:pPr>
    </w:p>
    <w:p w:rsidR="00A56FAA" w:rsidRPr="005C1C4A" w:rsidRDefault="005C1C4A" w:rsidP="00046B36">
      <w:pPr>
        <w:ind w:left="218"/>
        <w:jc w:val="both"/>
        <w:rPr>
          <w:i/>
          <w:lang w:val="el-GR"/>
        </w:rPr>
      </w:pPr>
      <w:r w:rsidRPr="005C1C4A">
        <w:rPr>
          <w:i/>
          <w:lang w:val="el-GR"/>
        </w:rPr>
        <w:t>Ηπατική δυσλειτουργία</w:t>
      </w:r>
    </w:p>
    <w:p w:rsidR="00A56FAA" w:rsidRPr="005C1C4A" w:rsidRDefault="005C1C4A" w:rsidP="00046B36">
      <w:pPr>
        <w:pStyle w:val="a3"/>
        <w:spacing w:before="7" w:line="244" w:lineRule="auto"/>
        <w:ind w:left="218"/>
        <w:jc w:val="both"/>
        <w:rPr>
          <w:lang w:val="el-GR"/>
        </w:rPr>
      </w:pPr>
      <w:r w:rsidRPr="005C1C4A">
        <w:rPr>
          <w:lang w:val="el-GR"/>
        </w:rPr>
        <w:t xml:space="preserve">Καμία αναπροσαρμογή της δόσης δεν απαιτείται σε ασθενείς με ήπιου έως μέτριου βαθμού ηπατική δυσλειτουργία. Το </w:t>
      </w:r>
      <w:r w:rsidR="00B20484">
        <w:t>SINVIA</w:t>
      </w:r>
      <w:r w:rsidRPr="005C1C4A">
        <w:rPr>
          <w:lang w:val="el-GR"/>
        </w:rPr>
        <w:t xml:space="preserve"> δεν έχει μελετηθεί σε ασθενείς με σοβαρού βαθμού ηπατική δυσλειτουργία και θα πρέπει να επιδειχθεί προσοχή (βλ. παράγραφο 5.2).</w:t>
      </w:r>
    </w:p>
    <w:p w:rsidR="00A56FAA" w:rsidRPr="005C1C4A" w:rsidRDefault="00A56FAA" w:rsidP="00046B36">
      <w:pPr>
        <w:pStyle w:val="a3"/>
        <w:spacing w:before="9"/>
        <w:jc w:val="both"/>
        <w:rPr>
          <w:lang w:val="el-GR"/>
        </w:rPr>
      </w:pPr>
    </w:p>
    <w:p w:rsidR="00A56FAA" w:rsidRPr="005C1C4A" w:rsidRDefault="005C1C4A" w:rsidP="00046B36">
      <w:pPr>
        <w:pStyle w:val="a3"/>
        <w:spacing w:line="244" w:lineRule="auto"/>
        <w:ind w:left="218"/>
        <w:jc w:val="both"/>
        <w:rPr>
          <w:lang w:val="el-GR"/>
        </w:rPr>
      </w:pPr>
      <w:r w:rsidRPr="005C1C4A">
        <w:rPr>
          <w:lang w:val="el-GR"/>
        </w:rPr>
        <w:t>Ωστόσο, η σοβαρού βαθμού ηπατική δυσλειτουργία δεν αναμένεται να επηρεάσει τη φαρμακοκινητική της σιταγλιπτίνης καθώς η σιταγλιπτίνη απεκκρίνεται κυρίως μέσω των νεφρών.</w:t>
      </w:r>
    </w:p>
    <w:p w:rsidR="00A56FAA" w:rsidRPr="005C1C4A" w:rsidRDefault="00A56FAA" w:rsidP="00046B36">
      <w:pPr>
        <w:pStyle w:val="a3"/>
        <w:spacing w:before="9"/>
        <w:jc w:val="both"/>
        <w:rPr>
          <w:lang w:val="el-GR"/>
        </w:rPr>
      </w:pPr>
    </w:p>
    <w:p w:rsidR="00A56FAA" w:rsidRPr="005C1C4A" w:rsidRDefault="005C1C4A" w:rsidP="00046B36">
      <w:pPr>
        <w:ind w:left="218"/>
        <w:jc w:val="both"/>
        <w:rPr>
          <w:i/>
          <w:lang w:val="el-GR"/>
        </w:rPr>
      </w:pPr>
      <w:r w:rsidRPr="005C1C4A">
        <w:rPr>
          <w:i/>
          <w:lang w:val="el-GR"/>
        </w:rPr>
        <w:t>Ηλικιωμένοι</w:t>
      </w:r>
    </w:p>
    <w:p w:rsidR="00A56FAA" w:rsidRPr="005C1C4A" w:rsidRDefault="005C1C4A" w:rsidP="00046B36">
      <w:pPr>
        <w:pStyle w:val="a3"/>
        <w:spacing w:before="6"/>
        <w:ind w:left="218"/>
        <w:jc w:val="both"/>
        <w:rPr>
          <w:lang w:val="el-GR"/>
        </w:rPr>
      </w:pPr>
      <w:r w:rsidRPr="005C1C4A">
        <w:rPr>
          <w:lang w:val="el-GR"/>
        </w:rPr>
        <w:t>Καμία αναπροσαρμογή της δόσης δεν απαιτείται με βάση την ηλικία.</w:t>
      </w:r>
    </w:p>
    <w:p w:rsidR="00A56FAA" w:rsidRPr="005C1C4A" w:rsidRDefault="00A56FAA" w:rsidP="00046B36">
      <w:pPr>
        <w:pStyle w:val="a3"/>
        <w:spacing w:before="1"/>
        <w:jc w:val="both"/>
        <w:rPr>
          <w:sz w:val="23"/>
          <w:lang w:val="el-GR"/>
        </w:rPr>
      </w:pPr>
    </w:p>
    <w:p w:rsidR="00A56FAA" w:rsidRPr="005C1C4A" w:rsidRDefault="005C1C4A" w:rsidP="00046B36">
      <w:pPr>
        <w:ind w:left="218"/>
        <w:jc w:val="both"/>
        <w:rPr>
          <w:i/>
          <w:lang w:val="el-GR"/>
        </w:rPr>
      </w:pPr>
      <w:r w:rsidRPr="005C1C4A">
        <w:rPr>
          <w:i/>
          <w:lang w:val="el-GR"/>
        </w:rPr>
        <w:t>Παιδιατρικός πληθυσμός</w:t>
      </w:r>
    </w:p>
    <w:p w:rsidR="00A56FAA" w:rsidRPr="005C1C4A" w:rsidRDefault="005C1C4A" w:rsidP="00046B36">
      <w:pPr>
        <w:pStyle w:val="a3"/>
        <w:spacing w:before="6" w:line="244" w:lineRule="auto"/>
        <w:ind w:left="218"/>
        <w:jc w:val="both"/>
        <w:rPr>
          <w:lang w:val="el-GR"/>
        </w:rPr>
      </w:pPr>
      <w:r w:rsidRPr="005C1C4A">
        <w:rPr>
          <w:lang w:val="el-GR"/>
        </w:rPr>
        <w:t>Η σιταγλιπτίνη δεν θα πρέπει να χορηγείται σε παιδιά και εφήβους ηλικίας 10 έως 17 ετών λόγω ανεπαρκούς αποτελεσματικότητας. Τα πρόσφατα διαθέσιμα δεδομένα περιγράφονται στις παραγράφους 4.8, 5.1 και 5.2. Η σιταγλιπτίνη δεν έχει μελετηθεί σε παιδιατρικούς ασθενείς ηλικίας</w:t>
      </w:r>
    </w:p>
    <w:p w:rsidR="00A56FAA" w:rsidRPr="005C1C4A" w:rsidRDefault="00A56FAA" w:rsidP="00046B36">
      <w:pPr>
        <w:spacing w:line="244" w:lineRule="auto"/>
        <w:jc w:val="both"/>
        <w:rPr>
          <w:lang w:val="el-GR"/>
        </w:rPr>
        <w:sectPr w:rsidR="00A56FAA" w:rsidRPr="005C1C4A">
          <w:pgSz w:w="11910" w:h="16840"/>
          <w:pgMar w:top="1040" w:right="1180" w:bottom="900" w:left="1200" w:header="0" w:footer="714" w:gutter="0"/>
          <w:cols w:space="720"/>
        </w:sectPr>
      </w:pPr>
    </w:p>
    <w:p w:rsidR="00A56FAA" w:rsidRPr="005C1C4A" w:rsidRDefault="005C1C4A" w:rsidP="00046B36">
      <w:pPr>
        <w:pStyle w:val="a3"/>
        <w:spacing w:before="80"/>
        <w:ind w:left="218"/>
        <w:jc w:val="both"/>
        <w:rPr>
          <w:lang w:val="el-GR"/>
        </w:rPr>
      </w:pPr>
      <w:r w:rsidRPr="005C1C4A">
        <w:rPr>
          <w:lang w:val="el-GR"/>
        </w:rPr>
        <w:lastRenderedPageBreak/>
        <w:t>κάτω των 10</w:t>
      </w:r>
      <w:r w:rsidRPr="005C1C4A">
        <w:rPr>
          <w:spacing w:val="5"/>
          <w:lang w:val="el-GR"/>
        </w:rPr>
        <w:t xml:space="preserve"> </w:t>
      </w:r>
      <w:r w:rsidRPr="005C1C4A">
        <w:rPr>
          <w:lang w:val="el-GR"/>
        </w:rPr>
        <w:t>ετών.</w:t>
      </w:r>
    </w:p>
    <w:p w:rsidR="00A56FAA" w:rsidRPr="005C1C4A" w:rsidRDefault="00A56FAA" w:rsidP="00046B36">
      <w:pPr>
        <w:pStyle w:val="a3"/>
        <w:spacing w:before="1"/>
        <w:jc w:val="both"/>
        <w:rPr>
          <w:sz w:val="23"/>
          <w:lang w:val="el-GR"/>
        </w:rPr>
      </w:pPr>
    </w:p>
    <w:p w:rsidR="00A56FAA" w:rsidRPr="005C1C4A" w:rsidRDefault="005C1C4A" w:rsidP="00046B36">
      <w:pPr>
        <w:pStyle w:val="a3"/>
        <w:ind w:left="218"/>
        <w:jc w:val="both"/>
        <w:rPr>
          <w:lang w:val="el-GR"/>
        </w:rPr>
      </w:pPr>
      <w:r w:rsidRPr="005C1C4A">
        <w:rPr>
          <w:u w:val="single"/>
          <w:lang w:val="el-GR"/>
        </w:rPr>
        <w:t>Τρόπος</w:t>
      </w:r>
      <w:r w:rsidRPr="005C1C4A">
        <w:rPr>
          <w:spacing w:val="5"/>
          <w:u w:val="single"/>
          <w:lang w:val="el-GR"/>
        </w:rPr>
        <w:t xml:space="preserve"> </w:t>
      </w:r>
      <w:r w:rsidRPr="005C1C4A">
        <w:rPr>
          <w:u w:val="single"/>
          <w:lang w:val="el-GR"/>
        </w:rPr>
        <w:t>χορήγησης</w:t>
      </w:r>
    </w:p>
    <w:p w:rsidR="00A56FAA" w:rsidRPr="005C1C4A" w:rsidRDefault="005C1C4A" w:rsidP="00046B36">
      <w:pPr>
        <w:pStyle w:val="a3"/>
        <w:spacing w:before="6"/>
        <w:ind w:left="218"/>
        <w:jc w:val="both"/>
        <w:rPr>
          <w:lang w:val="el-GR"/>
        </w:rPr>
      </w:pPr>
      <w:r w:rsidRPr="005C1C4A">
        <w:rPr>
          <w:lang w:val="el-GR"/>
        </w:rPr>
        <w:t xml:space="preserve">Το </w:t>
      </w:r>
      <w:r w:rsidR="00B20484">
        <w:t>SINVIA</w:t>
      </w:r>
      <w:r w:rsidRPr="005C1C4A">
        <w:rPr>
          <w:lang w:val="el-GR"/>
        </w:rPr>
        <w:t xml:space="preserve"> μπορεί να ληφθεί με ή χωρίς τροφή.</w:t>
      </w:r>
    </w:p>
    <w:p w:rsidR="00A56FAA" w:rsidRPr="005C1C4A" w:rsidRDefault="00A56FAA" w:rsidP="00046B36">
      <w:pPr>
        <w:pStyle w:val="a3"/>
        <w:spacing w:before="6"/>
        <w:jc w:val="both"/>
        <w:rPr>
          <w:sz w:val="23"/>
          <w:lang w:val="el-GR"/>
        </w:rPr>
      </w:pPr>
    </w:p>
    <w:p w:rsidR="00A56FAA" w:rsidRDefault="005C1C4A" w:rsidP="00046B36">
      <w:pPr>
        <w:pStyle w:val="1"/>
        <w:numPr>
          <w:ilvl w:val="1"/>
          <w:numId w:val="17"/>
        </w:numPr>
        <w:tabs>
          <w:tab w:val="left" w:pos="784"/>
          <w:tab w:val="left" w:pos="785"/>
        </w:tabs>
        <w:jc w:val="both"/>
      </w:pPr>
      <w:r>
        <w:t>Αντενδείξεις</w:t>
      </w:r>
    </w:p>
    <w:p w:rsidR="00A56FAA" w:rsidRDefault="00A56FAA" w:rsidP="00046B36">
      <w:pPr>
        <w:pStyle w:val="a3"/>
        <w:spacing w:before="7"/>
        <w:jc w:val="both"/>
        <w:rPr>
          <w:b/>
        </w:rPr>
      </w:pPr>
    </w:p>
    <w:p w:rsidR="00A56FAA" w:rsidRPr="005C1C4A" w:rsidRDefault="005C1C4A" w:rsidP="00046B36">
      <w:pPr>
        <w:pStyle w:val="a3"/>
        <w:ind w:left="218"/>
        <w:jc w:val="both"/>
        <w:rPr>
          <w:lang w:val="el-GR"/>
        </w:rPr>
      </w:pPr>
      <w:r w:rsidRPr="005C1C4A">
        <w:rPr>
          <w:lang w:val="el-GR"/>
        </w:rPr>
        <w:t>Υπερευαισθησία στη δραστική ουσία ή σε κάποιο από τα έκδοχα που αναφέρονται στην παράγραφο</w:t>
      </w:r>
    </w:p>
    <w:p w:rsidR="00A56FAA" w:rsidRDefault="005C1C4A" w:rsidP="00046B36">
      <w:pPr>
        <w:pStyle w:val="a3"/>
        <w:spacing w:before="7"/>
        <w:ind w:left="218"/>
        <w:jc w:val="both"/>
      </w:pPr>
      <w:proofErr w:type="gramStart"/>
      <w:r>
        <w:t>6.1 (βλ. παραγράφους 4.4 και 4.8).</w:t>
      </w:r>
      <w:proofErr w:type="gramEnd"/>
    </w:p>
    <w:p w:rsidR="00A56FAA" w:rsidRDefault="00A56FAA" w:rsidP="00046B36">
      <w:pPr>
        <w:pStyle w:val="a3"/>
        <w:spacing w:before="5"/>
        <w:jc w:val="both"/>
        <w:rPr>
          <w:sz w:val="23"/>
        </w:rPr>
      </w:pPr>
    </w:p>
    <w:p w:rsidR="00A56FAA" w:rsidRPr="005C1C4A" w:rsidRDefault="005C1C4A" w:rsidP="00046B36">
      <w:pPr>
        <w:pStyle w:val="1"/>
        <w:numPr>
          <w:ilvl w:val="1"/>
          <w:numId w:val="15"/>
        </w:numPr>
        <w:tabs>
          <w:tab w:val="left" w:pos="784"/>
          <w:tab w:val="left" w:pos="785"/>
        </w:tabs>
        <w:jc w:val="both"/>
        <w:rPr>
          <w:lang w:val="el-GR"/>
        </w:rPr>
      </w:pPr>
      <w:r w:rsidRPr="005C1C4A">
        <w:rPr>
          <w:lang w:val="el-GR"/>
        </w:rPr>
        <w:t>Ειδικές προειδοποιήσεις και προφυλάξεις κατά τη</w:t>
      </w:r>
      <w:r w:rsidRPr="005C1C4A">
        <w:rPr>
          <w:spacing w:val="-4"/>
          <w:lang w:val="el-GR"/>
        </w:rPr>
        <w:t xml:space="preserve"> </w:t>
      </w:r>
      <w:r w:rsidRPr="005C1C4A">
        <w:rPr>
          <w:lang w:val="el-GR"/>
        </w:rPr>
        <w:t>χρήση</w:t>
      </w:r>
    </w:p>
    <w:p w:rsidR="00A56FAA" w:rsidRPr="005C1C4A" w:rsidRDefault="00A56FAA" w:rsidP="00046B36">
      <w:pPr>
        <w:pStyle w:val="a3"/>
        <w:spacing w:before="8"/>
        <w:jc w:val="both"/>
        <w:rPr>
          <w:b/>
          <w:lang w:val="el-GR"/>
        </w:rPr>
      </w:pPr>
    </w:p>
    <w:p w:rsidR="00A56FAA" w:rsidRPr="005C1C4A" w:rsidRDefault="005C1C4A" w:rsidP="00046B36">
      <w:pPr>
        <w:pStyle w:val="a3"/>
        <w:ind w:left="218"/>
        <w:jc w:val="both"/>
        <w:rPr>
          <w:lang w:val="el-GR"/>
        </w:rPr>
      </w:pPr>
      <w:r w:rsidRPr="005C1C4A">
        <w:rPr>
          <w:u w:val="single"/>
          <w:lang w:val="el-GR"/>
        </w:rPr>
        <w:t>Γενικά</w:t>
      </w:r>
    </w:p>
    <w:p w:rsidR="00A56FAA" w:rsidRPr="005C1C4A" w:rsidRDefault="005C1C4A" w:rsidP="00046B36">
      <w:pPr>
        <w:pStyle w:val="a3"/>
        <w:spacing w:before="6" w:line="244" w:lineRule="auto"/>
        <w:ind w:left="218"/>
        <w:jc w:val="both"/>
        <w:rPr>
          <w:lang w:val="el-GR"/>
        </w:rPr>
      </w:pPr>
      <w:r w:rsidRPr="005C1C4A">
        <w:rPr>
          <w:lang w:val="el-GR"/>
        </w:rPr>
        <w:t xml:space="preserve">Το </w:t>
      </w:r>
      <w:r w:rsidR="00B20484">
        <w:t>SINVIA</w:t>
      </w:r>
      <w:r w:rsidRPr="005C1C4A">
        <w:rPr>
          <w:lang w:val="el-GR"/>
        </w:rPr>
        <w:t xml:space="preserve"> δεν θα πρέπει να χρησιμοποιείται σε ασθενείς με διαβήτη τύπου 1 ή για τη θεραπεία της διαβητικής κετοξέωσης.</w:t>
      </w:r>
    </w:p>
    <w:p w:rsidR="00A56FAA" w:rsidRPr="005C1C4A" w:rsidRDefault="00A56FAA" w:rsidP="00046B36">
      <w:pPr>
        <w:pStyle w:val="a3"/>
        <w:spacing w:before="9"/>
        <w:jc w:val="both"/>
        <w:rPr>
          <w:lang w:val="el-GR"/>
        </w:rPr>
      </w:pPr>
    </w:p>
    <w:p w:rsidR="00A56FAA" w:rsidRPr="005C1C4A" w:rsidRDefault="005C1C4A" w:rsidP="00046B36">
      <w:pPr>
        <w:pStyle w:val="a3"/>
        <w:ind w:left="218"/>
        <w:jc w:val="both"/>
        <w:rPr>
          <w:lang w:val="el-GR"/>
        </w:rPr>
      </w:pPr>
      <w:r w:rsidRPr="005C1C4A">
        <w:rPr>
          <w:u w:val="single"/>
          <w:lang w:val="el-GR"/>
        </w:rPr>
        <w:t>Οξεία παγκρεατίτιδα</w:t>
      </w:r>
    </w:p>
    <w:p w:rsidR="00A56FAA" w:rsidRPr="005C1C4A" w:rsidRDefault="005C1C4A" w:rsidP="00046B36">
      <w:pPr>
        <w:pStyle w:val="a3"/>
        <w:spacing w:before="6" w:line="244" w:lineRule="auto"/>
        <w:ind w:left="218"/>
        <w:jc w:val="both"/>
        <w:rPr>
          <w:lang w:val="el-GR"/>
        </w:rPr>
      </w:pPr>
      <w:r w:rsidRPr="005C1C4A">
        <w:rPr>
          <w:lang w:val="el-GR"/>
        </w:rPr>
        <w:t>Η χρήση αναστολέων της διπεπτιδυλικής πεπτιδάσης 4 (</w:t>
      </w:r>
      <w:r>
        <w:t>DPP</w:t>
      </w:r>
      <w:r w:rsidRPr="005C1C4A">
        <w:rPr>
          <w:lang w:val="el-GR"/>
        </w:rPr>
        <w:t xml:space="preserve">-4) έχει συσχετισθεί με κίνδυνο ανάπτυξης οξείας παγκρεατίτιδας. Οι ασθενείς πρέπει να ενημερώνονται για το χαρακτηριστικό σύμπτωμα της οξείας παγκρεατίτιδας: επιμένον, σοβαρό κοιλιακό άλγος.Υποχώρηση της παγκρεατίτιδας παρατηρήθηκε μετά την διακοπή της σιταγλιπτίνης (με ή χωρίς υποστηρικτική θεραπεία), αλλά έχουν αναφερθεί πολύ σπάνιες περιπτώσεις νεκρωτικής ή αιμορραγικής παγκρεατίτιδας και/ή θάνατος. Εάν υπάρχει υποψία για παγκρεατίτιδα, το </w:t>
      </w:r>
      <w:r w:rsidR="00B20484">
        <w:t>SINVIA</w:t>
      </w:r>
      <w:r w:rsidRPr="005C1C4A">
        <w:rPr>
          <w:lang w:val="el-GR"/>
        </w:rPr>
        <w:t xml:space="preserve"> και άλλα πιθανόν υποπτευόμενα φαρμακευτικά προϊόντα πρέπει να διακοπούν. Εάν η οξεία παγκρεατίτιδα επιβεβαιωθεί, το </w:t>
      </w:r>
      <w:r w:rsidR="00B20484">
        <w:t>SINVIA</w:t>
      </w:r>
      <w:r w:rsidRPr="005C1C4A">
        <w:rPr>
          <w:lang w:val="el-GR"/>
        </w:rPr>
        <w:t xml:space="preserve"> δεν πρέπει να αρχίσει ξανά. Θα πρέπει να δίνεται προσοχή σε ασθενείς με ιστορικό παγκρεατίτιδας.</w:t>
      </w:r>
    </w:p>
    <w:p w:rsidR="00A56FAA" w:rsidRPr="005C1C4A" w:rsidRDefault="00A56FAA" w:rsidP="00046B36">
      <w:pPr>
        <w:pStyle w:val="a3"/>
        <w:spacing w:before="5"/>
        <w:jc w:val="both"/>
        <w:rPr>
          <w:sz w:val="23"/>
          <w:lang w:val="el-GR"/>
        </w:rPr>
      </w:pPr>
    </w:p>
    <w:p w:rsidR="00A56FAA" w:rsidRPr="005C1C4A" w:rsidRDefault="005C1C4A" w:rsidP="00046B36">
      <w:pPr>
        <w:pStyle w:val="a3"/>
        <w:spacing w:line="244" w:lineRule="auto"/>
        <w:ind w:left="218"/>
        <w:jc w:val="both"/>
        <w:rPr>
          <w:lang w:val="el-GR"/>
        </w:rPr>
      </w:pPr>
      <w:r w:rsidRPr="005C1C4A">
        <w:rPr>
          <w:u w:val="single"/>
          <w:lang w:val="el-GR"/>
        </w:rPr>
        <w:t>Υπογλυκαιμία όταν χρησιμοποιείται σε συνδυασμό με άλλα αντι-υπεργλυκαιμικά φαρμακευτικά</w:t>
      </w:r>
      <w:r w:rsidRPr="005C1C4A">
        <w:rPr>
          <w:lang w:val="el-GR"/>
        </w:rPr>
        <w:t xml:space="preserve"> </w:t>
      </w:r>
      <w:r w:rsidRPr="005C1C4A">
        <w:rPr>
          <w:u w:val="single"/>
          <w:lang w:val="el-GR"/>
        </w:rPr>
        <w:t>προϊόντα</w:t>
      </w:r>
    </w:p>
    <w:p w:rsidR="00A56FAA" w:rsidRPr="005C1C4A" w:rsidRDefault="005C1C4A" w:rsidP="00046B36">
      <w:pPr>
        <w:pStyle w:val="a3"/>
        <w:spacing w:before="3" w:line="244" w:lineRule="auto"/>
        <w:ind w:left="218"/>
        <w:jc w:val="both"/>
        <w:rPr>
          <w:lang w:val="el-GR"/>
        </w:rPr>
      </w:pPr>
      <w:r w:rsidRPr="005C1C4A">
        <w:rPr>
          <w:lang w:val="el-GR"/>
        </w:rPr>
        <w:t xml:space="preserve">Σε κλινικές μελέτες με </w:t>
      </w:r>
      <w:r w:rsidR="0080628E">
        <w:rPr>
          <w:lang w:val="el-GR"/>
        </w:rPr>
        <w:t>σιταγλιπτίνη</w:t>
      </w:r>
      <w:r w:rsidRPr="005C1C4A">
        <w:rPr>
          <w:lang w:val="el-GR"/>
        </w:rPr>
        <w:t xml:space="preserve"> ως μονοθεραπεία και ως μέρος της συνδυασμένης θεραπείας με φαρμακευτικά προϊόντα που δεν είναι γνωστό ότι προκαλούν υπογλυκαιμία (π.χ. μετφορμίνη και/ή ένα </w:t>
      </w:r>
      <w:r>
        <w:t>PPAR</w:t>
      </w:r>
      <w:r w:rsidRPr="005C1C4A">
        <w:rPr>
          <w:lang w:val="el-GR"/>
        </w:rPr>
        <w:t>γ αγωνιστή), η συχνότητα των περιπτώσεων υπογλυκαιμίας που αναφέρθηκε με σιταγλιπτίνη ήταν παρόμοια με τη συχνότητα σε ασθενείς που έλαβαν εικονικό φάρμακο.</w:t>
      </w:r>
    </w:p>
    <w:p w:rsidR="00A56FAA" w:rsidRPr="005C1C4A" w:rsidRDefault="005C1C4A" w:rsidP="00046B36">
      <w:pPr>
        <w:pStyle w:val="a3"/>
        <w:spacing w:before="4" w:line="244" w:lineRule="auto"/>
        <w:ind w:left="218"/>
        <w:jc w:val="both"/>
        <w:rPr>
          <w:lang w:val="el-GR"/>
        </w:rPr>
      </w:pPr>
      <w:r w:rsidRPr="005C1C4A">
        <w:rPr>
          <w:lang w:val="el-GR"/>
        </w:rPr>
        <w:t>Υπογλυκαιμία παρατηρήθηκε όταν η σιταγλιπτίνη χρησιμοποιήθηκε σε συνδυασμό με ινσουλίνη ή με μια σουλφονυλουρία. Γι' αυτό, για να μειωθεί ο κίνδυνος της υπογλυκαιμίας μπορεί να εξετασθεί το ενδεχόμενο χορήγησης μιας μικρότερης δόσης σουλφονυλουρίας ή ινσουλίνης (βλ. παράγραφο 4.2).</w:t>
      </w:r>
    </w:p>
    <w:p w:rsidR="00A56FAA" w:rsidRPr="005C1C4A" w:rsidRDefault="00A56FAA" w:rsidP="00046B36">
      <w:pPr>
        <w:pStyle w:val="a3"/>
        <w:spacing w:before="10"/>
        <w:jc w:val="both"/>
        <w:rPr>
          <w:lang w:val="el-GR"/>
        </w:rPr>
      </w:pPr>
    </w:p>
    <w:p w:rsidR="00A56FAA" w:rsidRPr="005C1C4A" w:rsidRDefault="005C1C4A" w:rsidP="00046B36">
      <w:pPr>
        <w:pStyle w:val="a3"/>
        <w:ind w:left="218"/>
        <w:jc w:val="both"/>
        <w:rPr>
          <w:lang w:val="el-GR"/>
        </w:rPr>
      </w:pPr>
      <w:r w:rsidRPr="005C1C4A">
        <w:rPr>
          <w:u w:val="single"/>
          <w:lang w:val="el-GR"/>
        </w:rPr>
        <w:t>Νεφρική δυσλειτουργία</w:t>
      </w:r>
    </w:p>
    <w:p w:rsidR="00A56FAA" w:rsidRPr="005C1C4A" w:rsidRDefault="005C1C4A" w:rsidP="00046B36">
      <w:pPr>
        <w:pStyle w:val="a3"/>
        <w:spacing w:before="6" w:line="244" w:lineRule="auto"/>
        <w:ind w:left="218"/>
        <w:jc w:val="both"/>
        <w:rPr>
          <w:lang w:val="el-GR"/>
        </w:rPr>
      </w:pPr>
      <w:r w:rsidRPr="005C1C4A">
        <w:rPr>
          <w:lang w:val="el-GR"/>
        </w:rPr>
        <w:t xml:space="preserve">Η σιταγλιπτίνη απεκκρίνεται από τους νεφρούς. Προκειμένου να επιτευχθούν συγκεντρώσεις της σιταγλιπτίνης στο πλάσμα παρόμοιες με αυτές των ασθενών με φυσιολογική νεφρική λειτουργία, συνιστώνται μικρότερες δόσεις σε ασθενείς με </w:t>
      </w:r>
      <w:r w:rsidR="000E2CF6">
        <w:rPr>
          <w:lang w:val="el-GR"/>
        </w:rPr>
        <w:t>μέτρια και σοβαρή νεφρική ανεπάρκεια</w:t>
      </w:r>
      <w:r w:rsidRPr="005C1C4A">
        <w:rPr>
          <w:lang w:val="el-GR"/>
        </w:rPr>
        <w:t>, καθώς επίσης σε ασθενείς με ΝΝΤΣ για τους οποίους απαιτείται αιμοκάθαρση ή περιτοναϊκή διύλιση (βλ. παραγράφους 4.2 και 5.2).</w:t>
      </w:r>
    </w:p>
    <w:p w:rsidR="00A56FAA" w:rsidRPr="005C1C4A" w:rsidRDefault="00A56FAA" w:rsidP="00046B36">
      <w:pPr>
        <w:pStyle w:val="a3"/>
        <w:jc w:val="both"/>
        <w:rPr>
          <w:sz w:val="23"/>
          <w:lang w:val="el-GR"/>
        </w:rPr>
      </w:pPr>
    </w:p>
    <w:p w:rsidR="00A56FAA" w:rsidRPr="005C1C4A" w:rsidRDefault="005C1C4A" w:rsidP="00046B36">
      <w:pPr>
        <w:pStyle w:val="a3"/>
        <w:spacing w:before="1" w:line="244" w:lineRule="auto"/>
        <w:ind w:left="218"/>
        <w:jc w:val="both"/>
        <w:rPr>
          <w:lang w:val="el-GR"/>
        </w:rPr>
      </w:pPr>
      <w:r w:rsidRPr="005C1C4A">
        <w:rPr>
          <w:lang w:val="el-GR"/>
        </w:rPr>
        <w:t>Όταν εξετάζεται το ενδεχόμενο χορήγησης της σιταγλιπτίνης σε συνδυασμό με ένα άλλο αντιδιαβητικό φαρμακευτικό προϊόν, πρέπει να ελέγχονται οι συνθήκες του για τη χρήση σε ασθενείς με νεφρική δυσλειτουργία.</w:t>
      </w:r>
    </w:p>
    <w:p w:rsidR="00A56FAA" w:rsidRPr="005C1C4A" w:rsidRDefault="00A56FAA" w:rsidP="00046B36">
      <w:pPr>
        <w:pStyle w:val="a3"/>
        <w:spacing w:before="9"/>
        <w:jc w:val="both"/>
        <w:rPr>
          <w:lang w:val="el-GR"/>
        </w:rPr>
      </w:pPr>
    </w:p>
    <w:p w:rsidR="00A56FAA" w:rsidRPr="005C1C4A" w:rsidRDefault="005C1C4A" w:rsidP="00046B36">
      <w:pPr>
        <w:pStyle w:val="a3"/>
        <w:ind w:left="218"/>
        <w:jc w:val="both"/>
        <w:rPr>
          <w:lang w:val="el-GR"/>
        </w:rPr>
      </w:pPr>
      <w:r w:rsidRPr="005C1C4A">
        <w:rPr>
          <w:u w:val="single"/>
          <w:lang w:val="el-GR"/>
        </w:rPr>
        <w:t>Αντιδράσεις υπερευαισθησίας</w:t>
      </w:r>
    </w:p>
    <w:p w:rsidR="00A56FAA" w:rsidRPr="005C1C4A" w:rsidRDefault="005C1C4A" w:rsidP="00046B36">
      <w:pPr>
        <w:pStyle w:val="a3"/>
        <w:spacing w:before="7" w:line="244" w:lineRule="auto"/>
        <w:ind w:left="218"/>
        <w:jc w:val="both"/>
        <w:rPr>
          <w:lang w:val="el-GR"/>
        </w:rPr>
      </w:pPr>
      <w:r w:rsidRPr="005C1C4A">
        <w:rPr>
          <w:lang w:val="el-GR"/>
        </w:rPr>
        <w:t xml:space="preserve">Έχουν γίνει αναφορές, μετά την κυκλοφορία του φαρμάκου για σοβαρές αντιδράσεις υπερευαισθησίας σε ασθενείς που έλαβαν θεραπεία με σιταγλιπτίνη. Αυτές οι αντιδράσεις συμπεριλαμβάνουν αναφυλαξία, αγγειοοίδημα, και αποφολιδωτικές δερματικές αντιδράσεις συμπεριλαμβανομένου του συνδρόμου </w:t>
      </w:r>
      <w:r>
        <w:t>Stevens</w:t>
      </w:r>
      <w:r w:rsidRPr="005C1C4A">
        <w:rPr>
          <w:lang w:val="el-GR"/>
        </w:rPr>
        <w:t>-</w:t>
      </w:r>
      <w:r>
        <w:t>Johnson</w:t>
      </w:r>
      <w:r w:rsidRPr="005C1C4A">
        <w:rPr>
          <w:lang w:val="el-GR"/>
        </w:rPr>
        <w:t xml:space="preserve">. Η εμφάνιση αυτών των αντιδράσεων έγινε εντός των πρώτων 3 μηνών μετά την έναρξη της θεραπείας, με ορισμένες αναφορές που εμφανίζονται μετά την πρώτη δόση. Εάν υποπτευθείτε μία αντίδραση υπερευαισθησίας, το </w:t>
      </w:r>
      <w:r w:rsidR="00B20484">
        <w:t>SINVIA</w:t>
      </w:r>
      <w:r w:rsidRPr="005C1C4A">
        <w:rPr>
          <w:lang w:val="el-GR"/>
        </w:rPr>
        <w:t xml:space="preserve"> πρέπει να διακοπεί. Άλλες πιθανές αιτίες για το συμβάν πρέπει να εκτιμηθούν, και να ξεκινήσει</w:t>
      </w:r>
      <w:r w:rsidRPr="005C1C4A">
        <w:rPr>
          <w:spacing w:val="8"/>
          <w:lang w:val="el-GR"/>
        </w:rPr>
        <w:t xml:space="preserve"> </w:t>
      </w:r>
      <w:r w:rsidRPr="005C1C4A">
        <w:rPr>
          <w:lang w:val="el-GR"/>
        </w:rPr>
        <w:t>εναλλακτική</w:t>
      </w:r>
    </w:p>
    <w:p w:rsidR="00A56FAA" w:rsidRPr="005C1C4A" w:rsidRDefault="00A56FAA" w:rsidP="00046B36">
      <w:pPr>
        <w:spacing w:line="244" w:lineRule="auto"/>
        <w:jc w:val="both"/>
        <w:rPr>
          <w:lang w:val="el-GR"/>
        </w:rPr>
        <w:sectPr w:rsidR="00A56FAA" w:rsidRPr="005C1C4A">
          <w:pgSz w:w="11910" w:h="16840"/>
          <w:pgMar w:top="1040" w:right="1180" w:bottom="900" w:left="1200" w:header="0" w:footer="714" w:gutter="0"/>
          <w:cols w:space="720"/>
        </w:sectPr>
      </w:pPr>
    </w:p>
    <w:p w:rsidR="00A56FAA" w:rsidRPr="005C1C4A" w:rsidRDefault="005C1C4A" w:rsidP="00046B36">
      <w:pPr>
        <w:pStyle w:val="a3"/>
        <w:spacing w:before="80"/>
        <w:ind w:left="218"/>
        <w:jc w:val="both"/>
        <w:rPr>
          <w:lang w:val="el-GR"/>
        </w:rPr>
      </w:pPr>
      <w:r w:rsidRPr="005C1C4A">
        <w:rPr>
          <w:lang w:val="el-GR"/>
        </w:rPr>
        <w:lastRenderedPageBreak/>
        <w:t>θεραπεία για τον διαβήτη.</w:t>
      </w:r>
    </w:p>
    <w:p w:rsidR="00A56FAA" w:rsidRPr="005C1C4A" w:rsidRDefault="00A56FAA" w:rsidP="00046B36">
      <w:pPr>
        <w:pStyle w:val="a3"/>
        <w:spacing w:before="1"/>
        <w:jc w:val="both"/>
        <w:rPr>
          <w:sz w:val="23"/>
          <w:lang w:val="el-GR"/>
        </w:rPr>
      </w:pPr>
    </w:p>
    <w:p w:rsidR="00A56FAA" w:rsidRPr="005C1C4A" w:rsidRDefault="005C1C4A" w:rsidP="00046B36">
      <w:pPr>
        <w:pStyle w:val="a3"/>
        <w:ind w:left="218"/>
        <w:jc w:val="both"/>
        <w:rPr>
          <w:lang w:val="el-GR"/>
        </w:rPr>
      </w:pPr>
      <w:r w:rsidRPr="005C1C4A">
        <w:rPr>
          <w:u w:val="single"/>
          <w:lang w:val="el-GR"/>
        </w:rPr>
        <w:t>Πομφολυγώδες πεμφιγοειδές</w:t>
      </w:r>
    </w:p>
    <w:p w:rsidR="00A56FAA" w:rsidRPr="005C1C4A" w:rsidRDefault="005C1C4A" w:rsidP="00046B36">
      <w:pPr>
        <w:pStyle w:val="a3"/>
        <w:spacing w:before="6" w:line="244" w:lineRule="auto"/>
        <w:ind w:left="218"/>
        <w:jc w:val="both"/>
        <w:rPr>
          <w:lang w:val="el-GR"/>
        </w:rPr>
      </w:pPr>
      <w:r w:rsidRPr="005C1C4A">
        <w:rPr>
          <w:lang w:val="el-GR"/>
        </w:rPr>
        <w:t xml:space="preserve">Έχουν υπάρξει αναφορές πομφολυγώδους πεμφιγοειδούς μετά την κυκλοφορία του φαρμάκου σε ασθενείς που λάμβαναν αναστολείς της </w:t>
      </w:r>
      <w:r>
        <w:t>DPP</w:t>
      </w:r>
      <w:r w:rsidRPr="005C1C4A">
        <w:rPr>
          <w:lang w:val="el-GR"/>
        </w:rPr>
        <w:t xml:space="preserve">-4, συμπεριλαμβανομένης της σιταγλιπτίνης. Εάν υπάρχει υποψία για πομφολυγώδες πεμφιγοειδές, </w:t>
      </w:r>
      <w:r w:rsidR="008342B1">
        <w:rPr>
          <w:lang w:val="el-GR"/>
        </w:rPr>
        <w:t xml:space="preserve">η σιταγλιπτίνη </w:t>
      </w:r>
      <w:r w:rsidRPr="005C1C4A">
        <w:rPr>
          <w:lang w:val="el-GR"/>
        </w:rPr>
        <w:t>θα πρέπει να διακόπτεται.</w:t>
      </w:r>
    </w:p>
    <w:p w:rsidR="00A56FAA" w:rsidRPr="005C1C4A" w:rsidRDefault="00A56FAA" w:rsidP="00046B36">
      <w:pPr>
        <w:pStyle w:val="a3"/>
        <w:spacing w:before="10"/>
        <w:jc w:val="both"/>
        <w:rPr>
          <w:lang w:val="el-GR"/>
        </w:rPr>
      </w:pPr>
    </w:p>
    <w:p w:rsidR="00A56FAA" w:rsidRPr="005C1C4A" w:rsidRDefault="005C1C4A" w:rsidP="00046B36">
      <w:pPr>
        <w:pStyle w:val="a3"/>
        <w:ind w:left="218"/>
        <w:jc w:val="both"/>
        <w:rPr>
          <w:lang w:val="el-GR"/>
        </w:rPr>
      </w:pPr>
      <w:r w:rsidRPr="005C1C4A">
        <w:rPr>
          <w:u w:val="single"/>
          <w:lang w:val="el-GR"/>
        </w:rPr>
        <w:t>Νάτριο</w:t>
      </w:r>
    </w:p>
    <w:p w:rsidR="00A56FAA" w:rsidRPr="005C1C4A" w:rsidRDefault="005C1C4A" w:rsidP="00046B36">
      <w:pPr>
        <w:pStyle w:val="a3"/>
        <w:spacing w:before="6" w:line="244" w:lineRule="auto"/>
        <w:ind w:left="218"/>
        <w:jc w:val="both"/>
        <w:rPr>
          <w:lang w:val="el-GR"/>
        </w:rPr>
      </w:pPr>
      <w:r w:rsidRPr="005C1C4A">
        <w:rPr>
          <w:lang w:val="el-GR"/>
        </w:rPr>
        <w:t xml:space="preserve">Το φαρμακευτικό αυτό προϊόν περιέχει λιγότερο από 1 </w:t>
      </w:r>
      <w:r>
        <w:t>mmol</w:t>
      </w:r>
      <w:r w:rsidRPr="005C1C4A">
        <w:rPr>
          <w:lang w:val="el-GR"/>
        </w:rPr>
        <w:t xml:space="preserve"> νατρίου (23 </w:t>
      </w:r>
      <w:r>
        <w:t>mg</w:t>
      </w:r>
      <w:r w:rsidRPr="005C1C4A">
        <w:rPr>
          <w:lang w:val="el-GR"/>
        </w:rPr>
        <w:t>) ανά δισκίο, είναι αυτό που ονομάζουμε ουσιαστικά «ελεύθερο νατρίου».</w:t>
      </w:r>
    </w:p>
    <w:p w:rsidR="00A56FAA" w:rsidRPr="005C1C4A" w:rsidRDefault="00A56FAA" w:rsidP="00046B36">
      <w:pPr>
        <w:pStyle w:val="a3"/>
        <w:spacing w:before="2"/>
        <w:jc w:val="both"/>
        <w:rPr>
          <w:sz w:val="23"/>
          <w:lang w:val="el-GR"/>
        </w:rPr>
      </w:pPr>
    </w:p>
    <w:p w:rsidR="00A56FAA" w:rsidRPr="005C1C4A" w:rsidRDefault="005C1C4A" w:rsidP="00046B36">
      <w:pPr>
        <w:pStyle w:val="1"/>
        <w:numPr>
          <w:ilvl w:val="1"/>
          <w:numId w:val="15"/>
        </w:numPr>
        <w:tabs>
          <w:tab w:val="left" w:pos="784"/>
          <w:tab w:val="left" w:pos="785"/>
        </w:tabs>
        <w:jc w:val="both"/>
        <w:rPr>
          <w:lang w:val="el-GR"/>
        </w:rPr>
      </w:pPr>
      <w:r w:rsidRPr="005C1C4A">
        <w:rPr>
          <w:lang w:val="el-GR"/>
        </w:rPr>
        <w:t>Αλληλεπιδράσεις με άλλα φαρμακευτικά προϊόντα και άλλες μορφές</w:t>
      </w:r>
      <w:r w:rsidRPr="005C1C4A">
        <w:rPr>
          <w:spacing w:val="-20"/>
          <w:lang w:val="el-GR"/>
        </w:rPr>
        <w:t xml:space="preserve"> </w:t>
      </w:r>
      <w:r w:rsidRPr="005C1C4A">
        <w:rPr>
          <w:lang w:val="el-GR"/>
        </w:rPr>
        <w:t>αλληλεπίδρασης</w:t>
      </w:r>
    </w:p>
    <w:p w:rsidR="00A56FAA" w:rsidRPr="005C1C4A" w:rsidRDefault="00A56FAA" w:rsidP="00046B36">
      <w:pPr>
        <w:pStyle w:val="a3"/>
        <w:spacing w:before="7"/>
        <w:jc w:val="both"/>
        <w:rPr>
          <w:b/>
          <w:lang w:val="el-GR"/>
        </w:rPr>
      </w:pPr>
    </w:p>
    <w:p w:rsidR="00A56FAA" w:rsidRPr="005C1C4A" w:rsidRDefault="005C1C4A" w:rsidP="00046B36">
      <w:pPr>
        <w:pStyle w:val="a3"/>
        <w:ind w:left="218"/>
        <w:jc w:val="both"/>
        <w:rPr>
          <w:lang w:val="el-GR"/>
        </w:rPr>
      </w:pPr>
      <w:r w:rsidRPr="005C1C4A">
        <w:rPr>
          <w:u w:val="single"/>
          <w:lang w:val="el-GR"/>
        </w:rPr>
        <w:t>Επιδράσεις άλλων φαρμακευτικών προϊόντων στη σιταγλιπτίνη</w:t>
      </w:r>
    </w:p>
    <w:p w:rsidR="00A56FAA" w:rsidRPr="005C1C4A" w:rsidRDefault="005C1C4A" w:rsidP="00046B36">
      <w:pPr>
        <w:pStyle w:val="a3"/>
        <w:spacing w:before="7" w:line="244" w:lineRule="auto"/>
        <w:ind w:left="218"/>
        <w:jc w:val="both"/>
        <w:rPr>
          <w:lang w:val="el-GR"/>
        </w:rPr>
      </w:pPr>
      <w:r w:rsidRPr="005C1C4A">
        <w:rPr>
          <w:lang w:val="el-GR"/>
        </w:rPr>
        <w:t>Τα κλινικά στοιχεία που αναφέρονται παρακάτω υποστηρίζουν ότι ο κίνδυνος κλινικά σημαντικών αλληλεπιδράσεων με την συγχορήγηση φαρμακευτικών προϊόντων είναι μικρός.</w:t>
      </w:r>
    </w:p>
    <w:p w:rsidR="00A56FAA" w:rsidRPr="005C1C4A" w:rsidRDefault="00A56FAA" w:rsidP="00046B36">
      <w:pPr>
        <w:pStyle w:val="a3"/>
        <w:spacing w:before="8"/>
        <w:jc w:val="both"/>
        <w:rPr>
          <w:lang w:val="el-GR"/>
        </w:rPr>
      </w:pPr>
    </w:p>
    <w:p w:rsidR="00A56FAA" w:rsidRPr="005C1C4A" w:rsidRDefault="005C1C4A" w:rsidP="00046B36">
      <w:pPr>
        <w:pStyle w:val="a3"/>
        <w:spacing w:line="244" w:lineRule="auto"/>
        <w:ind w:left="218"/>
        <w:jc w:val="both"/>
        <w:rPr>
          <w:lang w:val="el-GR"/>
        </w:rPr>
      </w:pPr>
      <w:r w:rsidRPr="005C1C4A">
        <w:rPr>
          <w:lang w:val="el-GR"/>
        </w:rPr>
        <w:t xml:space="preserve">Μελέτες </w:t>
      </w:r>
      <w:r>
        <w:rPr>
          <w:i/>
        </w:rPr>
        <w:t>in</w:t>
      </w:r>
      <w:r w:rsidRPr="005C1C4A">
        <w:rPr>
          <w:i/>
          <w:lang w:val="el-GR"/>
        </w:rPr>
        <w:t xml:space="preserve"> </w:t>
      </w:r>
      <w:r>
        <w:rPr>
          <w:i/>
        </w:rPr>
        <w:t>vitro</w:t>
      </w:r>
      <w:r w:rsidRPr="005C1C4A">
        <w:rPr>
          <w:i/>
          <w:lang w:val="el-GR"/>
        </w:rPr>
        <w:t xml:space="preserve"> </w:t>
      </w:r>
      <w:r w:rsidRPr="005C1C4A">
        <w:rPr>
          <w:lang w:val="el-GR"/>
        </w:rPr>
        <w:t xml:space="preserve">έδειξαν ότι το πρωταρχικό ένζυμο που είναι υπεύθυνο για τον περιορισμένο μεταβολισμό της σιταγλιπτίνης είναι το </w:t>
      </w:r>
      <w:r>
        <w:t>CYP</w:t>
      </w:r>
      <w:r w:rsidRPr="005C1C4A">
        <w:rPr>
          <w:lang w:val="el-GR"/>
        </w:rPr>
        <w:t>3</w:t>
      </w:r>
      <w:r>
        <w:t>A</w:t>
      </w:r>
      <w:r w:rsidRPr="005C1C4A">
        <w:rPr>
          <w:lang w:val="el-GR"/>
        </w:rPr>
        <w:t xml:space="preserve">4 με τη συμβολή του </w:t>
      </w:r>
      <w:r>
        <w:t>CYP</w:t>
      </w:r>
      <w:r w:rsidRPr="005C1C4A">
        <w:rPr>
          <w:lang w:val="el-GR"/>
        </w:rPr>
        <w:t>2</w:t>
      </w:r>
      <w:r>
        <w:t>C</w:t>
      </w:r>
      <w:r w:rsidRPr="005C1C4A">
        <w:rPr>
          <w:lang w:val="el-GR"/>
        </w:rPr>
        <w:t xml:space="preserve">8. Σε ασθενείς με φυσιολογική νεφρική λειτουργία, ο μεταβολισμός, συμπεριλαμβανομένου αυτού μέσω του </w:t>
      </w:r>
      <w:r>
        <w:t>CYP</w:t>
      </w:r>
      <w:r w:rsidRPr="005C1C4A">
        <w:rPr>
          <w:lang w:val="el-GR"/>
        </w:rPr>
        <w:t>3</w:t>
      </w:r>
      <w:r>
        <w:t>A</w:t>
      </w:r>
      <w:r w:rsidRPr="005C1C4A">
        <w:rPr>
          <w:lang w:val="el-GR"/>
        </w:rPr>
        <w:t xml:space="preserve">4, παίζει μόνο ένα μικρό ρόλο στην κάθαρση της σιταγλιπτίνης. Ο μεταβολισμός μπορεί να παίζει έναν πιο σημαντικό ρόλο στην αποβολή της σιταγλιπτίνης στην κατάσταση σοβαρής νεφρικής δυσλειτουργίας ή νεφρικής νόσου τελικού σταδίου (ΝΝΤΣ). Γι' αυτό το λόγο, είναι δυνατόν ισχυροί </w:t>
      </w:r>
      <w:r>
        <w:t>CYP</w:t>
      </w:r>
      <w:r w:rsidRPr="005C1C4A">
        <w:rPr>
          <w:lang w:val="el-GR"/>
        </w:rPr>
        <w:t>3</w:t>
      </w:r>
      <w:r>
        <w:t>A</w:t>
      </w:r>
      <w:r w:rsidRPr="005C1C4A">
        <w:rPr>
          <w:lang w:val="el-GR"/>
        </w:rPr>
        <w:t xml:space="preserve">4 αναστολείς (π.χ. κετοκοναζόλη, ιτρακοναζόλη, ριτοναβίρη, κλαριθρομυκίνη) να μπορούν να αλλάξουν την φαρμακοκινητική της σιταγλιπτίνης σε ασθενείς με σοβαρή νεφρική δυσλειτουργία ή ΝΝΤΣ. Η επίδραση των ισχυρών αναστολέων του </w:t>
      </w:r>
      <w:r>
        <w:t>CYP</w:t>
      </w:r>
      <w:r w:rsidRPr="005C1C4A">
        <w:rPr>
          <w:lang w:val="el-GR"/>
        </w:rPr>
        <w:t>3</w:t>
      </w:r>
      <w:r>
        <w:t>A</w:t>
      </w:r>
      <w:r w:rsidRPr="005C1C4A">
        <w:rPr>
          <w:lang w:val="el-GR"/>
        </w:rPr>
        <w:t>4 στα πλαίσια της νεφρικής δυσλειτουργίας δεν έχει αξιολογηθεί σε κλινική μελέτη.</w:t>
      </w:r>
    </w:p>
    <w:p w:rsidR="00A56FAA" w:rsidRPr="005C1C4A" w:rsidRDefault="00A56FAA" w:rsidP="00046B36">
      <w:pPr>
        <w:pStyle w:val="a3"/>
        <w:spacing w:before="6"/>
        <w:jc w:val="both"/>
        <w:rPr>
          <w:sz w:val="23"/>
          <w:lang w:val="el-GR"/>
        </w:rPr>
      </w:pPr>
    </w:p>
    <w:p w:rsidR="00A56FAA" w:rsidRPr="005C1C4A" w:rsidRDefault="005C1C4A" w:rsidP="00046B36">
      <w:pPr>
        <w:pStyle w:val="a3"/>
        <w:spacing w:before="1" w:line="244" w:lineRule="auto"/>
        <w:ind w:left="218"/>
        <w:jc w:val="both"/>
        <w:rPr>
          <w:i/>
          <w:lang w:val="el-GR"/>
        </w:rPr>
      </w:pPr>
      <w:r w:rsidRPr="005C1C4A">
        <w:rPr>
          <w:lang w:val="el-GR"/>
        </w:rPr>
        <w:t xml:space="preserve">Μελέτες μεταφοράς </w:t>
      </w:r>
      <w:r>
        <w:rPr>
          <w:i/>
        </w:rPr>
        <w:t>in</w:t>
      </w:r>
      <w:r w:rsidRPr="005C1C4A">
        <w:rPr>
          <w:i/>
          <w:lang w:val="el-GR"/>
        </w:rPr>
        <w:t xml:space="preserve"> </w:t>
      </w:r>
      <w:r>
        <w:rPr>
          <w:i/>
        </w:rPr>
        <w:t>vitro</w:t>
      </w:r>
      <w:r w:rsidRPr="005C1C4A">
        <w:rPr>
          <w:i/>
          <w:lang w:val="el-GR"/>
        </w:rPr>
        <w:t xml:space="preserve"> </w:t>
      </w:r>
      <w:r w:rsidRPr="005C1C4A">
        <w:rPr>
          <w:lang w:val="el-GR"/>
        </w:rPr>
        <w:t xml:space="preserve">έδειξαν ότι η σιταγλιπτίνη είναι υπόστρωμα της </w:t>
      </w:r>
      <w:r>
        <w:t>p</w:t>
      </w:r>
      <w:r w:rsidRPr="005C1C4A">
        <w:rPr>
          <w:lang w:val="el-GR"/>
        </w:rPr>
        <w:t>-γλυκοπρωτεΐνης και του μεταφορέα-3 οργανικού ανιόντος (</w:t>
      </w:r>
      <w:r>
        <w:t>OAT</w:t>
      </w:r>
      <w:r w:rsidRPr="005C1C4A">
        <w:rPr>
          <w:lang w:val="el-GR"/>
        </w:rPr>
        <w:t xml:space="preserve">3). Η μεταφορά της σιταγλιπτίνης μέσω του </w:t>
      </w:r>
      <w:r>
        <w:t>OAT</w:t>
      </w:r>
      <w:r w:rsidRPr="005C1C4A">
        <w:rPr>
          <w:lang w:val="el-GR"/>
        </w:rPr>
        <w:t xml:space="preserve">3 ανεστάλη </w:t>
      </w:r>
      <w:r>
        <w:rPr>
          <w:i/>
        </w:rPr>
        <w:t>in</w:t>
      </w:r>
      <w:r w:rsidRPr="005C1C4A">
        <w:rPr>
          <w:i/>
          <w:lang w:val="el-GR"/>
        </w:rPr>
        <w:t xml:space="preserve"> </w:t>
      </w:r>
      <w:r>
        <w:rPr>
          <w:i/>
        </w:rPr>
        <w:t>vitro</w:t>
      </w:r>
      <w:r w:rsidRPr="005C1C4A">
        <w:rPr>
          <w:i/>
          <w:lang w:val="el-GR"/>
        </w:rPr>
        <w:t xml:space="preserve"> </w:t>
      </w:r>
      <w:r w:rsidRPr="005C1C4A">
        <w:rPr>
          <w:lang w:val="el-GR"/>
        </w:rPr>
        <w:t xml:space="preserve">από την προβενεσίδη, μολονότι θεωρείται ότι ο κίνδυνος των κλινικά σημαντικών αλληλεπιδράσεων είναι μικρός. Ταυτόχρονη χορήγηση των </w:t>
      </w:r>
      <w:r>
        <w:t>OAT</w:t>
      </w:r>
      <w:r w:rsidRPr="005C1C4A">
        <w:rPr>
          <w:lang w:val="el-GR"/>
        </w:rPr>
        <w:t xml:space="preserve">3 αναστολέων δεν έχει αξιολογηθεί </w:t>
      </w:r>
      <w:r>
        <w:rPr>
          <w:i/>
        </w:rPr>
        <w:t>in</w:t>
      </w:r>
      <w:r w:rsidRPr="005C1C4A">
        <w:rPr>
          <w:i/>
          <w:lang w:val="el-GR"/>
        </w:rPr>
        <w:t xml:space="preserve"> </w:t>
      </w:r>
      <w:r>
        <w:rPr>
          <w:i/>
        </w:rPr>
        <w:t>vivo</w:t>
      </w:r>
      <w:r w:rsidRPr="005C1C4A">
        <w:rPr>
          <w:i/>
          <w:lang w:val="el-GR"/>
        </w:rPr>
        <w:t>.</w:t>
      </w:r>
    </w:p>
    <w:p w:rsidR="00A56FAA" w:rsidRPr="005C1C4A" w:rsidRDefault="00A56FAA" w:rsidP="00046B36">
      <w:pPr>
        <w:pStyle w:val="a3"/>
        <w:jc w:val="both"/>
        <w:rPr>
          <w:i/>
          <w:sz w:val="23"/>
          <w:lang w:val="el-GR"/>
        </w:rPr>
      </w:pPr>
    </w:p>
    <w:p w:rsidR="00A56FAA" w:rsidRPr="005C1C4A" w:rsidRDefault="005C1C4A" w:rsidP="00046B36">
      <w:pPr>
        <w:pStyle w:val="a3"/>
        <w:spacing w:line="244" w:lineRule="auto"/>
        <w:ind w:left="218"/>
        <w:jc w:val="both"/>
        <w:rPr>
          <w:lang w:val="el-GR"/>
        </w:rPr>
      </w:pPr>
      <w:r w:rsidRPr="005C1C4A">
        <w:rPr>
          <w:i/>
          <w:lang w:val="el-GR"/>
        </w:rPr>
        <w:t>Μετφορμίνη</w:t>
      </w:r>
      <w:r w:rsidRPr="005C1C4A">
        <w:rPr>
          <w:lang w:val="el-GR"/>
        </w:rPr>
        <w:t xml:space="preserve">: Η συγχορήγηση πολλαπλών δόσεων δύο φορές ημερησίως 1.000 </w:t>
      </w:r>
      <w:r>
        <w:t>mg</w:t>
      </w:r>
      <w:r w:rsidRPr="005C1C4A">
        <w:rPr>
          <w:lang w:val="el-GR"/>
        </w:rPr>
        <w:t xml:space="preserve"> μετφορμίνης με 50 </w:t>
      </w:r>
      <w:r>
        <w:t>mg</w:t>
      </w:r>
      <w:r w:rsidRPr="005C1C4A">
        <w:rPr>
          <w:lang w:val="el-GR"/>
        </w:rPr>
        <w:t xml:space="preserve"> σιταγλιπτίνης δεν τροποποίησε σημαντικά τη φαρμακοκινητική της σιταγλιπτίνης σε ασθενείς με διαβήτη τύπου</w:t>
      </w:r>
      <w:r w:rsidRPr="005C1C4A">
        <w:rPr>
          <w:spacing w:val="-1"/>
          <w:lang w:val="el-GR"/>
        </w:rPr>
        <w:t xml:space="preserve"> </w:t>
      </w:r>
      <w:r w:rsidRPr="005C1C4A">
        <w:rPr>
          <w:lang w:val="el-GR"/>
        </w:rPr>
        <w:t>2.</w:t>
      </w:r>
    </w:p>
    <w:p w:rsidR="00A56FAA" w:rsidRPr="005C1C4A" w:rsidRDefault="00A56FAA" w:rsidP="00046B36">
      <w:pPr>
        <w:pStyle w:val="a3"/>
        <w:spacing w:before="10"/>
        <w:jc w:val="both"/>
        <w:rPr>
          <w:lang w:val="el-GR"/>
        </w:rPr>
      </w:pPr>
    </w:p>
    <w:p w:rsidR="00A56FAA" w:rsidRPr="005C1C4A" w:rsidRDefault="005C1C4A" w:rsidP="00046B36">
      <w:pPr>
        <w:pStyle w:val="a3"/>
        <w:spacing w:line="244" w:lineRule="auto"/>
        <w:ind w:left="218"/>
        <w:jc w:val="both"/>
        <w:rPr>
          <w:lang w:val="el-GR"/>
        </w:rPr>
      </w:pPr>
      <w:r w:rsidRPr="005C1C4A">
        <w:rPr>
          <w:i/>
          <w:lang w:val="el-GR"/>
        </w:rPr>
        <w:t>Κυκλοσπορίνη</w:t>
      </w:r>
      <w:r w:rsidRPr="005C1C4A">
        <w:rPr>
          <w:lang w:val="el-GR"/>
        </w:rPr>
        <w:t xml:space="preserve">: Μία μελέτη διεξήχθη για την εκτίμηση της επίδρασης της κυκλοσπορίνης, ενός ισχυρού αναστολέα της </w:t>
      </w:r>
      <w:r>
        <w:t>p</w:t>
      </w:r>
      <w:r w:rsidRPr="005C1C4A">
        <w:rPr>
          <w:lang w:val="el-GR"/>
        </w:rPr>
        <w:t xml:space="preserve">-γλυκοπρωτεΐνης, στη φαρμακοκινητική της σιταγλιπτίνης. Η συγχορήγηση μίας εφάπαξ από του στόματος δόσης 100 </w:t>
      </w:r>
      <w:r>
        <w:t>mg</w:t>
      </w:r>
      <w:r w:rsidRPr="005C1C4A">
        <w:rPr>
          <w:lang w:val="el-GR"/>
        </w:rPr>
        <w:t xml:space="preserve"> σιταγλιπτίνης και μίας εφάπαξ από του στόματος δόσης 600 </w:t>
      </w:r>
      <w:r>
        <w:t>mg</w:t>
      </w:r>
      <w:r w:rsidRPr="005C1C4A">
        <w:rPr>
          <w:lang w:val="el-GR"/>
        </w:rPr>
        <w:t xml:space="preserve"> κυκλοσπορίνης αύξησε την </w:t>
      </w:r>
      <w:r>
        <w:t>AUC</w:t>
      </w:r>
      <w:r w:rsidRPr="005C1C4A">
        <w:rPr>
          <w:lang w:val="el-GR"/>
        </w:rPr>
        <w:t xml:space="preserve"> και τη </w:t>
      </w:r>
      <w:r>
        <w:rPr>
          <w:spacing w:val="-3"/>
        </w:rPr>
        <w:t>C</w:t>
      </w:r>
      <w:r>
        <w:rPr>
          <w:spacing w:val="-3"/>
          <w:vertAlign w:val="subscript"/>
        </w:rPr>
        <w:t>max</w:t>
      </w:r>
      <w:r w:rsidRPr="005C1C4A">
        <w:rPr>
          <w:spacing w:val="-3"/>
          <w:lang w:val="el-GR"/>
        </w:rPr>
        <w:t xml:space="preserve"> </w:t>
      </w:r>
      <w:r w:rsidRPr="005C1C4A">
        <w:rPr>
          <w:lang w:val="el-GR"/>
        </w:rPr>
        <w:t>της σιταγλιπτίνης περίπου κατά 29% και 68% αντίστοιχα. Οι μεταβολές αυτές στη φαρμακοκινητική της σιταγλιπτίνης δεν θεωρήθηκαν ότι είναι κλινικά σημαντικές. Η νεφρική κάθαρση της σιταγλιπτίνης δεν μεταβλήθηκε σημαντικά. Συνεπώς, δεν αναμένονται σημαντικές αλληλεπιδράσεις με άλλους αναστολείς της</w:t>
      </w:r>
      <w:r w:rsidRPr="005C1C4A">
        <w:rPr>
          <w:spacing w:val="7"/>
          <w:lang w:val="el-GR"/>
        </w:rPr>
        <w:t xml:space="preserve"> </w:t>
      </w:r>
      <w:r>
        <w:t>p</w:t>
      </w:r>
      <w:r w:rsidRPr="005C1C4A">
        <w:rPr>
          <w:lang w:val="el-GR"/>
        </w:rPr>
        <w:t>-γλυκοπρωτεΐνης.</w:t>
      </w:r>
    </w:p>
    <w:p w:rsidR="00A56FAA" w:rsidRPr="005C1C4A" w:rsidRDefault="00A56FAA" w:rsidP="00046B36">
      <w:pPr>
        <w:pStyle w:val="a3"/>
        <w:spacing w:before="3"/>
        <w:jc w:val="both"/>
        <w:rPr>
          <w:sz w:val="23"/>
          <w:lang w:val="el-GR"/>
        </w:rPr>
      </w:pPr>
    </w:p>
    <w:p w:rsidR="00A56FAA" w:rsidRPr="005C1C4A" w:rsidRDefault="005C1C4A" w:rsidP="00046B36">
      <w:pPr>
        <w:pStyle w:val="a3"/>
        <w:ind w:left="218"/>
        <w:jc w:val="both"/>
        <w:rPr>
          <w:lang w:val="el-GR"/>
        </w:rPr>
      </w:pPr>
      <w:r w:rsidRPr="005C1C4A">
        <w:rPr>
          <w:u w:val="single"/>
          <w:lang w:val="el-GR"/>
        </w:rPr>
        <w:t>Επιδράσεις της σιταγλιπτίνης σε άλλα φαρμακευτικά προϊόντα</w:t>
      </w:r>
    </w:p>
    <w:p w:rsidR="00A56FAA" w:rsidRPr="005C1C4A" w:rsidRDefault="005C1C4A" w:rsidP="00046B36">
      <w:pPr>
        <w:pStyle w:val="a3"/>
        <w:spacing w:before="6" w:line="244" w:lineRule="auto"/>
        <w:ind w:left="218"/>
        <w:jc w:val="both"/>
        <w:rPr>
          <w:lang w:val="el-GR"/>
        </w:rPr>
      </w:pPr>
      <w:r w:rsidRPr="005C1C4A">
        <w:rPr>
          <w:i/>
          <w:lang w:val="el-GR"/>
        </w:rPr>
        <w:t>Διγοξίνη</w:t>
      </w:r>
      <w:r w:rsidRPr="005C1C4A">
        <w:rPr>
          <w:lang w:val="el-GR"/>
        </w:rPr>
        <w:t xml:space="preserve">: Η σιταγλιπτίνη είχε μικρή επίδραση στις συγκεντρώσεις της διγοξίνης στο πλάσμα. Μετά από χορήγηση 0,25 </w:t>
      </w:r>
      <w:r>
        <w:t>mg</w:t>
      </w:r>
      <w:r w:rsidRPr="005C1C4A">
        <w:rPr>
          <w:lang w:val="el-GR"/>
        </w:rPr>
        <w:t xml:space="preserve"> διγοξίνης ταυτόχρονα με 100 </w:t>
      </w:r>
      <w:r>
        <w:t>mg</w:t>
      </w:r>
      <w:r w:rsidRPr="005C1C4A">
        <w:rPr>
          <w:lang w:val="el-GR"/>
        </w:rPr>
        <w:t xml:space="preserve"> σιταγλιπτίνης ημερησίως επί 10 ημέρες, η </w:t>
      </w:r>
      <w:r>
        <w:t>AUC</w:t>
      </w:r>
      <w:r w:rsidRPr="005C1C4A">
        <w:rPr>
          <w:lang w:val="el-GR"/>
        </w:rPr>
        <w:t xml:space="preserve"> της διγοξίνης στο πλάσμα αυξήθηκε κατά μέσο όρο κατά 11 % και η </w:t>
      </w:r>
      <w:r>
        <w:t>C</w:t>
      </w:r>
      <w:r>
        <w:rPr>
          <w:vertAlign w:val="subscript"/>
        </w:rPr>
        <w:t>max</w:t>
      </w:r>
      <w:r w:rsidRPr="005C1C4A">
        <w:rPr>
          <w:lang w:val="el-GR"/>
        </w:rPr>
        <w:t xml:space="preserve"> στο πλάσμα κατά μέσο όρο κατά 18 %. Δε συνιστάται προσαρμογή της δόσης της διγοξίνης. Ωστόσο, οι ασθενείς σε κίνδυνο τοξικότητας από τη διγοξίνη πρέπει να παρακολουθούνται σχετικά με αυτό όταν η σιταγλιπτίνη και η διγοξίνη χορηγούνται ταυτόχρονα.</w:t>
      </w:r>
    </w:p>
    <w:p w:rsidR="00A56FAA" w:rsidRPr="005C1C4A" w:rsidRDefault="00A56FAA" w:rsidP="00046B36">
      <w:pPr>
        <w:pStyle w:val="a3"/>
        <w:spacing w:before="1"/>
        <w:jc w:val="both"/>
        <w:rPr>
          <w:sz w:val="23"/>
          <w:lang w:val="el-GR"/>
        </w:rPr>
      </w:pPr>
    </w:p>
    <w:p w:rsidR="00A56FAA" w:rsidRPr="005C1C4A" w:rsidRDefault="005C1C4A" w:rsidP="00046B36">
      <w:pPr>
        <w:pStyle w:val="a3"/>
        <w:spacing w:before="1" w:line="244" w:lineRule="auto"/>
        <w:ind w:left="218"/>
        <w:jc w:val="both"/>
        <w:rPr>
          <w:lang w:val="el-GR"/>
        </w:rPr>
      </w:pPr>
      <w:r w:rsidRPr="005C1C4A">
        <w:rPr>
          <w:lang w:val="el-GR"/>
        </w:rPr>
        <w:t xml:space="preserve">Στοιχεία </w:t>
      </w:r>
      <w:r>
        <w:rPr>
          <w:i/>
        </w:rPr>
        <w:t>in</w:t>
      </w:r>
      <w:r w:rsidRPr="005C1C4A">
        <w:rPr>
          <w:i/>
          <w:lang w:val="el-GR"/>
        </w:rPr>
        <w:t xml:space="preserve"> </w:t>
      </w:r>
      <w:r>
        <w:rPr>
          <w:i/>
        </w:rPr>
        <w:t>vitro</w:t>
      </w:r>
      <w:r w:rsidRPr="005C1C4A">
        <w:rPr>
          <w:i/>
          <w:lang w:val="el-GR"/>
        </w:rPr>
        <w:t xml:space="preserve"> </w:t>
      </w:r>
      <w:r w:rsidRPr="005C1C4A">
        <w:rPr>
          <w:lang w:val="el-GR"/>
        </w:rPr>
        <w:t xml:space="preserve">υποστηρίζουν ότι η σιταγλιπτίνη δεν αναστέλλει ούτε επάγει τα ισοένζυμα </w:t>
      </w:r>
      <w:r>
        <w:t>CYP</w:t>
      </w:r>
      <w:r w:rsidRPr="005C1C4A">
        <w:rPr>
          <w:lang w:val="el-GR"/>
        </w:rPr>
        <w:t>450. Σε κλινικές μελέτες, η σιταγλιπτίνη δεν τροποποίησε σημαντικά τη φαρμακοκινητική της</w:t>
      </w:r>
    </w:p>
    <w:p w:rsidR="00A56FAA" w:rsidRPr="005C1C4A" w:rsidRDefault="00A56FAA" w:rsidP="00046B36">
      <w:pPr>
        <w:spacing w:line="244" w:lineRule="auto"/>
        <w:jc w:val="both"/>
        <w:rPr>
          <w:lang w:val="el-GR"/>
        </w:rPr>
        <w:sectPr w:rsidR="00A56FAA" w:rsidRPr="005C1C4A">
          <w:pgSz w:w="11910" w:h="16840"/>
          <w:pgMar w:top="1040" w:right="1180" w:bottom="900" w:left="1200" w:header="0" w:footer="714" w:gutter="0"/>
          <w:cols w:space="720"/>
        </w:sectPr>
      </w:pPr>
    </w:p>
    <w:p w:rsidR="00A56FAA" w:rsidRPr="005C1C4A" w:rsidRDefault="005C1C4A" w:rsidP="00046B36">
      <w:pPr>
        <w:pStyle w:val="a3"/>
        <w:spacing w:before="80" w:line="244" w:lineRule="auto"/>
        <w:ind w:left="218"/>
        <w:jc w:val="both"/>
        <w:rPr>
          <w:i/>
          <w:lang w:val="el-GR"/>
        </w:rPr>
      </w:pPr>
      <w:r w:rsidRPr="005C1C4A">
        <w:rPr>
          <w:lang w:val="el-GR"/>
        </w:rPr>
        <w:lastRenderedPageBreak/>
        <w:t xml:space="preserve">μετφορμίνης, της γλυβουρίδης, της σιμβαστατίνης, της ροσιγλιταζόνης, της βαρφαρίνης ή των από του στόματος αντισυλληπτικών, παρέχοντας </w:t>
      </w:r>
      <w:r>
        <w:rPr>
          <w:i/>
        </w:rPr>
        <w:t>in</w:t>
      </w:r>
      <w:r w:rsidRPr="005C1C4A">
        <w:rPr>
          <w:i/>
          <w:lang w:val="el-GR"/>
        </w:rPr>
        <w:t xml:space="preserve"> </w:t>
      </w:r>
      <w:r>
        <w:rPr>
          <w:i/>
        </w:rPr>
        <w:t>vivo</w:t>
      </w:r>
      <w:r w:rsidRPr="005C1C4A">
        <w:rPr>
          <w:i/>
          <w:lang w:val="el-GR"/>
        </w:rPr>
        <w:t xml:space="preserve"> </w:t>
      </w:r>
      <w:r w:rsidRPr="005C1C4A">
        <w:rPr>
          <w:lang w:val="el-GR"/>
        </w:rPr>
        <w:t xml:space="preserve">τεκμηρίωση για μικρή δυνατότητα πρόκλησης αλληλεπιδράσεων με υποστρώματα του </w:t>
      </w:r>
      <w:r>
        <w:t>CYP</w:t>
      </w:r>
      <w:r w:rsidRPr="005C1C4A">
        <w:rPr>
          <w:lang w:val="el-GR"/>
        </w:rPr>
        <w:t>3</w:t>
      </w:r>
      <w:r>
        <w:t>A</w:t>
      </w:r>
      <w:r w:rsidRPr="005C1C4A">
        <w:rPr>
          <w:lang w:val="el-GR"/>
        </w:rPr>
        <w:t xml:space="preserve">4, </w:t>
      </w:r>
      <w:r>
        <w:t>CYP</w:t>
      </w:r>
      <w:r w:rsidRPr="005C1C4A">
        <w:rPr>
          <w:lang w:val="el-GR"/>
        </w:rPr>
        <w:t>2</w:t>
      </w:r>
      <w:r>
        <w:t>C</w:t>
      </w:r>
      <w:r w:rsidRPr="005C1C4A">
        <w:rPr>
          <w:lang w:val="el-GR"/>
        </w:rPr>
        <w:t xml:space="preserve">8, </w:t>
      </w:r>
      <w:r>
        <w:t>CYP</w:t>
      </w:r>
      <w:r w:rsidRPr="005C1C4A">
        <w:rPr>
          <w:lang w:val="el-GR"/>
        </w:rPr>
        <w:t>2</w:t>
      </w:r>
      <w:r>
        <w:t>C</w:t>
      </w:r>
      <w:r w:rsidRPr="005C1C4A">
        <w:rPr>
          <w:lang w:val="el-GR"/>
        </w:rPr>
        <w:t>9 και οργανικό κατιονικό μεταφορέα (</w:t>
      </w:r>
      <w:r>
        <w:t>OCT</w:t>
      </w:r>
      <w:r w:rsidRPr="005C1C4A">
        <w:rPr>
          <w:lang w:val="el-GR"/>
        </w:rPr>
        <w:t xml:space="preserve">). Η σιταγλιπτίνη μπορεί να είναι ένας ήπιος αναστολέας της </w:t>
      </w:r>
      <w:r>
        <w:t>p</w:t>
      </w:r>
      <w:r w:rsidRPr="005C1C4A">
        <w:rPr>
          <w:lang w:val="el-GR"/>
        </w:rPr>
        <w:t xml:space="preserve">-γλυκοπρωτεΐνης </w:t>
      </w:r>
      <w:r>
        <w:rPr>
          <w:i/>
        </w:rPr>
        <w:t>in</w:t>
      </w:r>
      <w:r w:rsidRPr="005C1C4A">
        <w:rPr>
          <w:i/>
          <w:lang w:val="el-GR"/>
        </w:rPr>
        <w:t xml:space="preserve"> </w:t>
      </w:r>
      <w:r>
        <w:rPr>
          <w:i/>
        </w:rPr>
        <w:t>vivo</w:t>
      </w:r>
      <w:r w:rsidRPr="005C1C4A">
        <w:rPr>
          <w:i/>
          <w:lang w:val="el-GR"/>
        </w:rPr>
        <w:t>.</w:t>
      </w:r>
    </w:p>
    <w:p w:rsidR="00A56FAA" w:rsidRPr="005C1C4A" w:rsidRDefault="00A56FAA" w:rsidP="00046B36">
      <w:pPr>
        <w:pStyle w:val="a3"/>
        <w:spacing w:before="5"/>
        <w:jc w:val="both"/>
        <w:rPr>
          <w:i/>
          <w:sz w:val="23"/>
          <w:lang w:val="el-GR"/>
        </w:rPr>
      </w:pPr>
    </w:p>
    <w:p w:rsidR="00A56FAA" w:rsidRDefault="005C1C4A" w:rsidP="00046B36">
      <w:pPr>
        <w:pStyle w:val="1"/>
        <w:numPr>
          <w:ilvl w:val="1"/>
          <w:numId w:val="15"/>
        </w:numPr>
        <w:tabs>
          <w:tab w:val="left" w:pos="784"/>
          <w:tab w:val="left" w:pos="785"/>
        </w:tabs>
        <w:jc w:val="both"/>
      </w:pPr>
      <w:r>
        <w:t>Γονιμότητα, κύηση και</w:t>
      </w:r>
      <w:r>
        <w:rPr>
          <w:spacing w:val="-2"/>
        </w:rPr>
        <w:t xml:space="preserve"> </w:t>
      </w:r>
      <w:r>
        <w:t>γαλουχία</w:t>
      </w:r>
    </w:p>
    <w:p w:rsidR="00A56FAA" w:rsidRDefault="00A56FAA" w:rsidP="00046B36">
      <w:pPr>
        <w:pStyle w:val="a3"/>
        <w:spacing w:before="8"/>
        <w:jc w:val="both"/>
        <w:rPr>
          <w:b/>
        </w:rPr>
      </w:pPr>
    </w:p>
    <w:p w:rsidR="00A56FAA" w:rsidRDefault="005C1C4A" w:rsidP="00046B36">
      <w:pPr>
        <w:pStyle w:val="a3"/>
        <w:ind w:left="218"/>
        <w:jc w:val="both"/>
      </w:pPr>
      <w:r>
        <w:rPr>
          <w:u w:val="single"/>
        </w:rPr>
        <w:t>Κύηση</w:t>
      </w:r>
    </w:p>
    <w:p w:rsidR="00A56FAA" w:rsidRPr="005C1C4A" w:rsidRDefault="005C1C4A" w:rsidP="00046B36">
      <w:pPr>
        <w:pStyle w:val="a3"/>
        <w:spacing w:before="6" w:line="244" w:lineRule="auto"/>
        <w:ind w:left="218"/>
        <w:jc w:val="both"/>
        <w:rPr>
          <w:lang w:val="el-GR"/>
        </w:rPr>
      </w:pPr>
      <w:r w:rsidRPr="005C1C4A">
        <w:rPr>
          <w:lang w:val="el-GR"/>
        </w:rPr>
        <w:t xml:space="preserve">Δεν υπάρχουν επαρκή στοιχεία για τη χρήση της σιταγλιπτίνης σε έγκυες γυναίκες. Μελέτες σε ζώα κατέδειξαν τοξικότητα στην αναπαραγωγική ικανότητα σε υψηλές δόσεις (βλέπε παράγραφο 5.3). Ο ενδεχόμενος κίνδυνος για τον άνθρωπο είναι άγνωστος. Λόγω της έλλειψης δεδομένων σε ανθρώπους, το </w:t>
      </w:r>
      <w:r w:rsidR="00B20484">
        <w:t>SINVIA</w:t>
      </w:r>
      <w:r w:rsidRPr="005C1C4A">
        <w:rPr>
          <w:lang w:val="el-GR"/>
        </w:rPr>
        <w:t xml:space="preserve"> δεν πρέπει να χρησιμοποιείται κατά τη διάρκεια της εγκυμοσύνης.</w:t>
      </w:r>
    </w:p>
    <w:p w:rsidR="00A56FAA" w:rsidRPr="005C1C4A" w:rsidRDefault="00A56FAA" w:rsidP="00046B36">
      <w:pPr>
        <w:pStyle w:val="a3"/>
        <w:spacing w:before="11"/>
        <w:jc w:val="both"/>
        <w:rPr>
          <w:lang w:val="el-GR"/>
        </w:rPr>
      </w:pPr>
    </w:p>
    <w:p w:rsidR="00A56FAA" w:rsidRPr="005C1C4A" w:rsidRDefault="005C1C4A" w:rsidP="00046B36">
      <w:pPr>
        <w:pStyle w:val="a3"/>
        <w:ind w:left="218"/>
        <w:jc w:val="both"/>
        <w:rPr>
          <w:lang w:val="el-GR"/>
        </w:rPr>
      </w:pPr>
      <w:r w:rsidRPr="005C1C4A">
        <w:rPr>
          <w:u w:val="single"/>
          <w:lang w:val="el-GR"/>
        </w:rPr>
        <w:t>Θηλασμός</w:t>
      </w:r>
    </w:p>
    <w:p w:rsidR="00A56FAA" w:rsidRPr="005C1C4A" w:rsidRDefault="005C1C4A" w:rsidP="00046B36">
      <w:pPr>
        <w:pStyle w:val="a3"/>
        <w:spacing w:before="6" w:line="244" w:lineRule="auto"/>
        <w:ind w:left="218"/>
        <w:jc w:val="both"/>
        <w:rPr>
          <w:lang w:val="el-GR"/>
        </w:rPr>
      </w:pPr>
      <w:r w:rsidRPr="005C1C4A">
        <w:rPr>
          <w:lang w:val="el-GR"/>
        </w:rPr>
        <w:t xml:space="preserve">Είναι άγνωστο αν η σιταγλιπτίνη απεκκρίνεται στο ανθρώπινο μητρικό γάλα. Μελέτες σε ζώα κατέδειξαν ότι η σιταγλιπτίνη απεκκρίνεται στο μητρικό γάλα. Το </w:t>
      </w:r>
      <w:r w:rsidR="00B20484">
        <w:t>SINVIA</w:t>
      </w:r>
      <w:r w:rsidRPr="005C1C4A">
        <w:rPr>
          <w:lang w:val="el-GR"/>
        </w:rPr>
        <w:t xml:space="preserve"> δεν πρέπει να χρησιμοποιείται κατά τη διάρκεια του θηλασμού.</w:t>
      </w:r>
    </w:p>
    <w:p w:rsidR="00A56FAA" w:rsidRPr="005C1C4A" w:rsidRDefault="00A56FAA" w:rsidP="00046B36">
      <w:pPr>
        <w:pStyle w:val="a3"/>
        <w:spacing w:before="10"/>
        <w:jc w:val="both"/>
        <w:rPr>
          <w:lang w:val="el-GR"/>
        </w:rPr>
      </w:pPr>
    </w:p>
    <w:p w:rsidR="00A56FAA" w:rsidRPr="005C1C4A" w:rsidRDefault="005C1C4A" w:rsidP="00046B36">
      <w:pPr>
        <w:pStyle w:val="a3"/>
        <w:ind w:left="218"/>
        <w:jc w:val="both"/>
        <w:rPr>
          <w:lang w:val="el-GR"/>
        </w:rPr>
      </w:pPr>
      <w:r w:rsidRPr="005C1C4A">
        <w:rPr>
          <w:u w:val="single"/>
          <w:lang w:val="el-GR"/>
        </w:rPr>
        <w:t>Γονιμότητα</w:t>
      </w:r>
    </w:p>
    <w:p w:rsidR="00A56FAA" w:rsidRDefault="005C1C4A" w:rsidP="00046B36">
      <w:pPr>
        <w:pStyle w:val="a3"/>
        <w:spacing w:before="6" w:line="244" w:lineRule="auto"/>
        <w:ind w:left="218"/>
        <w:jc w:val="both"/>
      </w:pPr>
      <w:r w:rsidRPr="005C1C4A">
        <w:rPr>
          <w:lang w:val="el-GR"/>
        </w:rPr>
        <w:t xml:space="preserve">Δεδομένα από ζώα δεν υποστηρίζουν κάποια επίδραση της θεραπείας με σιταγλιπτίνη στην γονιμότητα αρσενικών και θηλυκών. </w:t>
      </w:r>
      <w:proofErr w:type="gramStart"/>
      <w:r>
        <w:t>Δεδομένα για τον άνθρωπο δεν υπάρχουν.</w:t>
      </w:r>
      <w:proofErr w:type="gramEnd"/>
    </w:p>
    <w:p w:rsidR="00A56FAA" w:rsidRDefault="00A56FAA" w:rsidP="00046B36">
      <w:pPr>
        <w:pStyle w:val="a3"/>
        <w:spacing w:before="2"/>
        <w:jc w:val="both"/>
        <w:rPr>
          <w:sz w:val="23"/>
        </w:rPr>
      </w:pPr>
    </w:p>
    <w:p w:rsidR="00A56FAA" w:rsidRPr="005C1C4A" w:rsidRDefault="005C1C4A" w:rsidP="00046B36">
      <w:pPr>
        <w:pStyle w:val="1"/>
        <w:numPr>
          <w:ilvl w:val="1"/>
          <w:numId w:val="15"/>
        </w:numPr>
        <w:tabs>
          <w:tab w:val="left" w:pos="784"/>
          <w:tab w:val="left" w:pos="785"/>
        </w:tabs>
        <w:jc w:val="both"/>
        <w:rPr>
          <w:lang w:val="el-GR"/>
        </w:rPr>
      </w:pPr>
      <w:r w:rsidRPr="005C1C4A">
        <w:rPr>
          <w:lang w:val="el-GR"/>
        </w:rPr>
        <w:t>Επιδράσεις στην ικανότητα οδήγησης και χειρισμού</w:t>
      </w:r>
      <w:r w:rsidRPr="005C1C4A">
        <w:rPr>
          <w:spacing w:val="-6"/>
          <w:lang w:val="el-GR"/>
        </w:rPr>
        <w:t xml:space="preserve"> </w:t>
      </w:r>
      <w:r w:rsidRPr="005C1C4A">
        <w:rPr>
          <w:lang w:val="el-GR"/>
        </w:rPr>
        <w:t>μηχανημάτων</w:t>
      </w:r>
    </w:p>
    <w:p w:rsidR="00A56FAA" w:rsidRPr="005C1C4A" w:rsidRDefault="00A56FAA" w:rsidP="00046B36">
      <w:pPr>
        <w:pStyle w:val="a3"/>
        <w:spacing w:before="7"/>
        <w:jc w:val="both"/>
        <w:rPr>
          <w:b/>
          <w:lang w:val="el-GR"/>
        </w:rPr>
      </w:pPr>
    </w:p>
    <w:p w:rsidR="00A56FAA" w:rsidRPr="005C1C4A" w:rsidRDefault="005C1C4A" w:rsidP="00046B36">
      <w:pPr>
        <w:pStyle w:val="a3"/>
        <w:spacing w:before="1" w:line="244" w:lineRule="auto"/>
        <w:ind w:left="218"/>
        <w:jc w:val="both"/>
        <w:rPr>
          <w:lang w:val="el-GR"/>
        </w:rPr>
      </w:pPr>
      <w:r w:rsidRPr="005C1C4A">
        <w:rPr>
          <w:lang w:val="el-GR"/>
        </w:rPr>
        <w:t xml:space="preserve">Το </w:t>
      </w:r>
      <w:r w:rsidR="00B20484">
        <w:t>SINVIA</w:t>
      </w:r>
      <w:r w:rsidRPr="005C1C4A">
        <w:rPr>
          <w:lang w:val="el-GR"/>
        </w:rPr>
        <w:t xml:space="preserve"> δεν έχει καμία ή έχει ασήμαντη επίδραση στην ικανότητα οδήγησης και χειρισμού μηχανημάτων. Ωστόσο, κατά την οδήγηση ή τη χρήση μηχανημάτων, πρέπει να λαμβάνεται υπ' όψιν ότι έχουν αναφερθεί ζάλη και υπνηλία.</w:t>
      </w:r>
    </w:p>
    <w:p w:rsidR="00A56FAA" w:rsidRPr="005C1C4A" w:rsidRDefault="00A56FAA" w:rsidP="00046B36">
      <w:pPr>
        <w:pStyle w:val="a3"/>
        <w:spacing w:before="9"/>
        <w:jc w:val="both"/>
        <w:rPr>
          <w:lang w:val="el-GR"/>
        </w:rPr>
      </w:pPr>
    </w:p>
    <w:p w:rsidR="00A56FAA" w:rsidRPr="005C1C4A" w:rsidRDefault="005C1C4A" w:rsidP="00046B36">
      <w:pPr>
        <w:pStyle w:val="a3"/>
        <w:spacing w:line="244" w:lineRule="auto"/>
        <w:ind w:left="218"/>
        <w:jc w:val="both"/>
        <w:rPr>
          <w:lang w:val="el-GR"/>
        </w:rPr>
      </w:pPr>
      <w:r w:rsidRPr="005C1C4A">
        <w:rPr>
          <w:lang w:val="el-GR"/>
        </w:rPr>
        <w:t xml:space="preserve">Επιπλέον, οι ασθενείς πρέπει να είναι σε εγρήγορση σχετικά με τον κίνδυνο υπογλυκαιμίας όταν το </w:t>
      </w:r>
      <w:r w:rsidR="00B20484">
        <w:t>SINVIA</w:t>
      </w:r>
      <w:r w:rsidRPr="005C1C4A">
        <w:rPr>
          <w:lang w:val="el-GR"/>
        </w:rPr>
        <w:t xml:space="preserve"> χορηγείται σε συνδυασμό με μία σουλφονυλουρία ή με ινσουλίνη.</w:t>
      </w:r>
    </w:p>
    <w:p w:rsidR="00A56FAA" w:rsidRPr="005C1C4A" w:rsidRDefault="00A56FAA" w:rsidP="00046B36">
      <w:pPr>
        <w:pStyle w:val="a3"/>
        <w:spacing w:before="2"/>
        <w:jc w:val="both"/>
        <w:rPr>
          <w:sz w:val="23"/>
          <w:lang w:val="el-GR"/>
        </w:rPr>
      </w:pPr>
    </w:p>
    <w:p w:rsidR="00A56FAA" w:rsidRDefault="005C1C4A" w:rsidP="00046B36">
      <w:pPr>
        <w:pStyle w:val="1"/>
        <w:numPr>
          <w:ilvl w:val="1"/>
          <w:numId w:val="15"/>
        </w:numPr>
        <w:tabs>
          <w:tab w:val="left" w:pos="784"/>
          <w:tab w:val="left" w:pos="785"/>
        </w:tabs>
        <w:jc w:val="both"/>
      </w:pPr>
      <w:r>
        <w:t>Ανεπιθύμητες</w:t>
      </w:r>
      <w:r>
        <w:rPr>
          <w:spacing w:val="-2"/>
        </w:rPr>
        <w:t xml:space="preserve"> </w:t>
      </w:r>
      <w:r>
        <w:t>ενέργειες</w:t>
      </w:r>
    </w:p>
    <w:p w:rsidR="00A56FAA" w:rsidRDefault="00A56FAA" w:rsidP="00046B36">
      <w:pPr>
        <w:pStyle w:val="a3"/>
        <w:spacing w:before="8"/>
        <w:jc w:val="both"/>
        <w:rPr>
          <w:b/>
        </w:rPr>
      </w:pPr>
    </w:p>
    <w:p w:rsidR="00A56FAA" w:rsidRDefault="005C1C4A" w:rsidP="00046B36">
      <w:pPr>
        <w:pStyle w:val="a3"/>
        <w:ind w:left="218"/>
        <w:jc w:val="both"/>
      </w:pPr>
      <w:r>
        <w:rPr>
          <w:u w:val="single"/>
        </w:rPr>
        <w:t>Συνοπτικό προφίλ ασφάλειας</w:t>
      </w:r>
    </w:p>
    <w:p w:rsidR="00A56FAA" w:rsidRPr="005C1C4A" w:rsidRDefault="005C1C4A" w:rsidP="00046B36">
      <w:pPr>
        <w:pStyle w:val="a3"/>
        <w:spacing w:before="6" w:line="244" w:lineRule="auto"/>
        <w:ind w:left="218"/>
        <w:jc w:val="both"/>
        <w:rPr>
          <w:lang w:val="el-GR"/>
        </w:rPr>
      </w:pPr>
      <w:r w:rsidRPr="005C1C4A">
        <w:rPr>
          <w:lang w:val="el-GR"/>
        </w:rPr>
        <w:t>Έχουν αναφερθεί σοβαρές ανεπιθύμητες ενέργειες, συμπεριλαμβανομένων παγκρεατίτιδας και αντιδράσεων υπερευαισθησίας. Έχει αναφερθεί υπογλυκαιμία σε συνδυασμό με σουλφονυλουρία (4,7 %-13,8 %) και ινσουλίνη (9,6 %) (βλέπε παράγραφο 4.4).</w:t>
      </w:r>
    </w:p>
    <w:p w:rsidR="00A56FAA" w:rsidRPr="005C1C4A" w:rsidRDefault="00A56FAA" w:rsidP="00046B36">
      <w:pPr>
        <w:pStyle w:val="a3"/>
        <w:spacing w:before="10"/>
        <w:jc w:val="both"/>
        <w:rPr>
          <w:lang w:val="el-GR"/>
        </w:rPr>
      </w:pPr>
    </w:p>
    <w:p w:rsidR="00A56FAA" w:rsidRPr="005C1C4A" w:rsidRDefault="005C1C4A" w:rsidP="00046B36">
      <w:pPr>
        <w:pStyle w:val="a3"/>
        <w:ind w:left="218"/>
        <w:jc w:val="both"/>
        <w:rPr>
          <w:lang w:val="el-GR"/>
        </w:rPr>
      </w:pPr>
      <w:r w:rsidRPr="005C1C4A">
        <w:rPr>
          <w:u w:val="single"/>
          <w:lang w:val="el-GR"/>
        </w:rPr>
        <w:t>Ανεπιθύμητες ενέργειες που αναφέρονται στον πίνακα</w:t>
      </w:r>
    </w:p>
    <w:p w:rsidR="00A56FAA" w:rsidRPr="005C1C4A" w:rsidRDefault="005C1C4A" w:rsidP="00046B36">
      <w:pPr>
        <w:pStyle w:val="a3"/>
        <w:spacing w:before="6" w:line="244" w:lineRule="auto"/>
        <w:ind w:left="218"/>
        <w:jc w:val="both"/>
        <w:rPr>
          <w:lang w:val="el-GR"/>
        </w:rPr>
      </w:pPr>
      <w:r w:rsidRPr="005C1C4A">
        <w:rPr>
          <w:lang w:val="el-GR"/>
        </w:rPr>
        <w:t>Αναφέρονται παρακάτω (στον Πίνακα 1), ανά κατηγορία οργανικού συστήματος και συχνότητα οι ανεπιθύμητες ενέργειες. Η συχνότητα εμφάνισης έχει ορισθεί ως: πολύ συχνές (≥ 1/10), συχνές</w:t>
      </w:r>
    </w:p>
    <w:p w:rsidR="00A56FAA" w:rsidRPr="005C1C4A" w:rsidRDefault="005C1C4A" w:rsidP="00046B36">
      <w:pPr>
        <w:pStyle w:val="a3"/>
        <w:spacing w:before="2" w:line="244" w:lineRule="auto"/>
        <w:ind w:left="218"/>
        <w:jc w:val="both"/>
        <w:rPr>
          <w:lang w:val="el-GR"/>
        </w:rPr>
      </w:pPr>
      <w:r w:rsidRPr="005C1C4A">
        <w:rPr>
          <w:lang w:val="el-GR"/>
        </w:rPr>
        <w:t>(≥ 1/100 έως &lt; 1/10), όχι συχνές (≥ 1/1.000 έως &lt; 1/100), σπάνιες (≥ 1/10.000, έως &lt; 1/1.000), πολύ σπάνιες (&lt; 1/10.000) και μη γνωστές (δεν μπορούν να εκτιμηθούν με βάση τα διαθέσιμα δεδομένα).</w:t>
      </w:r>
    </w:p>
    <w:p w:rsidR="00A56FAA" w:rsidRPr="005C1C4A" w:rsidRDefault="00A56FAA" w:rsidP="00046B36">
      <w:pPr>
        <w:pStyle w:val="a3"/>
        <w:spacing w:before="2"/>
        <w:jc w:val="both"/>
        <w:rPr>
          <w:sz w:val="23"/>
          <w:lang w:val="el-GR"/>
        </w:rPr>
      </w:pPr>
    </w:p>
    <w:p w:rsidR="00A56FAA" w:rsidRPr="005C1C4A" w:rsidRDefault="005C1C4A" w:rsidP="00046B36">
      <w:pPr>
        <w:pStyle w:val="1"/>
        <w:spacing w:line="244" w:lineRule="auto"/>
        <w:jc w:val="both"/>
        <w:rPr>
          <w:lang w:val="el-GR"/>
        </w:rPr>
      </w:pPr>
      <w:r w:rsidRPr="005C1C4A">
        <w:rPr>
          <w:lang w:val="el-GR"/>
        </w:rPr>
        <w:t>Πίνακας 1. Η συχνότητα των ανεπιθύμητων ενεργειών που ταυτοποιήθηκαν από τις ελεγχόμενες με εικονικό φάρμακο κλινικές μελέτες μονοθεραπείας σιταγλιπτίνης και την εμπειρία μετά την κυκλοφορία</w:t>
      </w:r>
    </w:p>
    <w:p w:rsidR="00A56FAA" w:rsidRPr="005C1C4A" w:rsidRDefault="00A56FAA" w:rsidP="00046B36">
      <w:pPr>
        <w:pStyle w:val="a3"/>
        <w:spacing w:before="4"/>
        <w:jc w:val="both"/>
        <w:rPr>
          <w:b/>
          <w:lang w:val="el-GR"/>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476"/>
      </w:tblGrid>
      <w:tr w:rsidR="00A56FAA">
        <w:trPr>
          <w:trHeight w:val="258"/>
        </w:trPr>
        <w:tc>
          <w:tcPr>
            <w:tcW w:w="4812" w:type="dxa"/>
          </w:tcPr>
          <w:p w:rsidR="00A56FAA" w:rsidRDefault="005C1C4A" w:rsidP="00046B36">
            <w:pPr>
              <w:pStyle w:val="TableParagraph"/>
              <w:spacing w:before="5" w:line="233" w:lineRule="exact"/>
              <w:ind w:left="1358"/>
              <w:jc w:val="both"/>
              <w:rPr>
                <w:b/>
              </w:rPr>
            </w:pPr>
            <w:r>
              <w:rPr>
                <w:b/>
              </w:rPr>
              <w:t>Ανεπιθύμητη ενέργεια</w:t>
            </w:r>
          </w:p>
        </w:tc>
        <w:tc>
          <w:tcPr>
            <w:tcW w:w="4476" w:type="dxa"/>
          </w:tcPr>
          <w:p w:rsidR="00A56FAA" w:rsidRDefault="005C1C4A" w:rsidP="00046B36">
            <w:pPr>
              <w:pStyle w:val="TableParagraph"/>
              <w:spacing w:before="5" w:line="233" w:lineRule="exact"/>
              <w:ind w:left="371"/>
              <w:jc w:val="both"/>
              <w:rPr>
                <w:b/>
              </w:rPr>
            </w:pPr>
            <w:r>
              <w:rPr>
                <w:b/>
              </w:rPr>
              <w:t>Συχνότητα της ανεπιθύμητης ενέργειας</w:t>
            </w:r>
          </w:p>
        </w:tc>
      </w:tr>
      <w:tr w:rsidR="00A56FAA">
        <w:trPr>
          <w:trHeight w:val="258"/>
        </w:trPr>
        <w:tc>
          <w:tcPr>
            <w:tcW w:w="4812" w:type="dxa"/>
          </w:tcPr>
          <w:p w:rsidR="00A56FAA" w:rsidRDefault="00A56FAA" w:rsidP="00046B36">
            <w:pPr>
              <w:pStyle w:val="TableParagraph"/>
              <w:jc w:val="both"/>
              <w:rPr>
                <w:sz w:val="18"/>
              </w:rPr>
            </w:pPr>
          </w:p>
        </w:tc>
        <w:tc>
          <w:tcPr>
            <w:tcW w:w="4476" w:type="dxa"/>
          </w:tcPr>
          <w:p w:rsidR="00A56FAA" w:rsidRDefault="00A56FAA" w:rsidP="00046B36">
            <w:pPr>
              <w:pStyle w:val="TableParagraph"/>
              <w:jc w:val="both"/>
              <w:rPr>
                <w:sz w:val="18"/>
              </w:rPr>
            </w:pPr>
          </w:p>
        </w:tc>
      </w:tr>
      <w:tr w:rsidR="00A56FAA" w:rsidRPr="00EC7912">
        <w:trPr>
          <w:trHeight w:val="518"/>
        </w:trPr>
        <w:tc>
          <w:tcPr>
            <w:tcW w:w="4812" w:type="dxa"/>
          </w:tcPr>
          <w:p w:rsidR="00A56FAA" w:rsidRPr="005C1C4A" w:rsidRDefault="005C1C4A" w:rsidP="00046B36">
            <w:pPr>
              <w:pStyle w:val="TableParagraph"/>
              <w:spacing w:before="3" w:line="260" w:lineRule="exact"/>
              <w:ind w:left="107"/>
              <w:jc w:val="both"/>
              <w:rPr>
                <w:b/>
                <w:lang w:val="el-GR"/>
              </w:rPr>
            </w:pPr>
            <w:r w:rsidRPr="005C1C4A">
              <w:rPr>
                <w:b/>
                <w:lang w:val="el-GR"/>
              </w:rPr>
              <w:t>Διαταραχές του αιμοποιητικού και του λεμφικού συστήματος</w:t>
            </w:r>
          </w:p>
        </w:tc>
        <w:tc>
          <w:tcPr>
            <w:tcW w:w="4476" w:type="dxa"/>
          </w:tcPr>
          <w:p w:rsidR="00A56FAA" w:rsidRPr="005C1C4A" w:rsidRDefault="00A56FAA" w:rsidP="00046B36">
            <w:pPr>
              <w:pStyle w:val="TableParagraph"/>
              <w:jc w:val="both"/>
              <w:rPr>
                <w:lang w:val="el-GR"/>
              </w:rPr>
            </w:pPr>
          </w:p>
        </w:tc>
      </w:tr>
      <w:tr w:rsidR="00A56FAA">
        <w:trPr>
          <w:trHeight w:val="253"/>
        </w:trPr>
        <w:tc>
          <w:tcPr>
            <w:tcW w:w="4812" w:type="dxa"/>
          </w:tcPr>
          <w:p w:rsidR="00A56FAA" w:rsidRDefault="005C1C4A" w:rsidP="00046B36">
            <w:pPr>
              <w:pStyle w:val="TableParagraph"/>
              <w:spacing w:line="234" w:lineRule="exact"/>
              <w:ind w:left="107"/>
              <w:jc w:val="both"/>
            </w:pPr>
            <w:r>
              <w:t>θρομβοπενία</w:t>
            </w:r>
          </w:p>
        </w:tc>
        <w:tc>
          <w:tcPr>
            <w:tcW w:w="4476" w:type="dxa"/>
          </w:tcPr>
          <w:p w:rsidR="00A56FAA" w:rsidRDefault="005C1C4A" w:rsidP="00046B36">
            <w:pPr>
              <w:pStyle w:val="TableParagraph"/>
              <w:spacing w:line="234" w:lineRule="exact"/>
              <w:ind w:left="372"/>
              <w:jc w:val="both"/>
            </w:pPr>
            <w:r>
              <w:t>Σπάνια</w:t>
            </w:r>
          </w:p>
        </w:tc>
      </w:tr>
    </w:tbl>
    <w:p w:rsidR="00A56FAA" w:rsidRDefault="00A56FAA" w:rsidP="00046B36">
      <w:pPr>
        <w:spacing w:line="234" w:lineRule="exact"/>
        <w:jc w:val="both"/>
        <w:sectPr w:rsidR="00A56FAA">
          <w:pgSz w:w="11910" w:h="16840"/>
          <w:pgMar w:top="1040" w:right="1180" w:bottom="900" w:left="1200" w:header="0" w:footer="714"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476"/>
      </w:tblGrid>
      <w:tr w:rsidR="00A56FAA">
        <w:trPr>
          <w:trHeight w:val="258"/>
        </w:trPr>
        <w:tc>
          <w:tcPr>
            <w:tcW w:w="4812" w:type="dxa"/>
          </w:tcPr>
          <w:p w:rsidR="00A56FAA" w:rsidRDefault="005C1C4A" w:rsidP="00046B36">
            <w:pPr>
              <w:pStyle w:val="TableParagraph"/>
              <w:spacing w:before="5" w:line="233" w:lineRule="exact"/>
              <w:ind w:left="1358"/>
              <w:jc w:val="both"/>
              <w:rPr>
                <w:b/>
              </w:rPr>
            </w:pPr>
            <w:r>
              <w:rPr>
                <w:b/>
              </w:rPr>
              <w:lastRenderedPageBreak/>
              <w:t>Ανεπιθύμητη ενέργεια</w:t>
            </w:r>
          </w:p>
        </w:tc>
        <w:tc>
          <w:tcPr>
            <w:tcW w:w="4476" w:type="dxa"/>
          </w:tcPr>
          <w:p w:rsidR="00A56FAA" w:rsidRDefault="005C1C4A" w:rsidP="00046B36">
            <w:pPr>
              <w:pStyle w:val="TableParagraph"/>
              <w:spacing w:before="5" w:line="233" w:lineRule="exact"/>
              <w:ind w:left="371"/>
              <w:jc w:val="both"/>
              <w:rPr>
                <w:b/>
              </w:rPr>
            </w:pPr>
            <w:r>
              <w:rPr>
                <w:b/>
              </w:rPr>
              <w:t>Συχνότητα της ανεπιθύμητης ενέργειας</w:t>
            </w:r>
          </w:p>
        </w:tc>
      </w:tr>
      <w:tr w:rsidR="00A56FAA">
        <w:trPr>
          <w:trHeight w:val="258"/>
        </w:trPr>
        <w:tc>
          <w:tcPr>
            <w:tcW w:w="4812" w:type="dxa"/>
          </w:tcPr>
          <w:p w:rsidR="00A56FAA" w:rsidRDefault="00A56FAA" w:rsidP="00046B36">
            <w:pPr>
              <w:pStyle w:val="TableParagraph"/>
              <w:jc w:val="both"/>
              <w:rPr>
                <w:sz w:val="18"/>
              </w:rPr>
            </w:pPr>
          </w:p>
        </w:tc>
        <w:tc>
          <w:tcPr>
            <w:tcW w:w="4476" w:type="dxa"/>
          </w:tcPr>
          <w:p w:rsidR="00A56FAA" w:rsidRDefault="00A56FAA" w:rsidP="00046B36">
            <w:pPr>
              <w:pStyle w:val="TableParagraph"/>
              <w:jc w:val="both"/>
              <w:rPr>
                <w:sz w:val="18"/>
              </w:rPr>
            </w:pPr>
          </w:p>
        </w:tc>
      </w:tr>
      <w:tr w:rsidR="00A56FAA">
        <w:trPr>
          <w:trHeight w:val="258"/>
        </w:trPr>
        <w:tc>
          <w:tcPr>
            <w:tcW w:w="4812" w:type="dxa"/>
          </w:tcPr>
          <w:p w:rsidR="00A56FAA" w:rsidRDefault="005C1C4A" w:rsidP="00046B36">
            <w:pPr>
              <w:pStyle w:val="TableParagraph"/>
              <w:spacing w:before="5" w:line="233" w:lineRule="exact"/>
              <w:ind w:left="107"/>
              <w:jc w:val="both"/>
              <w:rPr>
                <w:b/>
              </w:rPr>
            </w:pPr>
            <w:r>
              <w:rPr>
                <w:b/>
              </w:rPr>
              <w:t>Διαταραχές του ανοσοποιητικού συστήματος</w:t>
            </w:r>
          </w:p>
        </w:tc>
        <w:tc>
          <w:tcPr>
            <w:tcW w:w="4476" w:type="dxa"/>
          </w:tcPr>
          <w:p w:rsidR="00A56FAA" w:rsidRDefault="00A56FAA" w:rsidP="00046B36">
            <w:pPr>
              <w:pStyle w:val="TableParagraph"/>
              <w:jc w:val="both"/>
              <w:rPr>
                <w:sz w:val="18"/>
              </w:rPr>
            </w:pPr>
          </w:p>
        </w:tc>
      </w:tr>
      <w:tr w:rsidR="00A56FAA">
        <w:trPr>
          <w:trHeight w:val="782"/>
        </w:trPr>
        <w:tc>
          <w:tcPr>
            <w:tcW w:w="4812" w:type="dxa"/>
          </w:tcPr>
          <w:p w:rsidR="00A56FAA" w:rsidRPr="005C1C4A" w:rsidRDefault="005C1C4A" w:rsidP="00046B36">
            <w:pPr>
              <w:pStyle w:val="TableParagraph"/>
              <w:spacing w:before="1" w:line="244" w:lineRule="auto"/>
              <w:ind w:left="107"/>
              <w:rPr>
                <w:lang w:val="el-GR"/>
              </w:rPr>
            </w:pPr>
            <w:r w:rsidRPr="005C1C4A">
              <w:rPr>
                <w:lang w:val="el-GR"/>
              </w:rPr>
              <w:t>αντιδράσεις υπερευαισθησίας, συμπεριλαμβανομένων των αναφυλακτικών</w:t>
            </w:r>
          </w:p>
          <w:p w:rsidR="00A56FAA" w:rsidRPr="005C1C4A" w:rsidRDefault="005C1C4A" w:rsidP="00046B36">
            <w:pPr>
              <w:pStyle w:val="TableParagraph"/>
              <w:spacing w:before="7" w:line="238" w:lineRule="exact"/>
              <w:ind w:left="107"/>
              <w:rPr>
                <w:b/>
                <w:lang w:val="el-GR"/>
              </w:rPr>
            </w:pPr>
            <w:r w:rsidRPr="005C1C4A">
              <w:rPr>
                <w:lang w:val="el-GR"/>
              </w:rPr>
              <w:t>αντιδράσεων</w:t>
            </w:r>
            <w:r w:rsidRPr="005C1C4A">
              <w:rPr>
                <w:vertAlign w:val="superscript"/>
                <w:lang w:val="el-GR"/>
              </w:rPr>
              <w:t>*,</w:t>
            </w:r>
            <w:r w:rsidRPr="005C1C4A">
              <w:rPr>
                <w:b/>
                <w:vertAlign w:val="superscript"/>
                <w:lang w:val="el-GR"/>
              </w:rPr>
              <w:t>†</w:t>
            </w:r>
          </w:p>
        </w:tc>
        <w:tc>
          <w:tcPr>
            <w:tcW w:w="4476" w:type="dxa"/>
          </w:tcPr>
          <w:p w:rsidR="00A56FAA" w:rsidRDefault="005C1C4A" w:rsidP="00046B36">
            <w:pPr>
              <w:pStyle w:val="TableParagraph"/>
              <w:spacing w:before="1"/>
              <w:ind w:left="372"/>
              <w:jc w:val="both"/>
            </w:pPr>
            <w:r>
              <w:t>Μη γνωστή συχνότητα</w:t>
            </w:r>
          </w:p>
        </w:tc>
      </w:tr>
      <w:tr w:rsidR="00A56FAA">
        <w:trPr>
          <w:trHeight w:val="258"/>
        </w:trPr>
        <w:tc>
          <w:tcPr>
            <w:tcW w:w="4812" w:type="dxa"/>
          </w:tcPr>
          <w:p w:rsidR="00A56FAA" w:rsidRDefault="00A56FAA" w:rsidP="00046B36">
            <w:pPr>
              <w:pStyle w:val="TableParagraph"/>
              <w:jc w:val="both"/>
              <w:rPr>
                <w:sz w:val="18"/>
              </w:rPr>
            </w:pPr>
          </w:p>
        </w:tc>
        <w:tc>
          <w:tcPr>
            <w:tcW w:w="4476" w:type="dxa"/>
          </w:tcPr>
          <w:p w:rsidR="00A56FAA" w:rsidRDefault="00A56FAA" w:rsidP="00046B36">
            <w:pPr>
              <w:pStyle w:val="TableParagraph"/>
              <w:jc w:val="both"/>
              <w:rPr>
                <w:sz w:val="18"/>
              </w:rPr>
            </w:pPr>
          </w:p>
        </w:tc>
      </w:tr>
      <w:tr w:rsidR="00A56FAA" w:rsidRPr="00EC7912">
        <w:trPr>
          <w:trHeight w:val="258"/>
        </w:trPr>
        <w:tc>
          <w:tcPr>
            <w:tcW w:w="4812" w:type="dxa"/>
          </w:tcPr>
          <w:p w:rsidR="00A56FAA" w:rsidRPr="005C1C4A" w:rsidRDefault="005C1C4A" w:rsidP="00046B36">
            <w:pPr>
              <w:pStyle w:val="TableParagraph"/>
              <w:spacing w:before="5" w:line="233" w:lineRule="exact"/>
              <w:ind w:left="107"/>
              <w:jc w:val="both"/>
              <w:rPr>
                <w:b/>
                <w:lang w:val="el-GR"/>
              </w:rPr>
            </w:pPr>
            <w:r w:rsidRPr="005C1C4A">
              <w:rPr>
                <w:b/>
                <w:lang w:val="el-GR"/>
              </w:rPr>
              <w:t>Διαταραχές του μεταβολισμού και της θρέψης</w:t>
            </w:r>
          </w:p>
        </w:tc>
        <w:tc>
          <w:tcPr>
            <w:tcW w:w="4476" w:type="dxa"/>
          </w:tcPr>
          <w:p w:rsidR="00A56FAA" w:rsidRPr="005C1C4A" w:rsidRDefault="00A56FAA" w:rsidP="00046B36">
            <w:pPr>
              <w:pStyle w:val="TableParagraph"/>
              <w:jc w:val="both"/>
              <w:rPr>
                <w:sz w:val="18"/>
                <w:lang w:val="el-GR"/>
              </w:rPr>
            </w:pPr>
          </w:p>
        </w:tc>
      </w:tr>
      <w:tr w:rsidR="00A56FAA">
        <w:trPr>
          <w:trHeight w:val="263"/>
        </w:trPr>
        <w:tc>
          <w:tcPr>
            <w:tcW w:w="4812" w:type="dxa"/>
          </w:tcPr>
          <w:p w:rsidR="00A56FAA" w:rsidRDefault="005C1C4A" w:rsidP="00046B36">
            <w:pPr>
              <w:pStyle w:val="TableParagraph"/>
              <w:spacing w:before="5" w:line="238" w:lineRule="exact"/>
              <w:ind w:left="107"/>
              <w:jc w:val="both"/>
              <w:rPr>
                <w:b/>
              </w:rPr>
            </w:pPr>
            <w:r>
              <w:t>υπογλυκαιμία</w:t>
            </w:r>
            <w:r>
              <w:rPr>
                <w:b/>
                <w:vertAlign w:val="superscript"/>
              </w:rPr>
              <w:t>†</w:t>
            </w:r>
          </w:p>
        </w:tc>
        <w:tc>
          <w:tcPr>
            <w:tcW w:w="4476" w:type="dxa"/>
          </w:tcPr>
          <w:p w:rsidR="00A56FAA" w:rsidRDefault="005C1C4A" w:rsidP="00046B36">
            <w:pPr>
              <w:pStyle w:val="TableParagraph"/>
              <w:spacing w:before="1" w:line="243" w:lineRule="exact"/>
              <w:ind w:left="372"/>
              <w:jc w:val="both"/>
            </w:pPr>
            <w:r>
              <w:t>Συχνή</w:t>
            </w:r>
          </w:p>
        </w:tc>
      </w:tr>
      <w:tr w:rsidR="00A56FAA">
        <w:trPr>
          <w:trHeight w:val="258"/>
        </w:trPr>
        <w:tc>
          <w:tcPr>
            <w:tcW w:w="4812" w:type="dxa"/>
          </w:tcPr>
          <w:p w:rsidR="00A56FAA" w:rsidRDefault="00A56FAA" w:rsidP="00046B36">
            <w:pPr>
              <w:pStyle w:val="TableParagraph"/>
              <w:jc w:val="both"/>
              <w:rPr>
                <w:sz w:val="18"/>
              </w:rPr>
            </w:pPr>
          </w:p>
        </w:tc>
        <w:tc>
          <w:tcPr>
            <w:tcW w:w="4476" w:type="dxa"/>
          </w:tcPr>
          <w:p w:rsidR="00A56FAA" w:rsidRDefault="00A56FAA" w:rsidP="00046B36">
            <w:pPr>
              <w:pStyle w:val="TableParagraph"/>
              <w:jc w:val="both"/>
              <w:rPr>
                <w:sz w:val="18"/>
              </w:rPr>
            </w:pPr>
          </w:p>
        </w:tc>
      </w:tr>
      <w:tr w:rsidR="00A56FAA">
        <w:trPr>
          <w:trHeight w:val="258"/>
        </w:trPr>
        <w:tc>
          <w:tcPr>
            <w:tcW w:w="4812" w:type="dxa"/>
          </w:tcPr>
          <w:p w:rsidR="00A56FAA" w:rsidRDefault="005C1C4A" w:rsidP="00046B36">
            <w:pPr>
              <w:pStyle w:val="TableParagraph"/>
              <w:spacing w:before="5" w:line="233" w:lineRule="exact"/>
              <w:ind w:left="107"/>
              <w:jc w:val="both"/>
              <w:rPr>
                <w:b/>
              </w:rPr>
            </w:pPr>
            <w:r>
              <w:rPr>
                <w:b/>
              </w:rPr>
              <w:t>Διαταραχές του νευρικού συστήματος</w:t>
            </w:r>
          </w:p>
        </w:tc>
        <w:tc>
          <w:tcPr>
            <w:tcW w:w="4476" w:type="dxa"/>
          </w:tcPr>
          <w:p w:rsidR="00A56FAA" w:rsidRDefault="00A56FAA" w:rsidP="00046B36">
            <w:pPr>
              <w:pStyle w:val="TableParagraph"/>
              <w:jc w:val="both"/>
              <w:rPr>
                <w:sz w:val="18"/>
              </w:rPr>
            </w:pPr>
          </w:p>
        </w:tc>
      </w:tr>
      <w:tr w:rsidR="00A56FAA">
        <w:trPr>
          <w:trHeight w:val="258"/>
        </w:trPr>
        <w:tc>
          <w:tcPr>
            <w:tcW w:w="4812" w:type="dxa"/>
          </w:tcPr>
          <w:p w:rsidR="00A56FAA" w:rsidRDefault="005C1C4A" w:rsidP="00046B36">
            <w:pPr>
              <w:pStyle w:val="TableParagraph"/>
              <w:spacing w:before="1" w:line="238" w:lineRule="exact"/>
              <w:ind w:left="107"/>
              <w:jc w:val="both"/>
            </w:pPr>
            <w:r>
              <w:t>κεφαλαλγία</w:t>
            </w:r>
          </w:p>
        </w:tc>
        <w:tc>
          <w:tcPr>
            <w:tcW w:w="4476" w:type="dxa"/>
          </w:tcPr>
          <w:p w:rsidR="00A56FAA" w:rsidRDefault="005C1C4A" w:rsidP="00046B36">
            <w:pPr>
              <w:pStyle w:val="TableParagraph"/>
              <w:spacing w:before="1" w:line="238" w:lineRule="exact"/>
              <w:ind w:left="372"/>
              <w:jc w:val="both"/>
            </w:pPr>
            <w:r>
              <w:t>Συχνή</w:t>
            </w:r>
          </w:p>
        </w:tc>
      </w:tr>
      <w:tr w:rsidR="00A56FAA">
        <w:trPr>
          <w:trHeight w:val="258"/>
        </w:trPr>
        <w:tc>
          <w:tcPr>
            <w:tcW w:w="4812" w:type="dxa"/>
          </w:tcPr>
          <w:p w:rsidR="00A56FAA" w:rsidRDefault="005C1C4A" w:rsidP="00046B36">
            <w:pPr>
              <w:pStyle w:val="TableParagraph"/>
              <w:spacing w:before="1" w:line="238" w:lineRule="exact"/>
              <w:ind w:left="107"/>
              <w:jc w:val="both"/>
            </w:pPr>
            <w:r>
              <w:t>ζάλη</w:t>
            </w:r>
          </w:p>
        </w:tc>
        <w:tc>
          <w:tcPr>
            <w:tcW w:w="4476" w:type="dxa"/>
          </w:tcPr>
          <w:p w:rsidR="00A56FAA" w:rsidRDefault="005C1C4A" w:rsidP="00046B36">
            <w:pPr>
              <w:pStyle w:val="TableParagraph"/>
              <w:spacing w:before="1" w:line="238" w:lineRule="exact"/>
              <w:ind w:left="372"/>
              <w:jc w:val="both"/>
            </w:pPr>
            <w:r>
              <w:t>Όχι συχνή</w:t>
            </w:r>
          </w:p>
        </w:tc>
      </w:tr>
      <w:tr w:rsidR="00A56FAA">
        <w:trPr>
          <w:trHeight w:val="258"/>
        </w:trPr>
        <w:tc>
          <w:tcPr>
            <w:tcW w:w="4812" w:type="dxa"/>
          </w:tcPr>
          <w:p w:rsidR="00A56FAA" w:rsidRDefault="00A56FAA" w:rsidP="00046B36">
            <w:pPr>
              <w:pStyle w:val="TableParagraph"/>
              <w:jc w:val="both"/>
              <w:rPr>
                <w:sz w:val="18"/>
              </w:rPr>
            </w:pPr>
          </w:p>
        </w:tc>
        <w:tc>
          <w:tcPr>
            <w:tcW w:w="4476" w:type="dxa"/>
          </w:tcPr>
          <w:p w:rsidR="00A56FAA" w:rsidRDefault="00A56FAA" w:rsidP="00046B36">
            <w:pPr>
              <w:pStyle w:val="TableParagraph"/>
              <w:jc w:val="both"/>
              <w:rPr>
                <w:sz w:val="18"/>
              </w:rPr>
            </w:pPr>
          </w:p>
        </w:tc>
      </w:tr>
      <w:tr w:rsidR="00A56FAA" w:rsidRPr="00EC7912">
        <w:trPr>
          <w:trHeight w:val="517"/>
        </w:trPr>
        <w:tc>
          <w:tcPr>
            <w:tcW w:w="4812" w:type="dxa"/>
          </w:tcPr>
          <w:p w:rsidR="00A56FAA" w:rsidRPr="005C1C4A" w:rsidRDefault="005C1C4A" w:rsidP="00046B36">
            <w:pPr>
              <w:pStyle w:val="TableParagraph"/>
              <w:spacing w:before="3" w:line="260" w:lineRule="exact"/>
              <w:ind w:left="107"/>
              <w:jc w:val="both"/>
              <w:rPr>
                <w:b/>
                <w:lang w:val="el-GR"/>
              </w:rPr>
            </w:pPr>
            <w:r w:rsidRPr="005C1C4A">
              <w:rPr>
                <w:b/>
                <w:lang w:val="el-GR"/>
              </w:rPr>
              <w:t>Διαταραχές του αναπνευστικού συστήματος, του θώρακα και του μεσοθωράκιου</w:t>
            </w:r>
          </w:p>
        </w:tc>
        <w:tc>
          <w:tcPr>
            <w:tcW w:w="4476" w:type="dxa"/>
          </w:tcPr>
          <w:p w:rsidR="00A56FAA" w:rsidRPr="005C1C4A" w:rsidRDefault="00A56FAA" w:rsidP="00046B36">
            <w:pPr>
              <w:pStyle w:val="TableParagraph"/>
              <w:jc w:val="both"/>
              <w:rPr>
                <w:sz w:val="20"/>
                <w:lang w:val="el-GR"/>
              </w:rPr>
            </w:pPr>
          </w:p>
        </w:tc>
      </w:tr>
      <w:tr w:rsidR="00A56FAA">
        <w:trPr>
          <w:trHeight w:val="253"/>
        </w:trPr>
        <w:tc>
          <w:tcPr>
            <w:tcW w:w="4812" w:type="dxa"/>
          </w:tcPr>
          <w:p w:rsidR="00A56FAA" w:rsidRDefault="005C1C4A" w:rsidP="00046B36">
            <w:pPr>
              <w:pStyle w:val="TableParagraph"/>
              <w:spacing w:line="234" w:lineRule="exact"/>
              <w:ind w:left="107"/>
              <w:jc w:val="both"/>
            </w:pPr>
            <w:r>
              <w:t>διάμεση πνευμονική νόσος</w:t>
            </w:r>
            <w:r>
              <w:rPr>
                <w:vertAlign w:val="superscript"/>
              </w:rPr>
              <w:t>*</w:t>
            </w:r>
          </w:p>
        </w:tc>
        <w:tc>
          <w:tcPr>
            <w:tcW w:w="4476" w:type="dxa"/>
          </w:tcPr>
          <w:p w:rsidR="00A56FAA" w:rsidRDefault="005C1C4A" w:rsidP="00046B36">
            <w:pPr>
              <w:pStyle w:val="TableParagraph"/>
              <w:spacing w:line="234" w:lineRule="exact"/>
              <w:ind w:left="372"/>
              <w:jc w:val="both"/>
            </w:pPr>
            <w:r>
              <w:t>Μη γνωστή συχνότητα</w:t>
            </w:r>
          </w:p>
        </w:tc>
      </w:tr>
      <w:tr w:rsidR="00A56FAA">
        <w:trPr>
          <w:trHeight w:val="258"/>
        </w:trPr>
        <w:tc>
          <w:tcPr>
            <w:tcW w:w="4812" w:type="dxa"/>
          </w:tcPr>
          <w:p w:rsidR="00A56FAA" w:rsidRDefault="00A56FAA" w:rsidP="00046B36">
            <w:pPr>
              <w:pStyle w:val="TableParagraph"/>
              <w:jc w:val="both"/>
              <w:rPr>
                <w:sz w:val="18"/>
              </w:rPr>
            </w:pPr>
          </w:p>
        </w:tc>
        <w:tc>
          <w:tcPr>
            <w:tcW w:w="4476" w:type="dxa"/>
          </w:tcPr>
          <w:p w:rsidR="00A56FAA" w:rsidRDefault="00A56FAA" w:rsidP="00046B36">
            <w:pPr>
              <w:pStyle w:val="TableParagraph"/>
              <w:jc w:val="both"/>
              <w:rPr>
                <w:sz w:val="18"/>
              </w:rPr>
            </w:pPr>
          </w:p>
        </w:tc>
      </w:tr>
      <w:tr w:rsidR="00A56FAA">
        <w:trPr>
          <w:trHeight w:val="258"/>
        </w:trPr>
        <w:tc>
          <w:tcPr>
            <w:tcW w:w="4812" w:type="dxa"/>
          </w:tcPr>
          <w:p w:rsidR="00A56FAA" w:rsidRDefault="005C1C4A" w:rsidP="00046B36">
            <w:pPr>
              <w:pStyle w:val="TableParagraph"/>
              <w:spacing w:before="5" w:line="233" w:lineRule="exact"/>
              <w:ind w:left="107"/>
              <w:jc w:val="both"/>
              <w:rPr>
                <w:b/>
              </w:rPr>
            </w:pPr>
            <w:r>
              <w:rPr>
                <w:b/>
              </w:rPr>
              <w:t>Διαταραχές του γαστρεντερικού</w:t>
            </w:r>
          </w:p>
        </w:tc>
        <w:tc>
          <w:tcPr>
            <w:tcW w:w="4476" w:type="dxa"/>
          </w:tcPr>
          <w:p w:rsidR="00A56FAA" w:rsidRDefault="00A56FAA" w:rsidP="00046B36">
            <w:pPr>
              <w:pStyle w:val="TableParagraph"/>
              <w:jc w:val="both"/>
              <w:rPr>
                <w:sz w:val="18"/>
              </w:rPr>
            </w:pPr>
          </w:p>
        </w:tc>
      </w:tr>
      <w:tr w:rsidR="00A56FAA">
        <w:trPr>
          <w:trHeight w:val="258"/>
        </w:trPr>
        <w:tc>
          <w:tcPr>
            <w:tcW w:w="4812" w:type="dxa"/>
          </w:tcPr>
          <w:p w:rsidR="00A56FAA" w:rsidRDefault="005C1C4A" w:rsidP="00046B36">
            <w:pPr>
              <w:pStyle w:val="TableParagraph"/>
              <w:spacing w:before="1" w:line="238" w:lineRule="exact"/>
              <w:ind w:left="107"/>
              <w:jc w:val="both"/>
            </w:pPr>
            <w:r>
              <w:t>δυσκοιλιότητα</w:t>
            </w:r>
          </w:p>
        </w:tc>
        <w:tc>
          <w:tcPr>
            <w:tcW w:w="4476" w:type="dxa"/>
          </w:tcPr>
          <w:p w:rsidR="00A56FAA" w:rsidRDefault="005C1C4A" w:rsidP="00046B36">
            <w:pPr>
              <w:pStyle w:val="TableParagraph"/>
              <w:spacing w:before="1" w:line="238" w:lineRule="exact"/>
              <w:ind w:left="372"/>
              <w:jc w:val="both"/>
            </w:pPr>
            <w:r>
              <w:t>Όχι συχνή</w:t>
            </w:r>
          </w:p>
        </w:tc>
      </w:tr>
      <w:tr w:rsidR="00A56FAA">
        <w:trPr>
          <w:trHeight w:val="258"/>
        </w:trPr>
        <w:tc>
          <w:tcPr>
            <w:tcW w:w="4812" w:type="dxa"/>
          </w:tcPr>
          <w:p w:rsidR="00A56FAA" w:rsidRDefault="005C1C4A" w:rsidP="00046B36">
            <w:pPr>
              <w:pStyle w:val="TableParagraph"/>
              <w:spacing w:before="1" w:line="238" w:lineRule="exact"/>
              <w:ind w:left="107"/>
              <w:jc w:val="both"/>
            </w:pPr>
            <w:r>
              <w:t>έμετος</w:t>
            </w:r>
            <w:r>
              <w:rPr>
                <w:vertAlign w:val="superscript"/>
              </w:rPr>
              <w:t>*</w:t>
            </w:r>
          </w:p>
        </w:tc>
        <w:tc>
          <w:tcPr>
            <w:tcW w:w="4476" w:type="dxa"/>
          </w:tcPr>
          <w:p w:rsidR="00A56FAA" w:rsidRDefault="005C1C4A" w:rsidP="00046B36">
            <w:pPr>
              <w:pStyle w:val="TableParagraph"/>
              <w:spacing w:before="1" w:line="238" w:lineRule="exact"/>
              <w:ind w:left="372"/>
              <w:jc w:val="both"/>
            </w:pPr>
            <w:r>
              <w:t>Μη γνωστή συχνότητα</w:t>
            </w:r>
          </w:p>
        </w:tc>
      </w:tr>
      <w:tr w:rsidR="00A56FAA">
        <w:trPr>
          <w:trHeight w:val="258"/>
        </w:trPr>
        <w:tc>
          <w:tcPr>
            <w:tcW w:w="4812" w:type="dxa"/>
          </w:tcPr>
          <w:p w:rsidR="00A56FAA" w:rsidRDefault="005C1C4A" w:rsidP="00046B36">
            <w:pPr>
              <w:pStyle w:val="TableParagraph"/>
              <w:spacing w:before="1" w:line="238" w:lineRule="exact"/>
              <w:ind w:left="107"/>
              <w:jc w:val="both"/>
            </w:pPr>
            <w:r>
              <w:t>οξεία παγκρεατίτιδα</w:t>
            </w:r>
            <w:r>
              <w:rPr>
                <w:vertAlign w:val="superscript"/>
              </w:rPr>
              <w:t>*,†,‡</w:t>
            </w:r>
          </w:p>
        </w:tc>
        <w:tc>
          <w:tcPr>
            <w:tcW w:w="4476" w:type="dxa"/>
          </w:tcPr>
          <w:p w:rsidR="00A56FAA" w:rsidRDefault="005C1C4A" w:rsidP="00046B36">
            <w:pPr>
              <w:pStyle w:val="TableParagraph"/>
              <w:spacing w:before="1" w:line="238" w:lineRule="exact"/>
              <w:ind w:left="372"/>
              <w:jc w:val="both"/>
            </w:pPr>
            <w:r>
              <w:t>Μη γνωστή συχνότητα</w:t>
            </w:r>
          </w:p>
        </w:tc>
      </w:tr>
      <w:tr w:rsidR="00A56FAA">
        <w:trPr>
          <w:trHeight w:val="522"/>
        </w:trPr>
        <w:tc>
          <w:tcPr>
            <w:tcW w:w="4812" w:type="dxa"/>
          </w:tcPr>
          <w:p w:rsidR="00A56FAA" w:rsidRPr="005C1C4A" w:rsidRDefault="005C1C4A" w:rsidP="00046B36">
            <w:pPr>
              <w:pStyle w:val="TableParagraph"/>
              <w:spacing w:before="1"/>
              <w:ind w:left="107"/>
              <w:jc w:val="both"/>
              <w:rPr>
                <w:lang w:val="el-GR"/>
              </w:rPr>
            </w:pPr>
            <w:r w:rsidRPr="005C1C4A">
              <w:rPr>
                <w:lang w:val="el-GR"/>
              </w:rPr>
              <w:t>θανατηφόρος και μη-θανατηφόρος αιμορραγική και</w:t>
            </w:r>
          </w:p>
          <w:p w:rsidR="00A56FAA" w:rsidRDefault="005C1C4A" w:rsidP="00046B36">
            <w:pPr>
              <w:pStyle w:val="TableParagraph"/>
              <w:spacing w:before="11" w:line="238" w:lineRule="exact"/>
              <w:ind w:left="107"/>
              <w:jc w:val="both"/>
              <w:rPr>
                <w:b/>
              </w:rPr>
            </w:pPr>
            <w:r>
              <w:t>νεκρωτική παγκρεατίτιδα</w:t>
            </w:r>
            <w:r>
              <w:rPr>
                <w:vertAlign w:val="superscript"/>
              </w:rPr>
              <w:t>*,</w:t>
            </w:r>
            <w:r>
              <w:rPr>
                <w:b/>
                <w:vertAlign w:val="superscript"/>
              </w:rPr>
              <w:t>†</w:t>
            </w:r>
          </w:p>
        </w:tc>
        <w:tc>
          <w:tcPr>
            <w:tcW w:w="4476" w:type="dxa"/>
          </w:tcPr>
          <w:p w:rsidR="00A56FAA" w:rsidRDefault="005C1C4A" w:rsidP="00046B36">
            <w:pPr>
              <w:pStyle w:val="TableParagraph"/>
              <w:spacing w:before="1"/>
              <w:ind w:left="372"/>
              <w:jc w:val="both"/>
            </w:pPr>
            <w:r>
              <w:t>Μη γνωστή συχνότητα</w:t>
            </w:r>
          </w:p>
        </w:tc>
      </w:tr>
      <w:tr w:rsidR="00A56FAA">
        <w:trPr>
          <w:trHeight w:val="258"/>
        </w:trPr>
        <w:tc>
          <w:tcPr>
            <w:tcW w:w="4812" w:type="dxa"/>
          </w:tcPr>
          <w:p w:rsidR="00A56FAA" w:rsidRDefault="00A56FAA" w:rsidP="00046B36">
            <w:pPr>
              <w:pStyle w:val="TableParagraph"/>
              <w:jc w:val="both"/>
              <w:rPr>
                <w:sz w:val="18"/>
              </w:rPr>
            </w:pPr>
          </w:p>
        </w:tc>
        <w:tc>
          <w:tcPr>
            <w:tcW w:w="4476" w:type="dxa"/>
          </w:tcPr>
          <w:p w:rsidR="00A56FAA" w:rsidRDefault="00A56FAA" w:rsidP="00046B36">
            <w:pPr>
              <w:pStyle w:val="TableParagraph"/>
              <w:jc w:val="both"/>
              <w:rPr>
                <w:sz w:val="18"/>
              </w:rPr>
            </w:pPr>
          </w:p>
        </w:tc>
      </w:tr>
      <w:tr w:rsidR="00A56FAA" w:rsidRPr="00EC7912">
        <w:trPr>
          <w:trHeight w:val="518"/>
        </w:trPr>
        <w:tc>
          <w:tcPr>
            <w:tcW w:w="4812" w:type="dxa"/>
          </w:tcPr>
          <w:p w:rsidR="00A56FAA" w:rsidRPr="005C1C4A" w:rsidRDefault="005C1C4A" w:rsidP="00046B36">
            <w:pPr>
              <w:pStyle w:val="TableParagraph"/>
              <w:spacing w:before="3" w:line="260" w:lineRule="exact"/>
              <w:ind w:left="107"/>
              <w:jc w:val="both"/>
              <w:rPr>
                <w:b/>
                <w:lang w:val="el-GR"/>
              </w:rPr>
            </w:pPr>
            <w:r w:rsidRPr="005C1C4A">
              <w:rPr>
                <w:b/>
                <w:lang w:val="el-GR"/>
              </w:rPr>
              <w:t>Διαταραχές του δέρματος και του υποδόριου ιστού</w:t>
            </w:r>
          </w:p>
        </w:tc>
        <w:tc>
          <w:tcPr>
            <w:tcW w:w="4476" w:type="dxa"/>
          </w:tcPr>
          <w:p w:rsidR="00A56FAA" w:rsidRPr="005C1C4A" w:rsidRDefault="00A56FAA" w:rsidP="00046B36">
            <w:pPr>
              <w:pStyle w:val="TableParagraph"/>
              <w:jc w:val="both"/>
              <w:rPr>
                <w:sz w:val="20"/>
                <w:lang w:val="el-GR"/>
              </w:rPr>
            </w:pPr>
          </w:p>
        </w:tc>
      </w:tr>
      <w:tr w:rsidR="00A56FAA">
        <w:trPr>
          <w:trHeight w:val="253"/>
        </w:trPr>
        <w:tc>
          <w:tcPr>
            <w:tcW w:w="4812" w:type="dxa"/>
          </w:tcPr>
          <w:p w:rsidR="00A56FAA" w:rsidRDefault="005C1C4A" w:rsidP="00046B36">
            <w:pPr>
              <w:pStyle w:val="TableParagraph"/>
              <w:spacing w:line="234" w:lineRule="exact"/>
              <w:ind w:left="107"/>
              <w:jc w:val="both"/>
            </w:pPr>
            <w:r>
              <w:t>κνησμός*</w:t>
            </w:r>
          </w:p>
        </w:tc>
        <w:tc>
          <w:tcPr>
            <w:tcW w:w="4476" w:type="dxa"/>
          </w:tcPr>
          <w:p w:rsidR="00A56FAA" w:rsidRDefault="005C1C4A" w:rsidP="00046B36">
            <w:pPr>
              <w:pStyle w:val="TableParagraph"/>
              <w:spacing w:line="234" w:lineRule="exact"/>
              <w:ind w:left="372"/>
              <w:jc w:val="both"/>
            </w:pPr>
            <w:r>
              <w:t>Όχι συχνή</w:t>
            </w:r>
          </w:p>
        </w:tc>
      </w:tr>
      <w:tr w:rsidR="00A56FAA">
        <w:trPr>
          <w:trHeight w:val="263"/>
        </w:trPr>
        <w:tc>
          <w:tcPr>
            <w:tcW w:w="4812" w:type="dxa"/>
          </w:tcPr>
          <w:p w:rsidR="00A56FAA" w:rsidRDefault="005C1C4A" w:rsidP="00046B36">
            <w:pPr>
              <w:pStyle w:val="TableParagraph"/>
              <w:spacing w:before="5" w:line="238" w:lineRule="exact"/>
              <w:ind w:left="107"/>
              <w:jc w:val="both"/>
              <w:rPr>
                <w:b/>
              </w:rPr>
            </w:pPr>
            <w:r>
              <w:t>αγγειοοίδημα</w:t>
            </w:r>
            <w:r>
              <w:rPr>
                <w:vertAlign w:val="superscript"/>
              </w:rPr>
              <w:t>*,</w:t>
            </w:r>
            <w:r>
              <w:rPr>
                <w:b/>
                <w:vertAlign w:val="superscript"/>
              </w:rPr>
              <w:t>†</w:t>
            </w:r>
          </w:p>
        </w:tc>
        <w:tc>
          <w:tcPr>
            <w:tcW w:w="4476" w:type="dxa"/>
          </w:tcPr>
          <w:p w:rsidR="00A56FAA" w:rsidRDefault="005C1C4A" w:rsidP="00046B36">
            <w:pPr>
              <w:pStyle w:val="TableParagraph"/>
              <w:spacing w:before="1" w:line="243" w:lineRule="exact"/>
              <w:ind w:left="372"/>
              <w:jc w:val="both"/>
            </w:pPr>
            <w:r>
              <w:t>Μη γνωστή συχνότητα</w:t>
            </w:r>
          </w:p>
        </w:tc>
      </w:tr>
      <w:tr w:rsidR="00A56FAA">
        <w:trPr>
          <w:trHeight w:val="263"/>
        </w:trPr>
        <w:tc>
          <w:tcPr>
            <w:tcW w:w="4812" w:type="dxa"/>
          </w:tcPr>
          <w:p w:rsidR="00A56FAA" w:rsidRDefault="005C1C4A" w:rsidP="00046B36">
            <w:pPr>
              <w:pStyle w:val="TableParagraph"/>
              <w:spacing w:before="5" w:line="238" w:lineRule="exact"/>
              <w:ind w:left="107"/>
              <w:jc w:val="both"/>
              <w:rPr>
                <w:b/>
              </w:rPr>
            </w:pPr>
            <w:r>
              <w:t>εξάνθημα</w:t>
            </w:r>
            <w:r>
              <w:rPr>
                <w:vertAlign w:val="superscript"/>
              </w:rPr>
              <w:t>*,</w:t>
            </w:r>
            <w:r>
              <w:rPr>
                <w:b/>
                <w:vertAlign w:val="superscript"/>
              </w:rPr>
              <w:t>†</w:t>
            </w:r>
          </w:p>
        </w:tc>
        <w:tc>
          <w:tcPr>
            <w:tcW w:w="4476" w:type="dxa"/>
          </w:tcPr>
          <w:p w:rsidR="00A56FAA" w:rsidRDefault="005C1C4A" w:rsidP="00046B36">
            <w:pPr>
              <w:pStyle w:val="TableParagraph"/>
              <w:spacing w:before="1" w:line="243" w:lineRule="exact"/>
              <w:ind w:left="372"/>
              <w:jc w:val="both"/>
            </w:pPr>
            <w:r>
              <w:t>Μη γνωστή συχνότητα</w:t>
            </w:r>
          </w:p>
        </w:tc>
      </w:tr>
      <w:tr w:rsidR="00A56FAA">
        <w:trPr>
          <w:trHeight w:val="263"/>
        </w:trPr>
        <w:tc>
          <w:tcPr>
            <w:tcW w:w="4812" w:type="dxa"/>
          </w:tcPr>
          <w:p w:rsidR="00A56FAA" w:rsidRDefault="005C1C4A" w:rsidP="00046B36">
            <w:pPr>
              <w:pStyle w:val="TableParagraph"/>
              <w:spacing w:before="5" w:line="238" w:lineRule="exact"/>
              <w:ind w:left="107"/>
              <w:jc w:val="both"/>
              <w:rPr>
                <w:b/>
              </w:rPr>
            </w:pPr>
            <w:r>
              <w:t>κνίδωση</w:t>
            </w:r>
            <w:r>
              <w:rPr>
                <w:vertAlign w:val="superscript"/>
              </w:rPr>
              <w:t>*,</w:t>
            </w:r>
            <w:r>
              <w:rPr>
                <w:b/>
                <w:vertAlign w:val="superscript"/>
              </w:rPr>
              <w:t>†</w:t>
            </w:r>
          </w:p>
        </w:tc>
        <w:tc>
          <w:tcPr>
            <w:tcW w:w="4476" w:type="dxa"/>
          </w:tcPr>
          <w:p w:rsidR="00A56FAA" w:rsidRDefault="005C1C4A" w:rsidP="00046B36">
            <w:pPr>
              <w:pStyle w:val="TableParagraph"/>
              <w:spacing w:before="1" w:line="243" w:lineRule="exact"/>
              <w:ind w:left="372"/>
              <w:jc w:val="both"/>
            </w:pPr>
            <w:r>
              <w:t>Μη γνωστή συχνότητα</w:t>
            </w:r>
          </w:p>
        </w:tc>
      </w:tr>
      <w:tr w:rsidR="00A56FAA">
        <w:trPr>
          <w:trHeight w:val="263"/>
        </w:trPr>
        <w:tc>
          <w:tcPr>
            <w:tcW w:w="4812" w:type="dxa"/>
          </w:tcPr>
          <w:p w:rsidR="00A56FAA" w:rsidRDefault="005C1C4A" w:rsidP="00046B36">
            <w:pPr>
              <w:pStyle w:val="TableParagraph"/>
              <w:spacing w:before="5" w:line="238" w:lineRule="exact"/>
              <w:ind w:left="107"/>
              <w:jc w:val="both"/>
              <w:rPr>
                <w:b/>
              </w:rPr>
            </w:pPr>
            <w:r>
              <w:t>δερματική αγγειίτιδα</w:t>
            </w:r>
            <w:r>
              <w:rPr>
                <w:vertAlign w:val="superscript"/>
              </w:rPr>
              <w:t>*,</w:t>
            </w:r>
            <w:r>
              <w:rPr>
                <w:b/>
                <w:vertAlign w:val="superscript"/>
              </w:rPr>
              <w:t>†</w:t>
            </w:r>
          </w:p>
        </w:tc>
        <w:tc>
          <w:tcPr>
            <w:tcW w:w="4476" w:type="dxa"/>
          </w:tcPr>
          <w:p w:rsidR="00A56FAA" w:rsidRDefault="005C1C4A" w:rsidP="00046B36">
            <w:pPr>
              <w:pStyle w:val="TableParagraph"/>
              <w:spacing w:before="1" w:line="243" w:lineRule="exact"/>
              <w:ind w:left="372"/>
              <w:jc w:val="both"/>
            </w:pPr>
            <w:r>
              <w:t>Μη γνωστή συχνότητα</w:t>
            </w:r>
          </w:p>
        </w:tc>
      </w:tr>
      <w:tr w:rsidR="00A56FAA">
        <w:trPr>
          <w:trHeight w:val="777"/>
        </w:trPr>
        <w:tc>
          <w:tcPr>
            <w:tcW w:w="4812" w:type="dxa"/>
          </w:tcPr>
          <w:p w:rsidR="00A56FAA" w:rsidRPr="005C1C4A" w:rsidRDefault="005C1C4A" w:rsidP="00046B36">
            <w:pPr>
              <w:pStyle w:val="TableParagraph"/>
              <w:spacing w:before="1" w:line="244" w:lineRule="auto"/>
              <w:ind w:left="107"/>
              <w:jc w:val="both"/>
              <w:rPr>
                <w:lang w:val="el-GR"/>
              </w:rPr>
            </w:pPr>
            <w:r w:rsidRPr="005C1C4A">
              <w:rPr>
                <w:lang w:val="el-GR"/>
              </w:rPr>
              <w:t xml:space="preserve">αποφολιδωτικές δερματικές καταστάσεις συμπεριλαμβανομένου του συνδρόμου </w:t>
            </w:r>
            <w:r>
              <w:t>Stevens</w:t>
            </w:r>
            <w:r w:rsidRPr="005C1C4A">
              <w:rPr>
                <w:lang w:val="el-GR"/>
              </w:rPr>
              <w:t>-</w:t>
            </w:r>
          </w:p>
          <w:p w:rsidR="00A56FAA" w:rsidRDefault="005C1C4A" w:rsidP="00046B36">
            <w:pPr>
              <w:pStyle w:val="TableParagraph"/>
              <w:spacing w:before="2" w:line="238" w:lineRule="exact"/>
              <w:ind w:left="107"/>
              <w:jc w:val="both"/>
            </w:pPr>
            <w:r>
              <w:t>Johnson *,†</w:t>
            </w:r>
          </w:p>
        </w:tc>
        <w:tc>
          <w:tcPr>
            <w:tcW w:w="4476" w:type="dxa"/>
          </w:tcPr>
          <w:p w:rsidR="00A56FAA" w:rsidRDefault="005C1C4A" w:rsidP="00046B36">
            <w:pPr>
              <w:pStyle w:val="TableParagraph"/>
              <w:spacing w:before="1"/>
              <w:ind w:left="372"/>
              <w:jc w:val="both"/>
            </w:pPr>
            <w:r>
              <w:t>Μη γνωστή συχνότητα</w:t>
            </w:r>
          </w:p>
        </w:tc>
      </w:tr>
      <w:tr w:rsidR="00A56FAA">
        <w:trPr>
          <w:trHeight w:val="258"/>
        </w:trPr>
        <w:tc>
          <w:tcPr>
            <w:tcW w:w="4812" w:type="dxa"/>
          </w:tcPr>
          <w:p w:rsidR="00A56FAA" w:rsidRDefault="005C1C4A" w:rsidP="00046B36">
            <w:pPr>
              <w:pStyle w:val="TableParagraph"/>
              <w:spacing w:before="1" w:line="238" w:lineRule="exact"/>
              <w:ind w:left="107"/>
              <w:jc w:val="both"/>
            </w:pPr>
            <w:r>
              <w:t>πομφολυγώδες πεμφιγοειδές</w:t>
            </w:r>
            <w:r>
              <w:rPr>
                <w:vertAlign w:val="superscript"/>
              </w:rPr>
              <w:t>*</w:t>
            </w:r>
          </w:p>
        </w:tc>
        <w:tc>
          <w:tcPr>
            <w:tcW w:w="4476" w:type="dxa"/>
          </w:tcPr>
          <w:p w:rsidR="00A56FAA" w:rsidRDefault="005C1C4A" w:rsidP="00046B36">
            <w:pPr>
              <w:pStyle w:val="TableParagraph"/>
              <w:spacing w:before="1" w:line="238" w:lineRule="exact"/>
              <w:ind w:left="372"/>
              <w:jc w:val="both"/>
            </w:pPr>
            <w:r>
              <w:t>Μη γνωστή συχνότητα</w:t>
            </w:r>
          </w:p>
        </w:tc>
      </w:tr>
      <w:tr w:rsidR="00A56FAA">
        <w:trPr>
          <w:trHeight w:val="258"/>
        </w:trPr>
        <w:tc>
          <w:tcPr>
            <w:tcW w:w="4812" w:type="dxa"/>
          </w:tcPr>
          <w:p w:rsidR="00A56FAA" w:rsidRDefault="00A56FAA" w:rsidP="00046B36">
            <w:pPr>
              <w:pStyle w:val="TableParagraph"/>
              <w:jc w:val="both"/>
              <w:rPr>
                <w:sz w:val="18"/>
              </w:rPr>
            </w:pPr>
          </w:p>
        </w:tc>
        <w:tc>
          <w:tcPr>
            <w:tcW w:w="4476" w:type="dxa"/>
          </w:tcPr>
          <w:p w:rsidR="00A56FAA" w:rsidRDefault="00A56FAA" w:rsidP="00046B36">
            <w:pPr>
              <w:pStyle w:val="TableParagraph"/>
              <w:jc w:val="both"/>
              <w:rPr>
                <w:sz w:val="18"/>
              </w:rPr>
            </w:pPr>
          </w:p>
        </w:tc>
      </w:tr>
      <w:tr w:rsidR="00A56FAA" w:rsidRPr="00EC7912">
        <w:trPr>
          <w:trHeight w:val="517"/>
        </w:trPr>
        <w:tc>
          <w:tcPr>
            <w:tcW w:w="4812" w:type="dxa"/>
          </w:tcPr>
          <w:p w:rsidR="00A56FAA" w:rsidRPr="005C1C4A" w:rsidRDefault="005C1C4A" w:rsidP="00046B36">
            <w:pPr>
              <w:pStyle w:val="TableParagraph"/>
              <w:spacing w:before="3" w:line="260" w:lineRule="exact"/>
              <w:ind w:left="107"/>
              <w:jc w:val="both"/>
              <w:rPr>
                <w:b/>
                <w:lang w:val="el-GR"/>
              </w:rPr>
            </w:pPr>
            <w:r w:rsidRPr="005C1C4A">
              <w:rPr>
                <w:b/>
                <w:lang w:val="el-GR"/>
              </w:rPr>
              <w:t>Διαταραχές του μυοσκελετικού συστήματος και του συνδετικού ιστού</w:t>
            </w:r>
          </w:p>
        </w:tc>
        <w:tc>
          <w:tcPr>
            <w:tcW w:w="4476" w:type="dxa"/>
          </w:tcPr>
          <w:p w:rsidR="00A56FAA" w:rsidRPr="005C1C4A" w:rsidRDefault="00A56FAA" w:rsidP="00046B36">
            <w:pPr>
              <w:pStyle w:val="TableParagraph"/>
              <w:jc w:val="both"/>
              <w:rPr>
                <w:sz w:val="20"/>
                <w:lang w:val="el-GR"/>
              </w:rPr>
            </w:pPr>
          </w:p>
        </w:tc>
      </w:tr>
      <w:tr w:rsidR="00A56FAA">
        <w:trPr>
          <w:trHeight w:val="253"/>
        </w:trPr>
        <w:tc>
          <w:tcPr>
            <w:tcW w:w="4812" w:type="dxa"/>
          </w:tcPr>
          <w:p w:rsidR="00A56FAA" w:rsidRDefault="005C1C4A" w:rsidP="00046B36">
            <w:pPr>
              <w:pStyle w:val="TableParagraph"/>
              <w:spacing w:line="234" w:lineRule="exact"/>
              <w:ind w:left="107"/>
              <w:jc w:val="both"/>
            </w:pPr>
            <w:r>
              <w:t>αρθραλγία</w:t>
            </w:r>
            <w:r>
              <w:rPr>
                <w:vertAlign w:val="superscript"/>
              </w:rPr>
              <w:t>*</w:t>
            </w:r>
          </w:p>
        </w:tc>
        <w:tc>
          <w:tcPr>
            <w:tcW w:w="4476" w:type="dxa"/>
          </w:tcPr>
          <w:p w:rsidR="00A56FAA" w:rsidRDefault="005C1C4A" w:rsidP="00046B36">
            <w:pPr>
              <w:pStyle w:val="TableParagraph"/>
              <w:spacing w:line="234" w:lineRule="exact"/>
              <w:ind w:left="372"/>
              <w:jc w:val="both"/>
            </w:pPr>
            <w:r>
              <w:t>Μη γνωστή συχνότητα</w:t>
            </w:r>
          </w:p>
        </w:tc>
      </w:tr>
      <w:tr w:rsidR="00A56FAA">
        <w:trPr>
          <w:trHeight w:val="258"/>
        </w:trPr>
        <w:tc>
          <w:tcPr>
            <w:tcW w:w="4812" w:type="dxa"/>
          </w:tcPr>
          <w:p w:rsidR="00A56FAA" w:rsidRDefault="005C1C4A" w:rsidP="00046B36">
            <w:pPr>
              <w:pStyle w:val="TableParagraph"/>
              <w:spacing w:before="1" w:line="238" w:lineRule="exact"/>
              <w:ind w:left="107"/>
              <w:jc w:val="both"/>
            </w:pPr>
            <w:r>
              <w:t>μυαλγία</w:t>
            </w:r>
            <w:r>
              <w:rPr>
                <w:vertAlign w:val="superscript"/>
              </w:rPr>
              <w:t>*</w:t>
            </w:r>
          </w:p>
        </w:tc>
        <w:tc>
          <w:tcPr>
            <w:tcW w:w="4476" w:type="dxa"/>
          </w:tcPr>
          <w:p w:rsidR="00A56FAA" w:rsidRDefault="005C1C4A" w:rsidP="00046B36">
            <w:pPr>
              <w:pStyle w:val="TableParagraph"/>
              <w:spacing w:before="1" w:line="238" w:lineRule="exact"/>
              <w:ind w:left="372"/>
              <w:jc w:val="both"/>
            </w:pPr>
            <w:r>
              <w:t>Μη γνωστή συχνότητα</w:t>
            </w:r>
          </w:p>
        </w:tc>
      </w:tr>
      <w:tr w:rsidR="00A56FAA">
        <w:trPr>
          <w:trHeight w:val="258"/>
        </w:trPr>
        <w:tc>
          <w:tcPr>
            <w:tcW w:w="4812" w:type="dxa"/>
          </w:tcPr>
          <w:p w:rsidR="00A56FAA" w:rsidRDefault="005C1C4A" w:rsidP="00046B36">
            <w:pPr>
              <w:pStyle w:val="TableParagraph"/>
              <w:spacing w:before="1" w:line="238" w:lineRule="exact"/>
              <w:ind w:left="107"/>
              <w:jc w:val="both"/>
            </w:pPr>
            <w:r>
              <w:t>οσφυαλγία</w:t>
            </w:r>
            <w:r>
              <w:rPr>
                <w:vertAlign w:val="superscript"/>
              </w:rPr>
              <w:t>*</w:t>
            </w:r>
          </w:p>
        </w:tc>
        <w:tc>
          <w:tcPr>
            <w:tcW w:w="4476" w:type="dxa"/>
          </w:tcPr>
          <w:p w:rsidR="00A56FAA" w:rsidRDefault="005C1C4A" w:rsidP="00046B36">
            <w:pPr>
              <w:pStyle w:val="TableParagraph"/>
              <w:spacing w:before="1" w:line="238" w:lineRule="exact"/>
              <w:ind w:left="372"/>
              <w:jc w:val="both"/>
            </w:pPr>
            <w:r>
              <w:t>Μη γνωστή συχνότητα</w:t>
            </w:r>
          </w:p>
        </w:tc>
      </w:tr>
      <w:tr w:rsidR="00A56FAA">
        <w:trPr>
          <w:trHeight w:val="258"/>
        </w:trPr>
        <w:tc>
          <w:tcPr>
            <w:tcW w:w="4812" w:type="dxa"/>
          </w:tcPr>
          <w:p w:rsidR="00A56FAA" w:rsidRDefault="005C1C4A" w:rsidP="00046B36">
            <w:pPr>
              <w:pStyle w:val="TableParagraph"/>
              <w:spacing w:before="1" w:line="238" w:lineRule="exact"/>
              <w:ind w:left="107"/>
              <w:jc w:val="both"/>
            </w:pPr>
            <w:r>
              <w:t>αρθροπάθεια</w:t>
            </w:r>
            <w:r>
              <w:rPr>
                <w:vertAlign w:val="superscript"/>
              </w:rPr>
              <w:t>*</w:t>
            </w:r>
          </w:p>
        </w:tc>
        <w:tc>
          <w:tcPr>
            <w:tcW w:w="4476" w:type="dxa"/>
          </w:tcPr>
          <w:p w:rsidR="00A56FAA" w:rsidRDefault="005C1C4A" w:rsidP="00046B36">
            <w:pPr>
              <w:pStyle w:val="TableParagraph"/>
              <w:spacing w:before="1" w:line="238" w:lineRule="exact"/>
              <w:ind w:left="372"/>
              <w:jc w:val="both"/>
            </w:pPr>
            <w:r>
              <w:t>Μη γνωστή συχνότητα</w:t>
            </w:r>
          </w:p>
        </w:tc>
      </w:tr>
      <w:tr w:rsidR="00A56FAA">
        <w:trPr>
          <w:trHeight w:val="258"/>
        </w:trPr>
        <w:tc>
          <w:tcPr>
            <w:tcW w:w="4812" w:type="dxa"/>
          </w:tcPr>
          <w:p w:rsidR="00A56FAA" w:rsidRDefault="00A56FAA" w:rsidP="00046B36">
            <w:pPr>
              <w:pStyle w:val="TableParagraph"/>
              <w:jc w:val="both"/>
              <w:rPr>
                <w:sz w:val="18"/>
              </w:rPr>
            </w:pPr>
          </w:p>
        </w:tc>
        <w:tc>
          <w:tcPr>
            <w:tcW w:w="4476" w:type="dxa"/>
          </w:tcPr>
          <w:p w:rsidR="00A56FAA" w:rsidRDefault="00A56FAA" w:rsidP="00046B36">
            <w:pPr>
              <w:pStyle w:val="TableParagraph"/>
              <w:jc w:val="both"/>
              <w:rPr>
                <w:sz w:val="18"/>
              </w:rPr>
            </w:pPr>
          </w:p>
        </w:tc>
      </w:tr>
      <w:tr w:rsidR="00A56FAA" w:rsidRPr="00EC7912">
        <w:trPr>
          <w:trHeight w:val="518"/>
        </w:trPr>
        <w:tc>
          <w:tcPr>
            <w:tcW w:w="4812" w:type="dxa"/>
          </w:tcPr>
          <w:p w:rsidR="00A56FAA" w:rsidRPr="005C1C4A" w:rsidRDefault="005C1C4A" w:rsidP="00046B36">
            <w:pPr>
              <w:pStyle w:val="TableParagraph"/>
              <w:spacing w:before="3" w:line="260" w:lineRule="exact"/>
              <w:ind w:left="107"/>
              <w:jc w:val="both"/>
              <w:rPr>
                <w:b/>
                <w:lang w:val="el-GR"/>
              </w:rPr>
            </w:pPr>
            <w:r w:rsidRPr="005C1C4A">
              <w:rPr>
                <w:b/>
                <w:lang w:val="el-GR"/>
              </w:rPr>
              <w:t>Διαταραχές των νεφρών και των ουροφόρων οδών</w:t>
            </w:r>
          </w:p>
        </w:tc>
        <w:tc>
          <w:tcPr>
            <w:tcW w:w="4476" w:type="dxa"/>
          </w:tcPr>
          <w:p w:rsidR="00A56FAA" w:rsidRPr="005C1C4A" w:rsidRDefault="00A56FAA" w:rsidP="00046B36">
            <w:pPr>
              <w:pStyle w:val="TableParagraph"/>
              <w:jc w:val="both"/>
              <w:rPr>
                <w:sz w:val="20"/>
                <w:lang w:val="el-GR"/>
              </w:rPr>
            </w:pPr>
          </w:p>
        </w:tc>
      </w:tr>
      <w:tr w:rsidR="00A56FAA">
        <w:trPr>
          <w:trHeight w:val="253"/>
        </w:trPr>
        <w:tc>
          <w:tcPr>
            <w:tcW w:w="4812" w:type="dxa"/>
          </w:tcPr>
          <w:p w:rsidR="00A56FAA" w:rsidRDefault="005C1C4A" w:rsidP="00046B36">
            <w:pPr>
              <w:pStyle w:val="TableParagraph"/>
              <w:spacing w:line="234" w:lineRule="exact"/>
              <w:ind w:left="107"/>
              <w:jc w:val="both"/>
            </w:pPr>
            <w:r>
              <w:t xml:space="preserve">επηρεασμένη νεφρική λειτουργία </w:t>
            </w:r>
            <w:r>
              <w:rPr>
                <w:vertAlign w:val="superscript"/>
              </w:rPr>
              <w:t>*</w:t>
            </w:r>
          </w:p>
        </w:tc>
        <w:tc>
          <w:tcPr>
            <w:tcW w:w="4476" w:type="dxa"/>
          </w:tcPr>
          <w:p w:rsidR="00A56FAA" w:rsidRDefault="005C1C4A" w:rsidP="00046B36">
            <w:pPr>
              <w:pStyle w:val="TableParagraph"/>
              <w:spacing w:line="234" w:lineRule="exact"/>
              <w:ind w:left="372"/>
              <w:jc w:val="both"/>
            </w:pPr>
            <w:r>
              <w:t>Μη γνωστή συχνότητα</w:t>
            </w:r>
          </w:p>
        </w:tc>
      </w:tr>
      <w:tr w:rsidR="00A56FAA">
        <w:trPr>
          <w:trHeight w:val="258"/>
        </w:trPr>
        <w:tc>
          <w:tcPr>
            <w:tcW w:w="4812" w:type="dxa"/>
          </w:tcPr>
          <w:p w:rsidR="00A56FAA" w:rsidRDefault="005C1C4A" w:rsidP="00046B36">
            <w:pPr>
              <w:pStyle w:val="TableParagraph"/>
              <w:spacing w:before="1" w:line="238" w:lineRule="exact"/>
              <w:ind w:left="107"/>
              <w:jc w:val="both"/>
            </w:pPr>
            <w:r>
              <w:t xml:space="preserve">οξεία νεφρική ανεπάρκεια </w:t>
            </w:r>
            <w:r>
              <w:rPr>
                <w:vertAlign w:val="superscript"/>
              </w:rPr>
              <w:t>*</w:t>
            </w:r>
          </w:p>
        </w:tc>
        <w:tc>
          <w:tcPr>
            <w:tcW w:w="4476" w:type="dxa"/>
          </w:tcPr>
          <w:p w:rsidR="00A56FAA" w:rsidRDefault="005C1C4A" w:rsidP="00046B36">
            <w:pPr>
              <w:pStyle w:val="TableParagraph"/>
              <w:spacing w:before="1" w:line="238" w:lineRule="exact"/>
              <w:ind w:left="372"/>
              <w:jc w:val="both"/>
            </w:pPr>
            <w:r>
              <w:t>Μη γνωστή συχνότητα</w:t>
            </w:r>
          </w:p>
        </w:tc>
      </w:tr>
    </w:tbl>
    <w:p w:rsidR="00A56FAA" w:rsidRPr="005C1C4A" w:rsidRDefault="005C1C4A" w:rsidP="00046B36">
      <w:pPr>
        <w:spacing w:line="230" w:lineRule="exact"/>
        <w:ind w:left="218"/>
        <w:jc w:val="both"/>
        <w:rPr>
          <w:sz w:val="18"/>
          <w:lang w:val="el-GR"/>
        </w:rPr>
      </w:pPr>
      <w:r w:rsidRPr="005C1C4A">
        <w:rPr>
          <w:sz w:val="20"/>
          <w:lang w:val="el-GR"/>
        </w:rPr>
        <w:t>*</w:t>
      </w:r>
      <w:r w:rsidRPr="005C1C4A">
        <w:rPr>
          <w:sz w:val="18"/>
          <w:lang w:val="el-GR"/>
        </w:rPr>
        <w:t>Ανεπιθύμητες ενέργειες που ταυτοποιήθηκαν κατά την παρακολούθηση μετά την κυκλοφορία</w:t>
      </w:r>
    </w:p>
    <w:p w:rsidR="00A56FAA" w:rsidRPr="005C1C4A" w:rsidRDefault="005C1C4A" w:rsidP="00046B36">
      <w:pPr>
        <w:spacing w:before="5" w:line="220" w:lineRule="exact"/>
        <w:ind w:left="218"/>
        <w:jc w:val="both"/>
        <w:rPr>
          <w:b/>
          <w:sz w:val="18"/>
          <w:lang w:val="el-GR"/>
        </w:rPr>
      </w:pPr>
      <w:r w:rsidRPr="005C1C4A">
        <w:rPr>
          <w:sz w:val="20"/>
          <w:lang w:val="el-GR"/>
        </w:rPr>
        <w:t>†</w:t>
      </w:r>
      <w:r w:rsidRPr="005C1C4A">
        <w:rPr>
          <w:b/>
          <w:sz w:val="18"/>
          <w:lang w:val="el-GR"/>
        </w:rPr>
        <w:t>Βλ. παράγραφο 4.4.</w:t>
      </w:r>
    </w:p>
    <w:p w:rsidR="00A56FAA" w:rsidRPr="005C1C4A" w:rsidRDefault="005C1C4A" w:rsidP="00046B36">
      <w:pPr>
        <w:spacing w:line="221" w:lineRule="exact"/>
        <w:ind w:left="218"/>
        <w:jc w:val="both"/>
        <w:rPr>
          <w:sz w:val="18"/>
          <w:lang w:val="el-GR"/>
        </w:rPr>
      </w:pPr>
      <w:r w:rsidRPr="005C1C4A">
        <w:rPr>
          <w:position w:val="8"/>
          <w:sz w:val="12"/>
          <w:lang w:val="el-GR"/>
        </w:rPr>
        <w:t xml:space="preserve">‡ </w:t>
      </w:r>
      <w:r w:rsidRPr="005C1C4A">
        <w:rPr>
          <w:sz w:val="18"/>
          <w:lang w:val="el-GR"/>
        </w:rPr>
        <w:t xml:space="preserve">Βλ. παρακάτω την Καρδιαγγειακή Μελέτη Ασφάλειας </w:t>
      </w:r>
      <w:r>
        <w:rPr>
          <w:sz w:val="18"/>
        </w:rPr>
        <w:t>TECOS</w:t>
      </w:r>
    </w:p>
    <w:p w:rsidR="00A56FAA" w:rsidRPr="005C1C4A" w:rsidRDefault="00A56FAA" w:rsidP="00046B36">
      <w:pPr>
        <w:pStyle w:val="a3"/>
        <w:jc w:val="both"/>
        <w:rPr>
          <w:sz w:val="23"/>
          <w:lang w:val="el-GR"/>
        </w:rPr>
      </w:pPr>
    </w:p>
    <w:p w:rsidR="00A56FAA" w:rsidRPr="005C1C4A" w:rsidRDefault="005C1C4A" w:rsidP="00046B36">
      <w:pPr>
        <w:pStyle w:val="a3"/>
        <w:ind w:left="218"/>
        <w:jc w:val="both"/>
        <w:rPr>
          <w:lang w:val="el-GR"/>
        </w:rPr>
      </w:pPr>
      <w:r w:rsidRPr="005C1C4A">
        <w:rPr>
          <w:u w:val="single"/>
          <w:lang w:val="el-GR"/>
        </w:rPr>
        <w:t>Περιγραφή επιλεγμένων ανεπιθύμητων ενεργειών</w:t>
      </w:r>
    </w:p>
    <w:p w:rsidR="00A56FAA" w:rsidRPr="005C1C4A" w:rsidRDefault="005C1C4A" w:rsidP="00046B36">
      <w:pPr>
        <w:pStyle w:val="a3"/>
        <w:spacing w:before="6"/>
        <w:ind w:left="218"/>
        <w:jc w:val="both"/>
        <w:rPr>
          <w:lang w:val="el-GR"/>
        </w:rPr>
      </w:pPr>
      <w:r w:rsidRPr="005C1C4A">
        <w:rPr>
          <w:lang w:val="el-GR"/>
        </w:rPr>
        <w:t>Επιπρόσθετα των ανεπιθύμητων ενεργειών που σχετίζονται με το φάρμακο και αναφέρονται</w:t>
      </w:r>
    </w:p>
    <w:p w:rsidR="00A56FAA" w:rsidRPr="005C1C4A" w:rsidRDefault="00A56FAA" w:rsidP="00046B36">
      <w:pPr>
        <w:jc w:val="both"/>
        <w:rPr>
          <w:lang w:val="el-GR"/>
        </w:rPr>
        <w:sectPr w:rsidR="00A56FAA" w:rsidRPr="005C1C4A">
          <w:pgSz w:w="11910" w:h="16840"/>
          <w:pgMar w:top="1120" w:right="1180" w:bottom="900" w:left="1200" w:header="0" w:footer="714" w:gutter="0"/>
          <w:cols w:space="720"/>
        </w:sectPr>
      </w:pPr>
    </w:p>
    <w:p w:rsidR="00A56FAA" w:rsidRPr="005C1C4A" w:rsidRDefault="005C1C4A" w:rsidP="00046B36">
      <w:pPr>
        <w:pStyle w:val="a3"/>
        <w:spacing w:before="80" w:line="244" w:lineRule="auto"/>
        <w:ind w:left="218"/>
        <w:jc w:val="both"/>
        <w:rPr>
          <w:lang w:val="el-GR"/>
        </w:rPr>
      </w:pPr>
      <w:r w:rsidRPr="005C1C4A">
        <w:rPr>
          <w:lang w:val="el-GR"/>
        </w:rPr>
        <w:lastRenderedPageBreak/>
        <w:t>παραπάνω, οι ανεπιθύμητες ενέργειες που αναφέρθηκαν, ανεξαρτήτως αιτιολογικής συσχέτισης με το φάρμακο, και που παρουσιάσθηκαν τουλάχιστον στο 5 % και πιο συχνά σε ασθενείς που έλαβαν σιταγλιπτίνη, περιλάμβαναν λοίμωξη του ανώτερου αναπνευστικού συστήματος και ρινοφαρυγγίτιδα. Επιπλέον ανεπιθύμητες ενέργειες αναφέρθηκαν ανεξαρτήτως αιτιολογικής συσχέτισης με το φάρμακο, που εμφανίσθηκαν συχνότερα σε ασθενείς που λάμβαναν θεραπεία με σιταγλιπτίνη (δεν έφθασαν τα επίπεδα του 5 %, αλλά εμφανίσθηκαν με συχνότητα &gt; 0,5 % μεγαλύτερη με τη σιταγλιπτίνη από ότι με την ομάδα ελέγχου) και περιλάμβαναν οστεοαρθρίτιδα και πόνο στα</w:t>
      </w:r>
      <w:r w:rsidRPr="005C1C4A">
        <w:rPr>
          <w:spacing w:val="14"/>
          <w:lang w:val="el-GR"/>
        </w:rPr>
        <w:t xml:space="preserve"> </w:t>
      </w:r>
      <w:r w:rsidRPr="005C1C4A">
        <w:rPr>
          <w:lang w:val="el-GR"/>
        </w:rPr>
        <w:t>άκρα.</w:t>
      </w:r>
    </w:p>
    <w:p w:rsidR="00A56FAA" w:rsidRPr="005C1C4A" w:rsidRDefault="00A56FAA" w:rsidP="00046B36">
      <w:pPr>
        <w:pStyle w:val="a3"/>
        <w:spacing w:before="3"/>
        <w:jc w:val="both"/>
        <w:rPr>
          <w:sz w:val="23"/>
          <w:lang w:val="el-GR"/>
        </w:rPr>
      </w:pPr>
    </w:p>
    <w:p w:rsidR="00A56FAA" w:rsidRPr="005C1C4A" w:rsidRDefault="005C1C4A" w:rsidP="00046B36">
      <w:pPr>
        <w:pStyle w:val="a3"/>
        <w:spacing w:line="244" w:lineRule="auto"/>
        <w:ind w:left="218"/>
        <w:jc w:val="both"/>
        <w:rPr>
          <w:lang w:val="el-GR"/>
        </w:rPr>
      </w:pPr>
      <w:r w:rsidRPr="005C1C4A">
        <w:rPr>
          <w:lang w:val="el-GR"/>
        </w:rPr>
        <w:t>Ορισμένες ανεπιθύμητες ενέργειες παρατηρήθηκαν συχνότερα σε μελέτες συνδυαστικής χρήσης της σιταγλιπτίνης με άλλα αντι-διαβητικά φαρμακευτικά προϊόντα, από ό, τι σε μελέτες μονοθεραπείας με σιταγλιπτίνη. Αυτές περιλάμβαναν υπογλυκαιμία (συχνότητα πολύ συχνή με το συνδυασμό σουλφονυλουρίας και μετφορμίνης), γρίπη (συχνή με ινσουλίνη (με ή χωρίς μετφορμίνη)), ναυτία και έμετο (συχνή με μετφορμίνη), μετεωρισμό (συχνή με μετφορμίνη ή πιογλιταζόνη), δυσκοιλιότητα (συχνή με το συνδυασμό σουλφονυλουρίας και μετφορμίνης), περιφερικό οίδημα (συχνή με πιογλιταζόνη ή το συνδυασμό πιογλιταζόνης και μετφορμίνης), υπνηλία και διάρροια (συχνές με μετφορμίνη), και ξηροστομία (όχι συχνή με ινσουλίνη (με ή χωρίς μετφορμίνη)).</w:t>
      </w:r>
    </w:p>
    <w:p w:rsidR="00A56FAA" w:rsidRPr="005C1C4A" w:rsidRDefault="00A56FAA" w:rsidP="00046B36">
      <w:pPr>
        <w:pStyle w:val="a3"/>
        <w:spacing w:before="10"/>
        <w:jc w:val="both"/>
        <w:rPr>
          <w:lang w:val="el-GR"/>
        </w:rPr>
      </w:pPr>
    </w:p>
    <w:p w:rsidR="00A56FAA" w:rsidRPr="005C1C4A" w:rsidRDefault="005C1C4A" w:rsidP="00046B36">
      <w:pPr>
        <w:ind w:left="218"/>
        <w:jc w:val="both"/>
        <w:rPr>
          <w:i/>
          <w:lang w:val="el-GR"/>
        </w:rPr>
      </w:pPr>
      <w:r>
        <w:rPr>
          <w:i/>
        </w:rPr>
        <w:t>TECOS</w:t>
      </w:r>
      <w:r w:rsidR="00856371">
        <w:rPr>
          <w:i/>
          <w:lang w:val="el-GR"/>
        </w:rPr>
        <w:t xml:space="preserve"> Καρδιαγγειακή </w:t>
      </w:r>
      <w:r w:rsidRPr="005C1C4A">
        <w:rPr>
          <w:i/>
          <w:lang w:val="el-GR"/>
        </w:rPr>
        <w:t>Μελέτη Ασφάλειας</w:t>
      </w:r>
    </w:p>
    <w:p w:rsidR="00A56FAA" w:rsidRPr="005C1C4A" w:rsidRDefault="005C1C4A" w:rsidP="00046B36">
      <w:pPr>
        <w:pStyle w:val="a3"/>
        <w:spacing w:before="6"/>
        <w:ind w:left="218"/>
        <w:jc w:val="both"/>
        <w:rPr>
          <w:lang w:val="el-GR"/>
        </w:rPr>
      </w:pPr>
      <w:r w:rsidRPr="005C1C4A">
        <w:rPr>
          <w:lang w:val="el-GR"/>
        </w:rPr>
        <w:t>Η μελέτη αξιολόγησης καρδιαγγειακών εκβάσεων με Σιταγλιπτίνη (</w:t>
      </w:r>
      <w:r>
        <w:t>TECOS</w:t>
      </w:r>
      <w:r w:rsidRPr="005C1C4A">
        <w:rPr>
          <w:lang w:val="el-GR"/>
        </w:rPr>
        <w:t>) περιελάμβανε</w:t>
      </w:r>
    </w:p>
    <w:p w:rsidR="00A56FAA" w:rsidRPr="005C1C4A" w:rsidRDefault="005C1C4A" w:rsidP="00046B36">
      <w:pPr>
        <w:pStyle w:val="a3"/>
        <w:spacing w:before="6" w:line="244" w:lineRule="auto"/>
        <w:ind w:left="218"/>
        <w:jc w:val="both"/>
        <w:rPr>
          <w:lang w:val="el-GR"/>
        </w:rPr>
      </w:pPr>
      <w:r w:rsidRPr="005C1C4A">
        <w:rPr>
          <w:lang w:val="el-GR"/>
        </w:rPr>
        <w:t xml:space="preserve">7.332 ασθενείς που έλαβαν σιταγλιπτίνη, 100 </w:t>
      </w:r>
      <w:r>
        <w:t>mg</w:t>
      </w:r>
      <w:r w:rsidRPr="005C1C4A">
        <w:rPr>
          <w:lang w:val="el-GR"/>
        </w:rPr>
        <w:t xml:space="preserve"> ημερησίως (ή 50 </w:t>
      </w:r>
      <w:r>
        <w:t>mg</w:t>
      </w:r>
      <w:r w:rsidRPr="005C1C4A">
        <w:rPr>
          <w:lang w:val="el-GR"/>
        </w:rPr>
        <w:t xml:space="preserve"> ημερησίως εάν η αρχική </w:t>
      </w:r>
      <w:r>
        <w:t>eGFR</w:t>
      </w:r>
      <w:r w:rsidRPr="005C1C4A">
        <w:rPr>
          <w:lang w:val="el-GR"/>
        </w:rPr>
        <w:t xml:space="preserve"> ήταν ≥ 30 και &lt; 50 </w:t>
      </w:r>
      <w:r>
        <w:t>ml</w:t>
      </w:r>
      <w:r w:rsidRPr="005C1C4A">
        <w:rPr>
          <w:lang w:val="el-GR"/>
        </w:rPr>
        <w:t xml:space="preserve">/λεπτό/1,73 </w:t>
      </w:r>
      <w:r>
        <w:t>m</w:t>
      </w:r>
      <w:r w:rsidRPr="005C1C4A">
        <w:rPr>
          <w:vertAlign w:val="superscript"/>
          <w:lang w:val="el-GR"/>
        </w:rPr>
        <w:t>2</w:t>
      </w:r>
      <w:r w:rsidRPr="005C1C4A">
        <w:rPr>
          <w:lang w:val="el-GR"/>
        </w:rPr>
        <w:t>) και 7.339 ασθενείς που έλαβαν εικονικό φάρμακο στον πληθυσμό με πρόθεση θεραπείας. Και οι δύο θεραπείες προστέθηκαν στη συνήθη αγωγή με στόχο  την επιτευξη των τοπικών θεραπευτικών προτύπων γλυκοζιλιωμένης αιμοσφαιρίνης (</w:t>
      </w:r>
      <w:r>
        <w:t>HbA</w:t>
      </w:r>
      <w:r w:rsidRPr="005C1C4A">
        <w:rPr>
          <w:vertAlign w:val="subscript"/>
          <w:lang w:val="el-GR"/>
        </w:rPr>
        <w:t>1</w:t>
      </w:r>
      <w:r>
        <w:rPr>
          <w:vertAlign w:val="subscript"/>
        </w:rPr>
        <w:t>c</w:t>
      </w:r>
      <w:r w:rsidRPr="005C1C4A">
        <w:rPr>
          <w:lang w:val="el-GR"/>
        </w:rPr>
        <w:t>) και καρδιαγγειακων παραγόντων κινδύνου. Η συνολική συχνότητα εμφάνισης σοβαρών ανεπιθύμητων ενεργειών σε ασθενείς που έλαβαν σιταγλιπτίνη ήταν παρόμοια με αυτή των ασθενών που έλαβαν εικονικό</w:t>
      </w:r>
      <w:r w:rsidRPr="005C1C4A">
        <w:rPr>
          <w:spacing w:val="-1"/>
          <w:lang w:val="el-GR"/>
        </w:rPr>
        <w:t xml:space="preserve"> </w:t>
      </w:r>
      <w:r w:rsidRPr="005C1C4A">
        <w:rPr>
          <w:lang w:val="el-GR"/>
        </w:rPr>
        <w:t>φάρμακο.</w:t>
      </w:r>
    </w:p>
    <w:p w:rsidR="00A56FAA" w:rsidRPr="005C1C4A" w:rsidRDefault="00A56FAA" w:rsidP="00046B36">
      <w:pPr>
        <w:pStyle w:val="a3"/>
        <w:spacing w:before="3"/>
        <w:jc w:val="both"/>
        <w:rPr>
          <w:sz w:val="23"/>
          <w:lang w:val="el-GR"/>
        </w:rPr>
      </w:pPr>
    </w:p>
    <w:p w:rsidR="00A56FAA" w:rsidRPr="005C1C4A" w:rsidRDefault="005C1C4A" w:rsidP="00046B36">
      <w:pPr>
        <w:pStyle w:val="a3"/>
        <w:spacing w:line="244" w:lineRule="auto"/>
        <w:ind w:left="218"/>
        <w:jc w:val="both"/>
        <w:rPr>
          <w:lang w:val="el-GR"/>
        </w:rPr>
      </w:pPr>
      <w:r w:rsidRPr="005C1C4A">
        <w:rPr>
          <w:lang w:val="el-GR"/>
        </w:rPr>
        <w:t>Στον πληθυσμό με πρόθεση θεραπείας, μεταξύ των ασθενών που χρησιμοποιούσαν ινσουλίνη και/ή μια σουλφονυλουρία κατά την έναρξη, η συχνότητα εμφάνισης σοβαρής υπογλυκαιμίας ήταν 2,7 % στους ασθενείς που έλαβαν σιταγλιπτίνη και 2,5 % στους ασθενείς που έλαβαν εικονικό φάρμακο. Μεταξύ των ασθενών που δεν έκαναν χρήση ινσουλίνης και/ή μιας σουλφονυλουρίας κατά την έναρξη, η συχνότητα εμφάνισης σοβαρής υπογλυκαιμίας ήταν 1,0 % στους ασθενείς που έλαβαν σιταγλιπτίνη και 0,7 % στους ασθενείς που έλαβαν εικονικό φάρμακο. Η συχνότητα εμφάνισης των επιβεβαιωμένων επεισοδίων παγκρεατίτιδας ήταν 0,3 % στους ασθενείς που έλαβαν σιταγλιπτίνη και 0,2 % στους ασθενείς που έλαβαν εικονικό φάρμακο.</w:t>
      </w:r>
    </w:p>
    <w:p w:rsidR="00A56FAA" w:rsidRPr="005C1C4A" w:rsidRDefault="00A56FAA" w:rsidP="00046B36">
      <w:pPr>
        <w:pStyle w:val="a3"/>
        <w:spacing w:before="4"/>
        <w:jc w:val="both"/>
        <w:rPr>
          <w:sz w:val="23"/>
          <w:lang w:val="el-GR"/>
        </w:rPr>
      </w:pPr>
    </w:p>
    <w:p w:rsidR="00A56FAA" w:rsidRPr="005C1C4A" w:rsidRDefault="005C1C4A" w:rsidP="00046B36">
      <w:pPr>
        <w:pStyle w:val="a3"/>
        <w:ind w:left="218"/>
        <w:jc w:val="both"/>
        <w:rPr>
          <w:lang w:val="el-GR"/>
        </w:rPr>
      </w:pPr>
      <w:r w:rsidRPr="005C1C4A">
        <w:rPr>
          <w:u w:val="single"/>
          <w:lang w:val="el-GR"/>
        </w:rPr>
        <w:t>Αναφορά πιθανολογούμενων ανεπιθύμητων ενεργειών</w:t>
      </w:r>
    </w:p>
    <w:p w:rsidR="00A56FAA" w:rsidRPr="005C1C4A" w:rsidRDefault="005C1C4A" w:rsidP="00046B36">
      <w:pPr>
        <w:pStyle w:val="a3"/>
        <w:spacing w:before="6" w:line="244" w:lineRule="auto"/>
        <w:ind w:left="218"/>
        <w:jc w:val="both"/>
        <w:rPr>
          <w:lang w:val="el-GR"/>
        </w:rPr>
      </w:pPr>
      <w:r w:rsidRPr="005C1C4A">
        <w:rPr>
          <w:lang w:val="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υγείας να αναφέρουν οποιεσδήποτε πιθανολογούμενες ανεπιθύμητες ενέργειες </w:t>
      </w:r>
      <w:r w:rsidR="00856371" w:rsidRPr="005037BB">
        <w:rPr>
          <w:lang w:val="el-GR"/>
        </w:rPr>
        <w:t xml:space="preserve">μέσω </w:t>
      </w:r>
      <w:r w:rsidR="00856371">
        <w:rPr>
          <w:lang w:val="el-GR"/>
        </w:rPr>
        <w:t>του</w:t>
      </w:r>
      <w:r w:rsidR="00856371" w:rsidRPr="0053074D">
        <w:rPr>
          <w:lang w:val="el-GR"/>
        </w:rPr>
        <w:t xml:space="preserve"> </w:t>
      </w:r>
      <w:r w:rsidR="00856371">
        <w:rPr>
          <w:lang w:val="el-GR"/>
        </w:rPr>
        <w:t>Εθνικού Οργανισμού</w:t>
      </w:r>
      <w:r w:rsidR="00856371" w:rsidRPr="00A30113">
        <w:rPr>
          <w:lang w:val="el-GR"/>
        </w:rPr>
        <w:t xml:space="preserve"> Φαρμάκων,</w:t>
      </w:r>
      <w:r w:rsidR="00856371">
        <w:rPr>
          <w:lang w:val="el-GR"/>
        </w:rPr>
        <w:t xml:space="preserve"> Μεσογείων 284, </w:t>
      </w:r>
      <w:r w:rsidR="00856371" w:rsidRPr="004E60E9">
        <w:rPr>
          <w:lang w:val="el-GR"/>
        </w:rPr>
        <w:t>GR-15562</w:t>
      </w:r>
      <w:r w:rsidR="00856371">
        <w:rPr>
          <w:lang w:val="el-GR"/>
        </w:rPr>
        <w:t xml:space="preserve"> Χολαργός, Αθήνα, Τηλ: 21</w:t>
      </w:r>
      <w:r w:rsidR="00856371" w:rsidRPr="00F9238D">
        <w:rPr>
          <w:lang w:val="el-GR"/>
        </w:rPr>
        <w:t>3</w:t>
      </w:r>
      <w:r w:rsidR="00856371">
        <w:rPr>
          <w:lang w:val="el-GR"/>
        </w:rPr>
        <w:t xml:space="preserve"> </w:t>
      </w:r>
      <w:r w:rsidR="00856371" w:rsidRPr="00F9238D">
        <w:rPr>
          <w:lang w:val="el-GR"/>
        </w:rPr>
        <w:t>2040380/337</w:t>
      </w:r>
      <w:r w:rsidR="00856371" w:rsidRPr="00A30113">
        <w:rPr>
          <w:lang w:val="el-GR"/>
        </w:rPr>
        <w:t xml:space="preserve">, </w:t>
      </w:r>
      <w:r w:rsidR="00856371">
        <w:rPr>
          <w:lang w:val="el-GR"/>
        </w:rPr>
        <w:t>Φαξ: 21</w:t>
      </w:r>
      <w:r w:rsidR="00856371" w:rsidRPr="00A30113">
        <w:rPr>
          <w:lang w:val="el-GR"/>
        </w:rPr>
        <w:t>0</w:t>
      </w:r>
      <w:r w:rsidR="00856371">
        <w:rPr>
          <w:lang w:val="el-GR"/>
        </w:rPr>
        <w:t xml:space="preserve"> </w:t>
      </w:r>
      <w:r w:rsidR="00856371" w:rsidRPr="00A30113">
        <w:rPr>
          <w:lang w:val="el-GR"/>
        </w:rPr>
        <w:t>6549585</w:t>
      </w:r>
      <w:r w:rsidR="00856371">
        <w:rPr>
          <w:lang w:val="el-GR"/>
        </w:rPr>
        <w:t xml:space="preserve">, Ιστότοπος: </w:t>
      </w:r>
      <w:hyperlink r:id="rId9" w:history="1">
        <w:r w:rsidR="00856371" w:rsidRPr="00AE7D4E">
          <w:rPr>
            <w:rStyle w:val="-"/>
            <w:lang w:val="el-GR"/>
          </w:rPr>
          <w:t>http://www.eof.gr</w:t>
        </w:r>
      </w:hyperlink>
      <w:r w:rsidR="00856371">
        <w:rPr>
          <w:rStyle w:val="-"/>
          <w:lang w:val="el-GR"/>
        </w:rPr>
        <w:t>.</w:t>
      </w:r>
    </w:p>
    <w:p w:rsidR="00A56FAA" w:rsidRPr="005C1C4A" w:rsidRDefault="00A56FAA" w:rsidP="00046B36">
      <w:pPr>
        <w:pStyle w:val="a3"/>
        <w:spacing w:before="6"/>
        <w:jc w:val="both"/>
        <w:rPr>
          <w:sz w:val="15"/>
          <w:lang w:val="el-GR"/>
        </w:rPr>
      </w:pPr>
    </w:p>
    <w:p w:rsidR="00A56FAA" w:rsidRPr="005C1C4A" w:rsidRDefault="005C1C4A" w:rsidP="00046B36">
      <w:pPr>
        <w:pStyle w:val="1"/>
        <w:tabs>
          <w:tab w:val="left" w:pos="784"/>
        </w:tabs>
        <w:spacing w:before="92"/>
        <w:jc w:val="both"/>
        <w:rPr>
          <w:lang w:val="el-GR"/>
        </w:rPr>
      </w:pPr>
      <w:r w:rsidRPr="005C1C4A">
        <w:rPr>
          <w:lang w:val="el-GR"/>
        </w:rPr>
        <w:t>4.9</w:t>
      </w:r>
      <w:r w:rsidRPr="005C1C4A">
        <w:rPr>
          <w:lang w:val="el-GR"/>
        </w:rPr>
        <w:tab/>
        <w:t>Υπερδοσολογία</w:t>
      </w:r>
    </w:p>
    <w:p w:rsidR="00A56FAA" w:rsidRPr="005C1C4A" w:rsidRDefault="00A56FAA" w:rsidP="00046B36">
      <w:pPr>
        <w:pStyle w:val="a3"/>
        <w:spacing w:before="7"/>
        <w:jc w:val="both"/>
        <w:rPr>
          <w:b/>
          <w:lang w:val="el-GR"/>
        </w:rPr>
      </w:pPr>
    </w:p>
    <w:p w:rsidR="00A56FAA" w:rsidRPr="005C1C4A" w:rsidRDefault="005C1C4A" w:rsidP="00046B36">
      <w:pPr>
        <w:pStyle w:val="a3"/>
        <w:spacing w:line="244" w:lineRule="auto"/>
        <w:ind w:left="218"/>
        <w:jc w:val="both"/>
        <w:rPr>
          <w:lang w:val="el-GR"/>
        </w:rPr>
      </w:pPr>
      <w:r w:rsidRPr="005C1C4A">
        <w:rPr>
          <w:lang w:val="el-GR"/>
        </w:rPr>
        <w:t xml:space="preserve">Κατά τη διάρκεια ελεγχόμενων κλινικών δοκιμών σε υγιή άτομα, χορηγήθηκαν εφάπαξ δόσεις έως και 800 </w:t>
      </w:r>
      <w:r>
        <w:t>mg</w:t>
      </w:r>
      <w:r w:rsidRPr="005C1C4A">
        <w:rPr>
          <w:lang w:val="el-GR"/>
        </w:rPr>
        <w:t xml:space="preserve"> σιταγλιπτίνης. Μικρές αυξήσεις του διορθωμένου διαστήματος </w:t>
      </w:r>
      <w:r>
        <w:t>QT</w:t>
      </w:r>
      <w:r w:rsidRPr="005C1C4A">
        <w:rPr>
          <w:lang w:val="el-GR"/>
        </w:rPr>
        <w:t xml:space="preserve"> (</w:t>
      </w:r>
      <w:r>
        <w:t>QTc</w:t>
      </w:r>
      <w:r w:rsidRPr="005C1C4A">
        <w:rPr>
          <w:lang w:val="el-GR"/>
        </w:rPr>
        <w:t xml:space="preserve">), που δεν θεωρήθηκαν κλινικά σχετιζόμενες παρατηρήθηκαν σε μία μελέτη στη δόση των 800 </w:t>
      </w:r>
      <w:r>
        <w:rPr>
          <w:spacing w:val="-3"/>
        </w:rPr>
        <w:t>mg</w:t>
      </w:r>
      <w:r w:rsidRPr="005C1C4A">
        <w:rPr>
          <w:spacing w:val="-3"/>
          <w:lang w:val="el-GR"/>
        </w:rPr>
        <w:t xml:space="preserve"> </w:t>
      </w:r>
      <w:r w:rsidRPr="005C1C4A">
        <w:rPr>
          <w:lang w:val="el-GR"/>
        </w:rPr>
        <w:t xml:space="preserve">σιταγλιπτίνης. Δεν υπάρχει εμπειρία σε κλινικές μελέτες με δόσεις πάνω από 800 </w:t>
      </w:r>
      <w:r>
        <w:t>mg</w:t>
      </w:r>
      <w:r w:rsidRPr="005C1C4A">
        <w:rPr>
          <w:lang w:val="el-GR"/>
        </w:rPr>
        <w:t xml:space="preserve">. Κατά την φάση Ι μελετών πολλαπλής δόσης δεν υπήρξαν κλινικές ανεπιθύμητες ενέργειες σχετιζόμενες με τη δόση που παρατηρήθηκαν με σιταγλιπτίνη με δόσεις έως 600 </w:t>
      </w:r>
      <w:r>
        <w:t>mg</w:t>
      </w:r>
      <w:r w:rsidRPr="005C1C4A">
        <w:rPr>
          <w:lang w:val="el-GR"/>
        </w:rPr>
        <w:t xml:space="preserve"> ημερησίως για διαστήματα έως 10</w:t>
      </w:r>
      <w:r w:rsidRPr="005C1C4A">
        <w:rPr>
          <w:spacing w:val="-7"/>
          <w:lang w:val="el-GR"/>
        </w:rPr>
        <w:t xml:space="preserve"> </w:t>
      </w:r>
      <w:r w:rsidRPr="005C1C4A">
        <w:rPr>
          <w:lang w:val="el-GR"/>
        </w:rPr>
        <w:t>ημέρες</w:t>
      </w:r>
    </w:p>
    <w:p w:rsidR="00A56FAA" w:rsidRPr="005C1C4A" w:rsidRDefault="00A56FAA" w:rsidP="00046B36">
      <w:pPr>
        <w:spacing w:line="244" w:lineRule="auto"/>
        <w:jc w:val="both"/>
        <w:rPr>
          <w:lang w:val="el-GR"/>
        </w:rPr>
        <w:sectPr w:rsidR="00A56FAA" w:rsidRPr="005C1C4A">
          <w:pgSz w:w="11910" w:h="16840"/>
          <w:pgMar w:top="1040" w:right="1180" w:bottom="900" w:left="1200" w:header="0" w:footer="714" w:gutter="0"/>
          <w:cols w:space="720"/>
        </w:sectPr>
      </w:pPr>
    </w:p>
    <w:p w:rsidR="00A56FAA" w:rsidRPr="005C1C4A" w:rsidRDefault="005C1C4A" w:rsidP="00046B36">
      <w:pPr>
        <w:pStyle w:val="a3"/>
        <w:spacing w:before="80"/>
        <w:ind w:left="218"/>
        <w:jc w:val="both"/>
        <w:rPr>
          <w:lang w:val="el-GR"/>
        </w:rPr>
      </w:pPr>
      <w:r w:rsidRPr="005C1C4A">
        <w:rPr>
          <w:lang w:val="el-GR"/>
        </w:rPr>
        <w:lastRenderedPageBreak/>
        <w:t xml:space="preserve">και 400 </w:t>
      </w:r>
      <w:r>
        <w:t>mg</w:t>
      </w:r>
      <w:r w:rsidRPr="005C1C4A">
        <w:rPr>
          <w:lang w:val="el-GR"/>
        </w:rPr>
        <w:t xml:space="preserve"> ημερησίως για διαστήματα έως 28 ημέρες.</w:t>
      </w:r>
    </w:p>
    <w:p w:rsidR="00A56FAA" w:rsidRPr="005C1C4A" w:rsidRDefault="00A56FAA" w:rsidP="00046B36">
      <w:pPr>
        <w:pStyle w:val="a3"/>
        <w:spacing w:before="1"/>
        <w:jc w:val="both"/>
        <w:rPr>
          <w:sz w:val="23"/>
          <w:lang w:val="el-GR"/>
        </w:rPr>
      </w:pPr>
    </w:p>
    <w:p w:rsidR="00A56FAA" w:rsidRPr="005C1C4A" w:rsidRDefault="005C1C4A" w:rsidP="00046B36">
      <w:pPr>
        <w:pStyle w:val="a3"/>
        <w:spacing w:line="244" w:lineRule="auto"/>
        <w:ind w:left="218"/>
        <w:jc w:val="both"/>
        <w:rPr>
          <w:lang w:val="el-GR"/>
        </w:rPr>
      </w:pPr>
      <w:r w:rsidRPr="005C1C4A">
        <w:rPr>
          <w:lang w:val="el-GR"/>
        </w:rPr>
        <w:t>Σε περίπτωση υπερδοσολογίας, είναι λογικό να εφαρμόσει κανείς τα συνήθη υποστηρικτικά μέτρα, όπως π.χ. απομάκρυνση του μη απορροφημένου υλικού από τη γαστρεντερική οδό, χρησιμοποίηση κλινικής παρακολούθησης (συμπεριλαμβανομένης της λήψης ηλεκτροκαρδιογραφήματος) και εφαρμογή υποστηρικτικής θεραπείας εάν απαιτείται.</w:t>
      </w:r>
    </w:p>
    <w:p w:rsidR="00A56FAA" w:rsidRPr="005C1C4A" w:rsidRDefault="00A56FAA" w:rsidP="00046B36">
      <w:pPr>
        <w:pStyle w:val="a3"/>
        <w:spacing w:before="11"/>
        <w:jc w:val="both"/>
        <w:rPr>
          <w:lang w:val="el-GR"/>
        </w:rPr>
      </w:pPr>
    </w:p>
    <w:p w:rsidR="00A56FAA" w:rsidRPr="005C1C4A" w:rsidRDefault="005C1C4A" w:rsidP="00046B36">
      <w:pPr>
        <w:pStyle w:val="a3"/>
        <w:spacing w:line="244" w:lineRule="auto"/>
        <w:ind w:left="218"/>
        <w:jc w:val="both"/>
        <w:rPr>
          <w:lang w:val="el-GR"/>
        </w:rPr>
      </w:pPr>
      <w:r w:rsidRPr="005C1C4A">
        <w:rPr>
          <w:lang w:val="el-GR"/>
        </w:rPr>
        <w:t>Η σιταγλιπτίνη είναι μετρίως διηθήσιμη. Σε κλινικές μελέτες, περίπου το 13,5 % της δόσης απομακρύνθηκε σε μία συνεδρία αιμοδιύλισης διάρκειας 3 έως 4 ωρών. Εάν κριθεί κλινικά κατάλληλο μπορεί να εξετασθεί το ενδεχόμενο παράτασης της αιμοδιύλισης. Δεν είναι γνωστό αν η σιταγλιπτίνη είναι διηθήσιμη μέσω περιτοναϊκής διύλισης.</w:t>
      </w:r>
    </w:p>
    <w:p w:rsidR="00A56FAA" w:rsidRPr="005C1C4A" w:rsidRDefault="00A56FAA" w:rsidP="00046B36">
      <w:pPr>
        <w:pStyle w:val="a3"/>
        <w:jc w:val="both"/>
        <w:rPr>
          <w:sz w:val="24"/>
          <w:lang w:val="el-GR"/>
        </w:rPr>
      </w:pPr>
    </w:p>
    <w:p w:rsidR="00A56FAA" w:rsidRPr="005C1C4A" w:rsidRDefault="00A56FAA" w:rsidP="00046B36">
      <w:pPr>
        <w:pStyle w:val="a3"/>
        <w:spacing w:before="10"/>
        <w:jc w:val="both"/>
        <w:rPr>
          <w:sz w:val="21"/>
          <w:lang w:val="el-GR"/>
        </w:rPr>
      </w:pPr>
    </w:p>
    <w:p w:rsidR="00A56FAA" w:rsidRDefault="005C1C4A" w:rsidP="00046B36">
      <w:pPr>
        <w:pStyle w:val="1"/>
        <w:numPr>
          <w:ilvl w:val="0"/>
          <w:numId w:val="17"/>
        </w:numPr>
        <w:tabs>
          <w:tab w:val="left" w:pos="784"/>
          <w:tab w:val="left" w:pos="785"/>
        </w:tabs>
        <w:jc w:val="both"/>
      </w:pPr>
      <w:r>
        <w:t>ΦΑΡΜΑΚΟΛΟΓΙΚΕΣ ΙΔΙΟΤΗΤΕΣ</w:t>
      </w:r>
    </w:p>
    <w:p w:rsidR="00A56FAA" w:rsidRDefault="00A56FAA" w:rsidP="00046B36">
      <w:pPr>
        <w:pStyle w:val="a3"/>
        <w:spacing w:before="1"/>
        <w:jc w:val="both"/>
        <w:rPr>
          <w:b/>
          <w:sz w:val="23"/>
        </w:rPr>
      </w:pPr>
    </w:p>
    <w:p w:rsidR="00A56FAA" w:rsidRDefault="005C1C4A" w:rsidP="00046B36">
      <w:pPr>
        <w:pStyle w:val="a4"/>
        <w:numPr>
          <w:ilvl w:val="1"/>
          <w:numId w:val="17"/>
        </w:numPr>
        <w:tabs>
          <w:tab w:val="left" w:pos="784"/>
          <w:tab w:val="left" w:pos="785"/>
        </w:tabs>
        <w:jc w:val="both"/>
        <w:rPr>
          <w:b/>
        </w:rPr>
      </w:pPr>
      <w:r>
        <w:rPr>
          <w:b/>
        </w:rPr>
        <w:t>Φαρμακοδυναμικές</w:t>
      </w:r>
      <w:r>
        <w:rPr>
          <w:b/>
          <w:spacing w:val="-2"/>
        </w:rPr>
        <w:t xml:space="preserve"> </w:t>
      </w:r>
      <w:r>
        <w:rPr>
          <w:b/>
        </w:rPr>
        <w:t>ιδιότητες</w:t>
      </w:r>
    </w:p>
    <w:p w:rsidR="00A56FAA" w:rsidRDefault="00A56FAA" w:rsidP="00046B36">
      <w:pPr>
        <w:pStyle w:val="a3"/>
        <w:spacing w:before="8"/>
        <w:jc w:val="both"/>
        <w:rPr>
          <w:b/>
        </w:rPr>
      </w:pPr>
    </w:p>
    <w:p w:rsidR="00A56FAA" w:rsidRPr="005C1C4A" w:rsidRDefault="005C1C4A" w:rsidP="00046B36">
      <w:pPr>
        <w:pStyle w:val="a3"/>
        <w:spacing w:line="244" w:lineRule="auto"/>
        <w:ind w:left="218"/>
        <w:jc w:val="both"/>
        <w:rPr>
          <w:lang w:val="el-GR"/>
        </w:rPr>
      </w:pPr>
      <w:r w:rsidRPr="005C1C4A">
        <w:rPr>
          <w:lang w:val="el-GR"/>
        </w:rPr>
        <w:t>Φαρμακοθεραπευτική κατηγορία: Φάρμακα που χρησιμοποιούνται για τον διαβήτη, αναστολείς της διπεπτιδυλικής πεπτιδάσης 4 (</w:t>
      </w:r>
      <w:r>
        <w:t>DPP</w:t>
      </w:r>
      <w:r w:rsidRPr="005C1C4A">
        <w:rPr>
          <w:lang w:val="el-GR"/>
        </w:rPr>
        <w:t xml:space="preserve">-4), κωδικός </w:t>
      </w:r>
      <w:r>
        <w:t>ATC</w:t>
      </w:r>
      <w:r w:rsidRPr="005C1C4A">
        <w:rPr>
          <w:lang w:val="el-GR"/>
        </w:rPr>
        <w:t xml:space="preserve">: </w:t>
      </w:r>
      <w:r>
        <w:t>A</w:t>
      </w:r>
      <w:r w:rsidRPr="005C1C4A">
        <w:rPr>
          <w:lang w:val="el-GR"/>
        </w:rPr>
        <w:t>10</w:t>
      </w:r>
      <w:r>
        <w:t>BH</w:t>
      </w:r>
      <w:r w:rsidRPr="005C1C4A">
        <w:rPr>
          <w:lang w:val="el-GR"/>
        </w:rPr>
        <w:t>01.</w:t>
      </w:r>
    </w:p>
    <w:p w:rsidR="00A56FAA" w:rsidRPr="005C1C4A" w:rsidRDefault="00A56FAA" w:rsidP="00046B36">
      <w:pPr>
        <w:pStyle w:val="a3"/>
        <w:spacing w:before="8"/>
        <w:jc w:val="both"/>
        <w:rPr>
          <w:lang w:val="el-GR"/>
        </w:rPr>
      </w:pPr>
    </w:p>
    <w:p w:rsidR="00A56FAA" w:rsidRPr="005C1C4A" w:rsidRDefault="005C1C4A" w:rsidP="00046B36">
      <w:pPr>
        <w:pStyle w:val="a3"/>
        <w:ind w:left="218"/>
        <w:jc w:val="both"/>
        <w:rPr>
          <w:lang w:val="el-GR"/>
        </w:rPr>
      </w:pPr>
      <w:r w:rsidRPr="005C1C4A">
        <w:rPr>
          <w:u w:val="single"/>
          <w:lang w:val="el-GR"/>
        </w:rPr>
        <w:t>Μηχανισμός δράσης</w:t>
      </w:r>
    </w:p>
    <w:p w:rsidR="00A56FAA" w:rsidRPr="005C1C4A" w:rsidRDefault="008342B1" w:rsidP="00046B36">
      <w:pPr>
        <w:pStyle w:val="a3"/>
        <w:spacing w:before="6" w:line="244" w:lineRule="auto"/>
        <w:ind w:left="218"/>
        <w:jc w:val="both"/>
        <w:rPr>
          <w:lang w:val="el-GR"/>
        </w:rPr>
      </w:pPr>
      <w:r>
        <w:rPr>
          <w:lang w:val="el-GR"/>
        </w:rPr>
        <w:t>Η σιταγλιπτίνη</w:t>
      </w:r>
      <w:r w:rsidR="005C1C4A" w:rsidRPr="005C1C4A">
        <w:rPr>
          <w:lang w:val="el-GR"/>
        </w:rPr>
        <w:t xml:space="preserve"> είναι μέλος μιας κατηγορίας από του στόματος αντιυπεργλυκαιμικών φαρμάκων, που ονομάζονται αναστολείς της διπεπτιδυλικής πεπτιδάσης-4 (</w:t>
      </w:r>
      <w:r w:rsidR="005C1C4A">
        <w:t>DPP</w:t>
      </w:r>
      <w:r w:rsidR="005C1C4A" w:rsidRPr="005C1C4A">
        <w:rPr>
          <w:lang w:val="el-GR"/>
        </w:rPr>
        <w:t>-4). Η βελτίωση του γλυκαιμικού ελέγχου που παρατηρείται με αυτό το φαρμακευτικό προϊόν μπορεί να επιτυγχάνεται μέσω της αύξησης των επιπέδων των ενεργών ορμονών που ονομάζονται ινκρετίνες. Οι ινκρετίνες, συμπεριλαμβανομένων του παρόμοιου με τη γλυκαγόνη πεπτιδίου-1 (</w:t>
      </w:r>
      <w:r w:rsidR="005C1C4A">
        <w:t>GLP</w:t>
      </w:r>
      <w:r w:rsidR="005C1C4A" w:rsidRPr="005C1C4A">
        <w:rPr>
          <w:lang w:val="el-GR"/>
        </w:rPr>
        <w:t>-1) και του εξαρτώμενου από τη γλυκόζη ινσουλινοτρόπου πολυπεπτιδίου (</w:t>
      </w:r>
      <w:r w:rsidR="005C1C4A">
        <w:t>GIP</w:t>
      </w:r>
      <w:r w:rsidR="005C1C4A" w:rsidRPr="005C1C4A">
        <w:rPr>
          <w:lang w:val="el-GR"/>
        </w:rPr>
        <w:t xml:space="preserve">), απελευθερώνονται από το έντερο κατά τη διάρκεια της ημέρας και τα επίπεδά τους αυξάνονται ως απάντηση σε ένα γεύμα. Οι ινκρετίνες είναι μέρος ενός ενδογενούς συστήματος που εμπλέκεται στη φυσιολογική ρύθμιση της ομοιόστασης της γλυκόζης. Όταν οι συγκεντρώσεις της γλυκόζης στο αίμα είναι φυσιολογικές ή αυξημένες, τα </w:t>
      </w:r>
      <w:r w:rsidR="005C1C4A">
        <w:t>GLP</w:t>
      </w:r>
      <w:r w:rsidR="005C1C4A" w:rsidRPr="005C1C4A">
        <w:rPr>
          <w:lang w:val="el-GR"/>
        </w:rPr>
        <w:t xml:space="preserve">-1 και </w:t>
      </w:r>
      <w:r w:rsidR="005C1C4A">
        <w:t>GIP</w:t>
      </w:r>
      <w:r w:rsidR="005C1C4A" w:rsidRPr="005C1C4A">
        <w:rPr>
          <w:lang w:val="el-GR"/>
        </w:rPr>
        <w:t xml:space="preserve"> αυξάνουν τη σύνθεση και την απελευθέρωση της ινσουλίνης από τα βήτα κύτταρα του παγκρέατος μέσω ενδοκυττάριων οδών σηματοδότησης, στις οποίες εμπλέκεται το κυκλικό </w:t>
      </w:r>
      <w:r w:rsidR="005C1C4A">
        <w:t>AMP</w:t>
      </w:r>
      <w:r w:rsidR="005C1C4A" w:rsidRPr="005C1C4A">
        <w:rPr>
          <w:lang w:val="el-GR"/>
        </w:rPr>
        <w:t xml:space="preserve">. Η θεραπεία με </w:t>
      </w:r>
      <w:r w:rsidR="005C1C4A">
        <w:t>GLP</w:t>
      </w:r>
      <w:r w:rsidR="005C1C4A" w:rsidRPr="005C1C4A">
        <w:rPr>
          <w:lang w:val="el-GR"/>
        </w:rPr>
        <w:t xml:space="preserve">-1 ή με αναστολείς της </w:t>
      </w:r>
      <w:r w:rsidR="005C1C4A">
        <w:t>DPP</w:t>
      </w:r>
      <w:r w:rsidR="005C1C4A" w:rsidRPr="005C1C4A">
        <w:rPr>
          <w:lang w:val="el-GR"/>
        </w:rPr>
        <w:t xml:space="preserve">-4 σε πρότυπα ζώων με διαβήτη τύπου 2 έδειξε να βελτιώνει την απόκριση των βήτα κυττάρων στη γλυκόζη και να διεγείρει τη βιοσύνθεση και απελευθέρωση της ινσουλίνης. Με τα υψηλότερα επίπεδα ινσουλίνης ενισχύεται η πρόσληψη της γλυκόζης από τους ιστούς. Επιπρόσθετα, το </w:t>
      </w:r>
      <w:r w:rsidR="005C1C4A">
        <w:t>GLP</w:t>
      </w:r>
      <w:r w:rsidR="005C1C4A" w:rsidRPr="005C1C4A">
        <w:rPr>
          <w:lang w:val="el-GR"/>
        </w:rPr>
        <w:t xml:space="preserve">-1 μειώνει την έκκριση της γλυκαγόνης από τα άλφα κύτταρα του παγκρέατος. Οι μειωμένες συγκεντρώσεις γλυκαγόνης μαζί με τα αυξημένα επίπεδα ινσουλίνης οδηγούν σε μειωμένη ηπατική παραγωγή γλυκόζης, που έχει ως αποτέλεσμα μείωση των επιπέδων γλυκόζης του αίματος. Οι επιδράσεις του </w:t>
      </w:r>
      <w:r w:rsidR="005C1C4A">
        <w:t>GLP</w:t>
      </w:r>
      <w:r w:rsidR="005C1C4A" w:rsidRPr="005C1C4A">
        <w:rPr>
          <w:lang w:val="el-GR"/>
        </w:rPr>
        <w:t xml:space="preserve">-1 και του </w:t>
      </w:r>
      <w:r w:rsidR="005C1C4A">
        <w:t>GIP</w:t>
      </w:r>
      <w:r w:rsidR="005C1C4A" w:rsidRPr="005C1C4A">
        <w:rPr>
          <w:lang w:val="el-GR"/>
        </w:rPr>
        <w:t xml:space="preserve"> είναι εξαρτώμενες από την γλυκόζη έτσι ώστε όταν τα επίπεδα της γλυκόζης είναι χαμηλά, δεν παρατηρείται διέγερση προς απελευθέρωση ινσουλίνης ούτε καταστολή της έκκρισης της γλυκαγόνης μέσω του </w:t>
      </w:r>
      <w:r w:rsidR="005C1C4A">
        <w:t>GLP</w:t>
      </w:r>
      <w:r w:rsidR="005C1C4A" w:rsidRPr="005C1C4A">
        <w:rPr>
          <w:lang w:val="el-GR"/>
        </w:rPr>
        <w:t xml:space="preserve">-1. Και για  τα δύο, </w:t>
      </w:r>
      <w:r w:rsidR="005C1C4A">
        <w:t>GLP</w:t>
      </w:r>
      <w:r w:rsidR="005C1C4A" w:rsidRPr="005C1C4A">
        <w:rPr>
          <w:lang w:val="el-GR"/>
        </w:rPr>
        <w:t xml:space="preserve">-1 και </w:t>
      </w:r>
      <w:r w:rsidR="005C1C4A">
        <w:t>GIP</w:t>
      </w:r>
      <w:r w:rsidR="005C1C4A" w:rsidRPr="005C1C4A">
        <w:rPr>
          <w:lang w:val="el-GR"/>
        </w:rPr>
        <w:t xml:space="preserve">, η διέγερση προς απελευθέρωση ινσουλίνης αυξάνεται μόλις τα επίπεδα της γλυκόζης ανέρχονται πάνω από τις φυσιολογικές συγκεντρώσεις. Επιπλέον, το </w:t>
      </w:r>
      <w:r w:rsidR="005C1C4A">
        <w:t>GLP</w:t>
      </w:r>
      <w:r w:rsidR="005C1C4A" w:rsidRPr="005C1C4A">
        <w:rPr>
          <w:lang w:val="el-GR"/>
        </w:rPr>
        <w:t xml:space="preserve">-1 δεν επιδεινώνει τη φυσιολογική απόκριση της γλυκαγόνης σε υπογλυκαιμία. Η δραστηριότητα των </w:t>
      </w:r>
      <w:r w:rsidR="005C1C4A">
        <w:t>GLP</w:t>
      </w:r>
      <w:r w:rsidR="005C1C4A" w:rsidRPr="005C1C4A">
        <w:rPr>
          <w:lang w:val="el-GR"/>
        </w:rPr>
        <w:t xml:space="preserve">-1 και </w:t>
      </w:r>
      <w:r w:rsidR="005C1C4A">
        <w:t>GIP</w:t>
      </w:r>
      <w:r w:rsidR="005C1C4A" w:rsidRPr="005C1C4A">
        <w:rPr>
          <w:lang w:val="el-GR"/>
        </w:rPr>
        <w:t xml:space="preserve"> περιορίζεται από τη δράση του ενζύμου </w:t>
      </w:r>
      <w:r w:rsidR="005C1C4A">
        <w:t>DPP</w:t>
      </w:r>
      <w:r w:rsidR="005C1C4A" w:rsidRPr="005C1C4A">
        <w:rPr>
          <w:lang w:val="el-GR"/>
        </w:rPr>
        <w:t xml:space="preserve">-4, το οποίο υδρολύει ταχέως τις ινκρετίνες παράγοντας αδρανή προϊόντα. Η σιταγλιπτίνη προλαμβάνει την υδρόλυση των ινκρετινών από το </w:t>
      </w:r>
      <w:r w:rsidR="005C1C4A">
        <w:t>DPP</w:t>
      </w:r>
      <w:r w:rsidR="005C1C4A" w:rsidRPr="005C1C4A">
        <w:rPr>
          <w:lang w:val="el-GR"/>
        </w:rPr>
        <w:t xml:space="preserve">-4, αυξάνοντας έτσι τις συγκεντρώσεις στο πλάσμα των δραστικών μορφών των </w:t>
      </w:r>
      <w:r w:rsidR="005C1C4A">
        <w:t>GLP</w:t>
      </w:r>
      <w:r w:rsidR="005C1C4A" w:rsidRPr="005C1C4A">
        <w:rPr>
          <w:lang w:val="el-GR"/>
        </w:rPr>
        <w:t xml:space="preserve">-1 και </w:t>
      </w:r>
      <w:r w:rsidR="005C1C4A">
        <w:t>GIP</w:t>
      </w:r>
      <w:r w:rsidR="005C1C4A" w:rsidRPr="005C1C4A">
        <w:rPr>
          <w:lang w:val="el-GR"/>
        </w:rPr>
        <w:t xml:space="preserve">. Αυξάνοντας τα επίπεδα των ενεργών ινκρετινών, η σιταγλιπτίνη αυξάνει την απελευθέρωση της ινσουλίνης και μειώνει τα επίπεδα της γλυκαγόνης με ένα γλυκοζοεξαρτώμενο τρόπο. Σε ασθενείς με διαβήτη τύπου 2 με υπεργλυκαιμία, οι αλλαγές αυτές στα επίπεδα ινσουλίνης και γλυκαγόνης  οδηγούν σε μειωμένες συγκεντρώσεις της αιμοσφαιρίνης </w:t>
      </w:r>
      <w:r w:rsidR="005C1C4A">
        <w:t>A</w:t>
      </w:r>
      <w:r w:rsidR="005C1C4A" w:rsidRPr="005C1C4A">
        <w:rPr>
          <w:vertAlign w:val="subscript"/>
          <w:lang w:val="el-GR"/>
        </w:rPr>
        <w:t>1</w:t>
      </w:r>
      <w:r w:rsidR="005C1C4A">
        <w:rPr>
          <w:vertAlign w:val="subscript"/>
        </w:rPr>
        <w:t>c</w:t>
      </w:r>
      <w:r w:rsidR="005C1C4A" w:rsidRPr="005C1C4A">
        <w:rPr>
          <w:lang w:val="el-GR"/>
        </w:rPr>
        <w:t xml:space="preserve"> (</w:t>
      </w:r>
      <w:r w:rsidR="005C1C4A">
        <w:t>HbA</w:t>
      </w:r>
      <w:r w:rsidR="005C1C4A" w:rsidRPr="005C1C4A">
        <w:rPr>
          <w:vertAlign w:val="subscript"/>
          <w:lang w:val="el-GR"/>
        </w:rPr>
        <w:t>1</w:t>
      </w:r>
      <w:r w:rsidR="005C1C4A">
        <w:rPr>
          <w:vertAlign w:val="subscript"/>
        </w:rPr>
        <w:t>c</w:t>
      </w:r>
      <w:r w:rsidR="005C1C4A" w:rsidRPr="005C1C4A">
        <w:rPr>
          <w:lang w:val="el-GR"/>
        </w:rPr>
        <w:t xml:space="preserve">), της γλυκόζης νηστείας, καθώς και της μεταγευματικής γλυκόζης. Ο γλυκοζοεξαρτώμενος μηχανισμός δράσης της σιταγλιπτίνης είναι διαφορετικός από τον μηχανισμό της σουλφονυλουρίας που αυξάνει την έκκριση της ινσουλίνης ακόμη και όταν τα επίπεδα της γλυκόζης είναι χαμηλά και μπορεί να οδηγήσει σε υπογλυκαιμία σε ασθενείς με διαβήτη τύπου 2 και σε φυσιολογικά άτομα. Η σιταγλιπτίνη είναι ένας ισχυρός και  υψηλά εκλεκτικός αναστολέας του ενζύμου </w:t>
      </w:r>
      <w:r w:rsidR="005C1C4A">
        <w:t>DPP</w:t>
      </w:r>
      <w:r w:rsidR="005C1C4A" w:rsidRPr="005C1C4A">
        <w:rPr>
          <w:lang w:val="el-GR"/>
        </w:rPr>
        <w:t>-4, και δεν αναστέλλει τα στενά σχετιζόμενα</w:t>
      </w:r>
      <w:r w:rsidR="005C1C4A" w:rsidRPr="005C1C4A">
        <w:rPr>
          <w:spacing w:val="22"/>
          <w:lang w:val="el-GR"/>
        </w:rPr>
        <w:t xml:space="preserve"> </w:t>
      </w:r>
      <w:r w:rsidR="005C1C4A" w:rsidRPr="005C1C4A">
        <w:rPr>
          <w:lang w:val="el-GR"/>
        </w:rPr>
        <w:t>ένζυμα</w:t>
      </w:r>
    </w:p>
    <w:p w:rsidR="00A56FAA" w:rsidRPr="005C1C4A" w:rsidRDefault="00A56FAA" w:rsidP="00046B36">
      <w:pPr>
        <w:spacing w:line="244" w:lineRule="auto"/>
        <w:jc w:val="both"/>
        <w:rPr>
          <w:lang w:val="el-GR"/>
        </w:rPr>
        <w:sectPr w:rsidR="00A56FAA" w:rsidRPr="005C1C4A">
          <w:pgSz w:w="11910" w:h="16840"/>
          <w:pgMar w:top="1040" w:right="1180" w:bottom="900" w:left="1200" w:header="0" w:footer="714" w:gutter="0"/>
          <w:cols w:space="720"/>
        </w:sectPr>
      </w:pPr>
    </w:p>
    <w:p w:rsidR="00A56FAA" w:rsidRPr="005C1C4A" w:rsidRDefault="005C1C4A" w:rsidP="00046B36">
      <w:pPr>
        <w:pStyle w:val="a3"/>
        <w:spacing w:before="80"/>
        <w:ind w:left="218"/>
        <w:jc w:val="both"/>
        <w:rPr>
          <w:lang w:val="el-GR"/>
        </w:rPr>
      </w:pPr>
      <w:proofErr w:type="gramStart"/>
      <w:r>
        <w:lastRenderedPageBreak/>
        <w:t>DPP</w:t>
      </w:r>
      <w:r w:rsidRPr="005C1C4A">
        <w:rPr>
          <w:lang w:val="el-GR"/>
        </w:rPr>
        <w:t xml:space="preserve">-8 ή </w:t>
      </w:r>
      <w:r>
        <w:t>DPP</w:t>
      </w:r>
      <w:r w:rsidRPr="005C1C4A">
        <w:rPr>
          <w:lang w:val="el-GR"/>
        </w:rPr>
        <w:t>-9 σε θεραπευτικές συγκεντρώσεις.</w:t>
      </w:r>
      <w:proofErr w:type="gramEnd"/>
    </w:p>
    <w:p w:rsidR="00A56FAA" w:rsidRPr="005C1C4A" w:rsidRDefault="00A56FAA" w:rsidP="00046B36">
      <w:pPr>
        <w:pStyle w:val="a3"/>
        <w:spacing w:before="1"/>
        <w:jc w:val="both"/>
        <w:rPr>
          <w:sz w:val="23"/>
          <w:lang w:val="el-GR"/>
        </w:rPr>
      </w:pPr>
    </w:p>
    <w:p w:rsidR="00A56FAA" w:rsidRPr="005C1C4A" w:rsidRDefault="005C1C4A" w:rsidP="00046B36">
      <w:pPr>
        <w:pStyle w:val="a3"/>
        <w:spacing w:line="244" w:lineRule="auto"/>
        <w:ind w:left="218"/>
        <w:jc w:val="both"/>
        <w:rPr>
          <w:lang w:val="el-GR"/>
        </w:rPr>
      </w:pPr>
      <w:r w:rsidRPr="005C1C4A">
        <w:rPr>
          <w:lang w:val="el-GR"/>
        </w:rPr>
        <w:t xml:space="preserve">Σε μία μελέτη δύο ημερών σε υγιή άτομα, η σιταγλιπτίνη ως μονοθεραπεία αύξησε τις συγκεντρώσεις του ενεργού </w:t>
      </w:r>
      <w:r>
        <w:t>GLP</w:t>
      </w:r>
      <w:r w:rsidRPr="005C1C4A">
        <w:rPr>
          <w:lang w:val="el-GR"/>
        </w:rPr>
        <w:t xml:space="preserve">-1, ενώ η μετφορμίνη ως μονοθεραπεία αύξησε τις συγκεντρώσεις του ενεργού και ολικού </w:t>
      </w:r>
      <w:r>
        <w:t>GLP</w:t>
      </w:r>
      <w:r w:rsidRPr="005C1C4A">
        <w:rPr>
          <w:lang w:val="el-GR"/>
        </w:rPr>
        <w:t xml:space="preserve">-1 σε παρόμοια ποσοστά. Η συγχορήγηση της σιταγλιπτίνης και μετφορμίνης είχε μία επιπλέον επίδραση στις συγκεντρώσεις του ενεργού </w:t>
      </w:r>
      <w:r>
        <w:t>GLP</w:t>
      </w:r>
      <w:r w:rsidRPr="005C1C4A">
        <w:rPr>
          <w:lang w:val="el-GR"/>
        </w:rPr>
        <w:t xml:space="preserve">-1. Η σιταγλιπτίνη αλλά όχι η μετφορμίνη, αύξησε τις συγκεντρώσεις του ενεργού </w:t>
      </w:r>
      <w:r>
        <w:t>GIP</w:t>
      </w:r>
      <w:r w:rsidRPr="005C1C4A">
        <w:rPr>
          <w:lang w:val="el-GR"/>
        </w:rPr>
        <w:t>.</w:t>
      </w:r>
    </w:p>
    <w:p w:rsidR="00A56FAA" w:rsidRPr="005C1C4A" w:rsidRDefault="00A56FAA" w:rsidP="00046B36">
      <w:pPr>
        <w:pStyle w:val="a3"/>
        <w:jc w:val="both"/>
        <w:rPr>
          <w:sz w:val="23"/>
          <w:lang w:val="el-GR"/>
        </w:rPr>
      </w:pPr>
    </w:p>
    <w:p w:rsidR="00A56FAA" w:rsidRPr="005C1C4A" w:rsidRDefault="005C1C4A" w:rsidP="00046B36">
      <w:pPr>
        <w:pStyle w:val="a3"/>
        <w:ind w:left="218"/>
        <w:jc w:val="both"/>
        <w:rPr>
          <w:lang w:val="el-GR"/>
        </w:rPr>
      </w:pPr>
      <w:r w:rsidRPr="005C1C4A">
        <w:rPr>
          <w:u w:val="single"/>
          <w:lang w:val="el-GR"/>
        </w:rPr>
        <w:t>Κλινική αποτελεσματικότητα και ασφάλεια</w:t>
      </w:r>
    </w:p>
    <w:p w:rsidR="00A56FAA" w:rsidRPr="005C1C4A" w:rsidRDefault="005C1C4A" w:rsidP="00046B36">
      <w:pPr>
        <w:pStyle w:val="a3"/>
        <w:spacing w:before="7" w:line="244" w:lineRule="auto"/>
        <w:ind w:left="218"/>
        <w:jc w:val="both"/>
        <w:rPr>
          <w:lang w:val="el-GR"/>
        </w:rPr>
      </w:pPr>
      <w:r w:rsidRPr="005C1C4A">
        <w:rPr>
          <w:lang w:val="el-GR"/>
        </w:rPr>
        <w:t>Γενικά, η σιταγλιπτίνη βελτίωσε τον γλυκαιμικό έλεγχο όταν χορηγήθηκε ως μονοθεραπεία ή θεραπεία συνδυασμού σε ενήλικες ασθενείς με διαβήτη τύπου 2 (βλ. Πίνακα 2).</w:t>
      </w:r>
    </w:p>
    <w:p w:rsidR="00A56FAA" w:rsidRPr="005C1C4A" w:rsidRDefault="00A56FAA" w:rsidP="00046B36">
      <w:pPr>
        <w:pStyle w:val="a3"/>
        <w:spacing w:before="8"/>
        <w:jc w:val="both"/>
        <w:rPr>
          <w:lang w:val="el-GR"/>
        </w:rPr>
      </w:pPr>
    </w:p>
    <w:p w:rsidR="00A56FAA" w:rsidRPr="005C1C4A" w:rsidRDefault="005C1C4A" w:rsidP="00046B36">
      <w:pPr>
        <w:pStyle w:val="a3"/>
        <w:spacing w:line="244" w:lineRule="auto"/>
        <w:ind w:left="218"/>
        <w:jc w:val="both"/>
        <w:rPr>
          <w:lang w:val="el-GR"/>
        </w:rPr>
      </w:pPr>
      <w:r w:rsidRPr="005C1C4A">
        <w:rPr>
          <w:lang w:val="el-GR"/>
        </w:rPr>
        <w:t xml:space="preserve">Διεξήχθησαν δύο μελέτες για να εκτιμηθεί η αποτελεσματικότητα και η ασφάλεια της σιταγλιπτίνης ως μονοθεραπεία. Η θεραπεία με σιταγλιπτίνη, στα 100 </w:t>
      </w:r>
      <w:r>
        <w:t>mg</w:t>
      </w:r>
      <w:r w:rsidRPr="005C1C4A">
        <w:rPr>
          <w:lang w:val="el-GR"/>
        </w:rPr>
        <w:t xml:space="preserve"> μία φορά ημερησίως ως μονοθεραπεία επέφερε σημαντικές βελτιώσεις στην </w:t>
      </w:r>
      <w:r>
        <w:t>HbA</w:t>
      </w:r>
      <w:r w:rsidRPr="005C1C4A">
        <w:rPr>
          <w:vertAlign w:val="subscript"/>
          <w:lang w:val="el-GR"/>
        </w:rPr>
        <w:t>1</w:t>
      </w:r>
      <w:r>
        <w:rPr>
          <w:vertAlign w:val="subscript"/>
        </w:rPr>
        <w:t>c</w:t>
      </w:r>
      <w:r w:rsidRPr="005C1C4A">
        <w:rPr>
          <w:lang w:val="el-GR"/>
        </w:rPr>
        <w:t xml:space="preserve"> στη γλυκόζη πλάσματος νηστείας (</w:t>
      </w:r>
      <w:r>
        <w:t>FPG</w:t>
      </w:r>
      <w:r w:rsidRPr="005C1C4A">
        <w:rPr>
          <w:lang w:val="el-GR"/>
        </w:rPr>
        <w:t xml:space="preserve">) και στη γλυκόζη 2 ώρες μετά από γεύμα (2-ώρες </w:t>
      </w:r>
      <w:r>
        <w:t>PPG</w:t>
      </w:r>
      <w:r w:rsidRPr="005C1C4A">
        <w:rPr>
          <w:lang w:val="el-GR"/>
        </w:rPr>
        <w:t>), σε σύγκριση με το εικονικό φάρμακο σε δύο μελέτες διάρκειας μία 18 και μία 24 εβδομάδων. Παρατηρήθηκε βελτίωση των υποκατάστατων δεικτών (</w:t>
      </w:r>
      <w:r>
        <w:t>surrogate</w:t>
      </w:r>
      <w:r w:rsidRPr="005C1C4A">
        <w:rPr>
          <w:lang w:val="el-GR"/>
        </w:rPr>
        <w:t xml:space="preserve"> </w:t>
      </w:r>
      <w:r>
        <w:t>markers</w:t>
      </w:r>
      <w:r w:rsidRPr="005C1C4A">
        <w:rPr>
          <w:lang w:val="el-GR"/>
        </w:rPr>
        <w:t xml:space="preserve">) για τη λειτουργία των β κυττάρων, συμπεριλαμβανομένων της </w:t>
      </w:r>
      <w:r>
        <w:t>HOMA</w:t>
      </w:r>
      <w:r w:rsidRPr="005C1C4A">
        <w:rPr>
          <w:lang w:val="el-GR"/>
        </w:rPr>
        <w:t>-β (</w:t>
      </w:r>
      <w:r>
        <w:t>Homeostasis</w:t>
      </w:r>
      <w:r w:rsidRPr="005C1C4A">
        <w:rPr>
          <w:lang w:val="el-GR"/>
        </w:rPr>
        <w:t xml:space="preserve"> </w:t>
      </w:r>
      <w:r>
        <w:t>Model</w:t>
      </w:r>
      <w:r w:rsidRPr="005C1C4A">
        <w:rPr>
          <w:lang w:val="el-GR"/>
        </w:rPr>
        <w:t xml:space="preserve"> </w:t>
      </w:r>
      <w:r>
        <w:t>Assessment</w:t>
      </w:r>
      <w:r w:rsidRPr="005C1C4A">
        <w:rPr>
          <w:lang w:val="el-GR"/>
        </w:rPr>
        <w:t xml:space="preserve">-β), του λόγου προϊνσουλίνης προς ινσουλίνη, και των μετρήσεων για την ανταπόκριση των βήτα κυττάρων μέσω της δοκιμασίας ανοχής σε κανονική διατροφή με συχνές δειγματοληψίες. Η συχνότητα εμφάνισης υπογλυκαιμίας που παρατηρήθηκε στους ασθενείς που ελάμβαναν σιταγλιπτίνη ήταν παρόμοια με αυτή του εικονικού φαρμάκου. </w:t>
      </w:r>
      <w:proofErr w:type="gramStart"/>
      <w:r>
        <w:t>To</w:t>
      </w:r>
      <w:r w:rsidRPr="005C1C4A">
        <w:rPr>
          <w:lang w:val="el-GR"/>
        </w:rPr>
        <w:t xml:space="preserve"> σωματικό βάρος δεν αυξήθηκε από την αρχική τιμή με τη θεραπεία με σιταγλιπτίνη σε καμιά από τις μελέτες, σε σύγκριση με μια μικρή μείωση στους ασθενείς που ελάμβαναν εικονικό φάρμακο.</w:t>
      </w:r>
      <w:proofErr w:type="gramEnd"/>
    </w:p>
    <w:p w:rsidR="00A56FAA" w:rsidRPr="005C1C4A" w:rsidRDefault="00A56FAA" w:rsidP="00046B36">
      <w:pPr>
        <w:pStyle w:val="a3"/>
        <w:spacing w:before="9"/>
        <w:jc w:val="both"/>
        <w:rPr>
          <w:sz w:val="23"/>
          <w:lang w:val="el-GR"/>
        </w:rPr>
      </w:pPr>
    </w:p>
    <w:p w:rsidR="00A56FAA" w:rsidRPr="005C1C4A" w:rsidRDefault="005C1C4A" w:rsidP="00046B36">
      <w:pPr>
        <w:pStyle w:val="a3"/>
        <w:spacing w:line="244" w:lineRule="auto"/>
        <w:ind w:left="218"/>
        <w:jc w:val="both"/>
        <w:rPr>
          <w:lang w:val="el-GR"/>
        </w:rPr>
      </w:pPr>
      <w:r w:rsidRPr="005C1C4A">
        <w:rPr>
          <w:lang w:val="el-GR"/>
        </w:rPr>
        <w:t xml:space="preserve">Η σιταγλιπτίνη 100 </w:t>
      </w:r>
      <w:r>
        <w:t>mg</w:t>
      </w:r>
      <w:r w:rsidRPr="005C1C4A">
        <w:rPr>
          <w:lang w:val="el-GR"/>
        </w:rPr>
        <w:t xml:space="preserve"> μία φορά ημερησίως παρείχε σημαντική βελτίωση των γλυκαιμικών παραμέτρων σε σύγκριση με το εικονικό φάρμακο σε δύο μελέτες 24 εβδομάδων για τη σιταγλιπτίνη ως θεραπεία προσθήκης, μία σε συνδυασμό με μετφορμίνη και μία σε συνδυασμό με πιογλιταζόνη. Οι αλλαγές του σωματικού βάρους από την αρχική τιμή ήταν παρόμοιες για τους ασθενείς που έλαβαν θεραπεία με σιταγλιπτίνη σε σύγκριση με το εικονικό φάρμακο. Σ' αυτές τις μελέτες υπήρξε μία παρόμοια συχνότητα εμφάνισης υπογλυκαιμίας που αναφέρθηκε για τους ασθενείς που έλαβαν θεραπεία με σιταγλιπτίνη ή εικονικό φάρμακο.</w:t>
      </w:r>
    </w:p>
    <w:p w:rsidR="00A56FAA" w:rsidRPr="005C1C4A" w:rsidRDefault="00A56FAA" w:rsidP="00046B36">
      <w:pPr>
        <w:pStyle w:val="a3"/>
        <w:spacing w:before="2"/>
        <w:jc w:val="both"/>
        <w:rPr>
          <w:sz w:val="23"/>
          <w:lang w:val="el-GR"/>
        </w:rPr>
      </w:pPr>
    </w:p>
    <w:p w:rsidR="00A56FAA" w:rsidRPr="005C1C4A" w:rsidRDefault="005C1C4A" w:rsidP="00046B36">
      <w:pPr>
        <w:pStyle w:val="a3"/>
        <w:spacing w:before="1" w:line="244" w:lineRule="auto"/>
        <w:ind w:left="218"/>
        <w:jc w:val="both"/>
        <w:rPr>
          <w:lang w:val="el-GR"/>
        </w:rPr>
      </w:pPr>
      <w:r w:rsidRPr="005C1C4A">
        <w:rPr>
          <w:lang w:val="el-GR"/>
        </w:rPr>
        <w:t xml:space="preserve">Μία μελέτη διάρκειας 24 εβδομάδων, ελεγχόμενη με εικονικό φάρμακο, σχεδιάσθηκε για την αξιολόγηση της αποτελεσματικότητας και ασφάλειας της σιταγλιπτίνης (100 </w:t>
      </w:r>
      <w:r>
        <w:t>mg</w:t>
      </w:r>
      <w:r w:rsidRPr="005C1C4A">
        <w:rPr>
          <w:lang w:val="el-GR"/>
        </w:rPr>
        <w:t xml:space="preserve"> μία φορά ημερησίως) που προστέθηκε σε γλιμεπιρίδη μόνο ή γλιμεπιρίδη σε συνδυασμό με μετφορμίνη. Η προσθήκη της σιταγλιπτίνης είτε στη γλιμεπιρίδη μόνο ή στη γλιμεπιρίδη και μετφορμίνη επέφερε σημαντικές βελτιώσεις σε γλυκαιμικούς παράγοντες. Οι ασθενείς που έλαβαν θεραπεία με σιταγλιπτίνη είχαν παρουσιάσει μέτρια αύξηση σωματικού βάρους σε σύγκριση με αυτούς που έλαβαν εικονικό φάρμακο.</w:t>
      </w:r>
    </w:p>
    <w:p w:rsidR="00A56FAA" w:rsidRPr="005C1C4A" w:rsidRDefault="00A56FAA" w:rsidP="00046B36">
      <w:pPr>
        <w:pStyle w:val="a3"/>
        <w:spacing w:before="2"/>
        <w:jc w:val="both"/>
        <w:rPr>
          <w:sz w:val="23"/>
          <w:lang w:val="el-GR"/>
        </w:rPr>
      </w:pPr>
    </w:p>
    <w:p w:rsidR="00A56FAA" w:rsidRPr="005C1C4A" w:rsidRDefault="005C1C4A" w:rsidP="00046B36">
      <w:pPr>
        <w:pStyle w:val="a3"/>
        <w:spacing w:before="1" w:line="244" w:lineRule="auto"/>
        <w:ind w:left="218"/>
        <w:jc w:val="both"/>
        <w:rPr>
          <w:lang w:val="el-GR"/>
        </w:rPr>
      </w:pPr>
      <w:r w:rsidRPr="005C1C4A">
        <w:rPr>
          <w:lang w:val="el-GR"/>
        </w:rPr>
        <w:t xml:space="preserve">Μία μελέτη διάρκειας 26 εβδομάδων ελεγχόμενη με εικονικό φάρμακο σχεδιάσθηκε προκειμένου να αξιολογηθεί η αποτελεσματικότητα και η ασφάλεια της σιταγλιπτίνης (100 </w:t>
      </w:r>
      <w:r>
        <w:t>mg</w:t>
      </w:r>
      <w:r w:rsidRPr="005C1C4A">
        <w:rPr>
          <w:lang w:val="el-GR"/>
        </w:rPr>
        <w:t xml:space="preserve"> μία φορά ημερησίως) που προστέθηκε στο συνδυασμό πιογλιταζόνης και μετφορμίνης. Η προσθήκη της σιταγλιπτίνης στην πιογλιταζόνη και μετφορμίνη παρείχε σημαντικές βελτιώσεις των γλυκαιμικών παραμέτρων. Η μεταβολή του σωματικού βάρους από την αρχική τιμή ήταν παρόμοια για τους ασθενείς που έλαβαν θεραπεία με σιταγλιπτίνη σε σύγκριση με το εικονικό φάρμακο. Η επίπτωση της υπογλυκαιμίας ήταν επίσης παρόμοια σε ασθενείς που έλαβαν θεραπεία με σιταγλιπτίνη ή εικονικό φάρμακο.</w:t>
      </w:r>
    </w:p>
    <w:p w:rsidR="00A56FAA" w:rsidRPr="005C1C4A" w:rsidRDefault="00A56FAA" w:rsidP="00046B36">
      <w:pPr>
        <w:pStyle w:val="a3"/>
        <w:spacing w:before="2"/>
        <w:jc w:val="both"/>
        <w:rPr>
          <w:sz w:val="23"/>
          <w:lang w:val="el-GR"/>
        </w:rPr>
      </w:pPr>
    </w:p>
    <w:p w:rsidR="00A56FAA" w:rsidRPr="005C1C4A" w:rsidRDefault="005C1C4A" w:rsidP="00046B36">
      <w:pPr>
        <w:pStyle w:val="a3"/>
        <w:spacing w:line="244" w:lineRule="auto"/>
        <w:ind w:left="218"/>
        <w:jc w:val="both"/>
        <w:rPr>
          <w:lang w:val="el-GR"/>
        </w:rPr>
      </w:pPr>
      <w:r w:rsidRPr="005C1C4A">
        <w:rPr>
          <w:lang w:val="el-GR"/>
        </w:rPr>
        <w:t xml:space="preserve">Μία μελέτη διάρκειας 24 εβδομάδων ελεγχόμενη με εικονικό φάρμακο, σχεδιάσθηκε προκειμένου να αξιολογηθεί η αποτελεσματικότητα και η ασφάλεια της σιταγλιπτίνης (100 </w:t>
      </w:r>
      <w:r>
        <w:t>mg</w:t>
      </w:r>
      <w:r w:rsidRPr="005C1C4A">
        <w:rPr>
          <w:lang w:val="el-GR"/>
        </w:rPr>
        <w:t xml:space="preserve"> μία φορά ημερησίως) που προστέθηκε στην ινσουλίνη (σε μίασταθερή δοσολογία για τουλάχιστον 10 εβδομάδες) με ή χωρίς μετφορμίνη (τουλάχιστον 1.500 </w:t>
      </w:r>
      <w:r>
        <w:t>mg</w:t>
      </w:r>
      <w:r w:rsidRPr="005C1C4A">
        <w:rPr>
          <w:lang w:val="el-GR"/>
        </w:rPr>
        <w:t xml:space="preserve">). Σε ασθενείς που έλαβαν προαναμεμιγμένη ινσουλίνη, η μέση ημερήσια δοσολογία ήταν 70,9 </w:t>
      </w:r>
      <w:r>
        <w:t>U</w:t>
      </w:r>
      <w:r w:rsidRPr="005C1C4A">
        <w:rPr>
          <w:lang w:val="el-GR"/>
        </w:rPr>
        <w:t xml:space="preserve">/ημερησίως. Σε ασθενείς που έλαβαν μη προαναμεμιγμένη (ενδιάμεσης/μακράς δράσης) ινσουλίνη, η μέση ημερήσια δοσολογία ήταν 44,3 </w:t>
      </w:r>
      <w:r>
        <w:t>U</w:t>
      </w:r>
      <w:r w:rsidRPr="005C1C4A">
        <w:rPr>
          <w:lang w:val="el-GR"/>
        </w:rPr>
        <w:t>/ημερησίως. Η προσθήκη της σιταγλιπτίνης στην ινσουλίνη παρείχε σημαντικές βελτιώσεις στις γλυκαιμικές</w:t>
      </w:r>
    </w:p>
    <w:p w:rsidR="00A56FAA" w:rsidRPr="005C1C4A" w:rsidRDefault="00A56FAA" w:rsidP="00046B36">
      <w:pPr>
        <w:spacing w:line="244" w:lineRule="auto"/>
        <w:jc w:val="both"/>
        <w:rPr>
          <w:lang w:val="el-GR"/>
        </w:rPr>
        <w:sectPr w:rsidR="00A56FAA" w:rsidRPr="005C1C4A">
          <w:pgSz w:w="11910" w:h="16840"/>
          <w:pgMar w:top="1040" w:right="1180" w:bottom="900" w:left="1200" w:header="0" w:footer="714" w:gutter="0"/>
          <w:cols w:space="720"/>
        </w:sectPr>
      </w:pPr>
    </w:p>
    <w:p w:rsidR="00A56FAA" w:rsidRPr="005C1C4A" w:rsidRDefault="005C1C4A" w:rsidP="00046B36">
      <w:pPr>
        <w:pStyle w:val="a3"/>
        <w:spacing w:before="80" w:line="244" w:lineRule="auto"/>
        <w:ind w:left="218"/>
        <w:jc w:val="both"/>
        <w:rPr>
          <w:lang w:val="el-GR"/>
        </w:rPr>
      </w:pPr>
      <w:r w:rsidRPr="005C1C4A">
        <w:rPr>
          <w:lang w:val="el-GR"/>
        </w:rPr>
        <w:lastRenderedPageBreak/>
        <w:t>παραμέτρους. Δεν υπήρξε καμία σημαντική αλλαγή από την αρχική τιμή σχετικά με το σωματικό βάρος σε καμία από τις δύο ομάδες.</w:t>
      </w:r>
    </w:p>
    <w:p w:rsidR="00A56FAA" w:rsidRPr="005C1C4A" w:rsidRDefault="00A56FAA" w:rsidP="00046B36">
      <w:pPr>
        <w:pStyle w:val="a3"/>
        <w:spacing w:before="8"/>
        <w:jc w:val="both"/>
        <w:rPr>
          <w:lang w:val="el-GR"/>
        </w:rPr>
      </w:pPr>
    </w:p>
    <w:p w:rsidR="00A56FAA" w:rsidRPr="005C1C4A" w:rsidRDefault="005C1C4A" w:rsidP="00046B36">
      <w:pPr>
        <w:pStyle w:val="a3"/>
        <w:spacing w:line="244" w:lineRule="auto"/>
        <w:ind w:left="218"/>
        <w:jc w:val="both"/>
        <w:rPr>
          <w:lang w:val="el-GR"/>
        </w:rPr>
      </w:pPr>
      <w:r w:rsidRPr="005C1C4A">
        <w:rPr>
          <w:lang w:val="el-GR"/>
        </w:rPr>
        <w:t xml:space="preserve">Σε μία παραγοντικού σχεδιασμού μελέτη αρχικής θεραπείας 24 εβδομάδων, ελεγχόμενη με εικονικό φάρμακο, η σιταγλιπτίνη 50 </w:t>
      </w:r>
      <w:r>
        <w:t>mg</w:t>
      </w:r>
      <w:r w:rsidRPr="005C1C4A">
        <w:rPr>
          <w:lang w:val="el-GR"/>
        </w:rPr>
        <w:t xml:space="preserve"> δύο φορές ημερησίως σε συνδυασμό με μετφορμίνη (500 </w:t>
      </w:r>
      <w:r>
        <w:t>mg</w:t>
      </w:r>
      <w:r w:rsidRPr="005C1C4A">
        <w:rPr>
          <w:lang w:val="el-GR"/>
        </w:rPr>
        <w:t xml:space="preserve"> ή</w:t>
      </w:r>
    </w:p>
    <w:p w:rsidR="00A56FAA" w:rsidRPr="005C1C4A" w:rsidRDefault="005C1C4A" w:rsidP="00046B36">
      <w:pPr>
        <w:pStyle w:val="a3"/>
        <w:spacing w:before="3" w:line="244" w:lineRule="auto"/>
        <w:ind w:left="218"/>
        <w:jc w:val="both"/>
        <w:rPr>
          <w:lang w:val="el-GR"/>
        </w:rPr>
      </w:pPr>
      <w:r w:rsidRPr="005C1C4A">
        <w:rPr>
          <w:lang w:val="el-GR"/>
        </w:rPr>
        <w:t xml:space="preserve">1.000 </w:t>
      </w:r>
      <w:r>
        <w:t>mg</w:t>
      </w:r>
      <w:r w:rsidRPr="005C1C4A">
        <w:rPr>
          <w:lang w:val="el-GR"/>
        </w:rPr>
        <w:t xml:space="preserve"> δύο φορές ημερησίως) παρείχε σημαντικές βελτιώσεις του γλυκαιμικού ελέγχου σε σύγκριση με κάθε μία από τις μονοθεραπείες. Η μείωση του σωματικού βάρους με τον συνδυασμό σιταγλιπτίνης και μετφορμίνης ήταν παρόμοια με αυτή που παρατηρήθηκε με μετφορμίνη μόνο ή εικονικό φάρμακο. Δεν υπήρξε καμία αλλαγή από την αρχική τιμή για τους ασθενείς σε θεραπεία μόνο με σιταγλιπτίνη. Η συχνότητα εμφάνισης υπογλυκαιμίας ήταν παρόμοια μεταξύ των ομάδων θεραπείας.</w:t>
      </w:r>
    </w:p>
    <w:p w:rsidR="00A56FAA" w:rsidRPr="005C1C4A" w:rsidRDefault="00A56FAA" w:rsidP="00046B36">
      <w:pPr>
        <w:pStyle w:val="a3"/>
        <w:spacing w:before="6"/>
        <w:jc w:val="both"/>
        <w:rPr>
          <w:sz w:val="23"/>
          <w:lang w:val="el-GR"/>
        </w:rPr>
      </w:pPr>
    </w:p>
    <w:p w:rsidR="00A56FAA" w:rsidRPr="005C1C4A" w:rsidRDefault="005C1C4A" w:rsidP="00046B36">
      <w:pPr>
        <w:pStyle w:val="1"/>
        <w:spacing w:line="244" w:lineRule="auto"/>
        <w:jc w:val="both"/>
        <w:rPr>
          <w:lang w:val="el-GR"/>
        </w:rPr>
      </w:pPr>
      <w:r w:rsidRPr="005C1C4A">
        <w:rPr>
          <w:lang w:val="el-GR"/>
        </w:rPr>
        <w:t xml:space="preserve">Πίνακας 2: </w:t>
      </w:r>
      <w:r>
        <w:t>HbA</w:t>
      </w:r>
      <w:r w:rsidRPr="005C1C4A">
        <w:rPr>
          <w:vertAlign w:val="subscript"/>
          <w:lang w:val="el-GR"/>
        </w:rPr>
        <w:t>1</w:t>
      </w:r>
      <w:r>
        <w:rPr>
          <w:vertAlign w:val="subscript"/>
        </w:rPr>
        <w:t>c</w:t>
      </w:r>
      <w:r w:rsidRPr="005C1C4A">
        <w:rPr>
          <w:lang w:val="el-GR"/>
        </w:rPr>
        <w:t xml:space="preserve"> αποτελέσματα μελετών ελεγχόμενων με εικονικό φάρμακο μονοθεραπείας και συνδυασμένης θεραπείας*</w:t>
      </w:r>
    </w:p>
    <w:p w:rsidR="00A56FAA" w:rsidRPr="005C1C4A" w:rsidRDefault="00A56FAA" w:rsidP="00046B36">
      <w:pPr>
        <w:pStyle w:val="a3"/>
        <w:spacing w:before="3"/>
        <w:jc w:val="both"/>
        <w:rPr>
          <w:b/>
          <w:lang w:val="el-GR"/>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7"/>
        <w:gridCol w:w="1270"/>
        <w:gridCol w:w="2516"/>
        <w:gridCol w:w="2847"/>
      </w:tblGrid>
      <w:tr w:rsidR="00A56FAA">
        <w:trPr>
          <w:trHeight w:val="1300"/>
        </w:trPr>
        <w:tc>
          <w:tcPr>
            <w:tcW w:w="2657" w:type="dxa"/>
          </w:tcPr>
          <w:p w:rsidR="00A56FAA" w:rsidRPr="005C1C4A" w:rsidRDefault="00A56FAA" w:rsidP="00046B36">
            <w:pPr>
              <w:pStyle w:val="TableParagraph"/>
              <w:jc w:val="both"/>
              <w:rPr>
                <w:b/>
                <w:sz w:val="24"/>
                <w:lang w:val="el-GR"/>
              </w:rPr>
            </w:pPr>
          </w:p>
          <w:p w:rsidR="00A56FAA" w:rsidRPr="005C1C4A" w:rsidRDefault="00A56FAA" w:rsidP="00046B36">
            <w:pPr>
              <w:pStyle w:val="TableParagraph"/>
              <w:spacing w:before="8"/>
              <w:jc w:val="both"/>
              <w:rPr>
                <w:b/>
                <w:sz w:val="21"/>
                <w:lang w:val="el-GR"/>
              </w:rPr>
            </w:pPr>
          </w:p>
          <w:p w:rsidR="00A56FAA" w:rsidRDefault="005C1C4A" w:rsidP="00046B36">
            <w:pPr>
              <w:pStyle w:val="TableParagraph"/>
              <w:spacing w:before="1"/>
              <w:ind w:left="941"/>
              <w:jc w:val="both"/>
              <w:rPr>
                <w:b/>
              </w:rPr>
            </w:pPr>
            <w:r>
              <w:rPr>
                <w:b/>
              </w:rPr>
              <w:t>Μελέτη</w:t>
            </w:r>
          </w:p>
        </w:tc>
        <w:tc>
          <w:tcPr>
            <w:tcW w:w="1270" w:type="dxa"/>
          </w:tcPr>
          <w:p w:rsidR="00A56FAA" w:rsidRDefault="005C1C4A" w:rsidP="00046B36">
            <w:pPr>
              <w:pStyle w:val="TableParagraph"/>
              <w:spacing w:before="137" w:line="244" w:lineRule="auto"/>
              <w:ind w:left="129" w:firstLine="1"/>
              <w:jc w:val="both"/>
              <w:rPr>
                <w:b/>
              </w:rPr>
            </w:pPr>
            <w:r>
              <w:rPr>
                <w:b/>
              </w:rPr>
              <w:t>Μέση αρχική τιμή HbA</w:t>
            </w:r>
            <w:r>
              <w:rPr>
                <w:b/>
                <w:vertAlign w:val="subscript"/>
              </w:rPr>
              <w:t>1c</w:t>
            </w:r>
            <w:r>
              <w:rPr>
                <w:b/>
                <w:spacing w:val="3"/>
              </w:rPr>
              <w:t xml:space="preserve"> </w:t>
            </w:r>
            <w:r>
              <w:rPr>
                <w:b/>
                <w:spacing w:val="-8"/>
              </w:rPr>
              <w:t>(%)</w:t>
            </w:r>
          </w:p>
        </w:tc>
        <w:tc>
          <w:tcPr>
            <w:tcW w:w="2516" w:type="dxa"/>
          </w:tcPr>
          <w:p w:rsidR="00A56FAA" w:rsidRPr="005C1C4A" w:rsidRDefault="00A56FAA" w:rsidP="00046B36">
            <w:pPr>
              <w:pStyle w:val="TableParagraph"/>
              <w:spacing w:before="3"/>
              <w:jc w:val="both"/>
              <w:rPr>
                <w:b/>
                <w:sz w:val="34"/>
                <w:lang w:val="el-GR"/>
              </w:rPr>
            </w:pPr>
          </w:p>
          <w:p w:rsidR="00A56FAA" w:rsidRPr="005C1C4A" w:rsidRDefault="005C1C4A" w:rsidP="00046B36">
            <w:pPr>
              <w:pStyle w:val="TableParagraph"/>
              <w:spacing w:line="244" w:lineRule="auto"/>
              <w:ind w:left="121" w:hanging="10"/>
              <w:jc w:val="both"/>
              <w:rPr>
                <w:lang w:val="el-GR"/>
              </w:rPr>
            </w:pPr>
            <w:r w:rsidRPr="005C1C4A">
              <w:rPr>
                <w:b/>
                <w:lang w:val="el-GR"/>
              </w:rPr>
              <w:t xml:space="preserve">Μέση μεταβολή από την αρχική τιμή </w:t>
            </w:r>
            <w:r>
              <w:rPr>
                <w:b/>
              </w:rPr>
              <w:t>HbA</w:t>
            </w:r>
            <w:r w:rsidRPr="005C1C4A">
              <w:rPr>
                <w:b/>
                <w:vertAlign w:val="subscript"/>
                <w:lang w:val="el-GR"/>
              </w:rPr>
              <w:t>1</w:t>
            </w:r>
            <w:r>
              <w:rPr>
                <w:b/>
                <w:vertAlign w:val="subscript"/>
              </w:rPr>
              <w:t>c</w:t>
            </w:r>
            <w:r w:rsidRPr="005C1C4A">
              <w:rPr>
                <w:b/>
                <w:lang w:val="el-GR"/>
              </w:rPr>
              <w:t xml:space="preserve"> (%)</w:t>
            </w:r>
            <w:r w:rsidRPr="005C1C4A">
              <w:rPr>
                <w:vertAlign w:val="superscript"/>
                <w:lang w:val="el-GR"/>
              </w:rPr>
              <w:t>†</w:t>
            </w:r>
          </w:p>
        </w:tc>
        <w:tc>
          <w:tcPr>
            <w:tcW w:w="2847" w:type="dxa"/>
          </w:tcPr>
          <w:p w:rsidR="00A56FAA" w:rsidRPr="005C1C4A" w:rsidRDefault="005C1C4A" w:rsidP="00046B36">
            <w:pPr>
              <w:pStyle w:val="TableParagraph"/>
              <w:spacing w:before="5" w:line="244" w:lineRule="auto"/>
              <w:ind w:left="114"/>
              <w:jc w:val="both"/>
              <w:rPr>
                <w:lang w:val="el-GR"/>
              </w:rPr>
            </w:pPr>
            <w:r w:rsidRPr="005C1C4A">
              <w:rPr>
                <w:b/>
                <w:lang w:val="el-GR"/>
              </w:rPr>
              <w:t xml:space="preserve">Μέση μεταβολή της </w:t>
            </w:r>
            <w:r>
              <w:rPr>
                <w:b/>
              </w:rPr>
              <w:t>HbA</w:t>
            </w:r>
            <w:r w:rsidRPr="005C1C4A">
              <w:rPr>
                <w:b/>
                <w:vertAlign w:val="subscript"/>
                <w:lang w:val="el-GR"/>
              </w:rPr>
              <w:t>1</w:t>
            </w:r>
            <w:r>
              <w:rPr>
                <w:b/>
                <w:vertAlign w:val="subscript"/>
              </w:rPr>
              <w:t>c</w:t>
            </w:r>
            <w:r w:rsidRPr="005C1C4A">
              <w:rPr>
                <w:b/>
                <w:lang w:val="el-GR"/>
              </w:rPr>
              <w:t xml:space="preserve">, διορθωμένη ως προς το εικονικό φάρμακο </w:t>
            </w:r>
            <w:r>
              <w:rPr>
                <w:b/>
              </w:rPr>
              <w:t>HbA</w:t>
            </w:r>
            <w:r w:rsidRPr="005C1C4A">
              <w:rPr>
                <w:b/>
                <w:vertAlign w:val="subscript"/>
                <w:lang w:val="el-GR"/>
              </w:rPr>
              <w:t>1</w:t>
            </w:r>
            <w:r>
              <w:rPr>
                <w:b/>
                <w:vertAlign w:val="subscript"/>
              </w:rPr>
              <w:t>c</w:t>
            </w:r>
            <w:r w:rsidRPr="005C1C4A">
              <w:rPr>
                <w:b/>
                <w:lang w:val="el-GR"/>
              </w:rPr>
              <w:t xml:space="preserve"> (%)</w:t>
            </w:r>
            <w:r w:rsidRPr="005C1C4A">
              <w:rPr>
                <w:vertAlign w:val="superscript"/>
                <w:lang w:val="el-GR"/>
              </w:rPr>
              <w:t>†</w:t>
            </w:r>
          </w:p>
          <w:p w:rsidR="00A56FAA" w:rsidRDefault="005C1C4A" w:rsidP="00046B36">
            <w:pPr>
              <w:pStyle w:val="TableParagraph"/>
              <w:spacing w:before="10" w:line="233" w:lineRule="exact"/>
              <w:ind w:left="111"/>
              <w:jc w:val="both"/>
              <w:rPr>
                <w:b/>
              </w:rPr>
            </w:pPr>
            <w:r>
              <w:rPr>
                <w:b/>
              </w:rPr>
              <w:t>(95% CI)</w:t>
            </w:r>
          </w:p>
        </w:tc>
      </w:tr>
      <w:tr w:rsidR="00A56FAA">
        <w:trPr>
          <w:trHeight w:val="402"/>
        </w:trPr>
        <w:tc>
          <w:tcPr>
            <w:tcW w:w="9290" w:type="dxa"/>
            <w:gridSpan w:val="4"/>
          </w:tcPr>
          <w:p w:rsidR="00A56FAA" w:rsidRDefault="005C1C4A" w:rsidP="00046B36">
            <w:pPr>
              <w:pStyle w:val="TableParagraph"/>
              <w:spacing w:before="77"/>
              <w:ind w:left="107"/>
              <w:jc w:val="both"/>
              <w:rPr>
                <w:b/>
              </w:rPr>
            </w:pPr>
            <w:r>
              <w:rPr>
                <w:b/>
              </w:rPr>
              <w:t>Μελέτες μονοθεραπείας</w:t>
            </w:r>
          </w:p>
        </w:tc>
      </w:tr>
      <w:tr w:rsidR="00A56FAA">
        <w:trPr>
          <w:trHeight w:val="777"/>
        </w:trPr>
        <w:tc>
          <w:tcPr>
            <w:tcW w:w="2657" w:type="dxa"/>
          </w:tcPr>
          <w:p w:rsidR="00A56FAA" w:rsidRPr="005C1C4A" w:rsidRDefault="005C1C4A" w:rsidP="00046B36">
            <w:pPr>
              <w:pStyle w:val="TableParagraph"/>
              <w:spacing w:before="1" w:line="244" w:lineRule="auto"/>
              <w:ind w:left="107"/>
              <w:jc w:val="both"/>
              <w:rPr>
                <w:lang w:val="el-GR"/>
              </w:rPr>
            </w:pPr>
            <w:r w:rsidRPr="005C1C4A">
              <w:rPr>
                <w:lang w:val="el-GR"/>
              </w:rPr>
              <w:t xml:space="preserve">Σιταγλιπτίνη 100 </w:t>
            </w:r>
            <w:r>
              <w:t>mg</w:t>
            </w:r>
            <w:r w:rsidRPr="005C1C4A">
              <w:rPr>
                <w:lang w:val="el-GR"/>
              </w:rPr>
              <w:t xml:space="preserve"> μία φορά ημερησίως</w:t>
            </w:r>
            <w:r w:rsidRPr="005C1C4A">
              <w:rPr>
                <w:vertAlign w:val="superscript"/>
                <w:lang w:val="el-GR"/>
              </w:rPr>
              <w:t>§</w:t>
            </w:r>
          </w:p>
          <w:p w:rsidR="00A56FAA" w:rsidRDefault="005C1C4A" w:rsidP="00046B36">
            <w:pPr>
              <w:pStyle w:val="TableParagraph"/>
              <w:spacing w:before="2" w:line="238" w:lineRule="exact"/>
              <w:ind w:left="107"/>
              <w:jc w:val="both"/>
            </w:pPr>
            <w:r>
              <w:t>(N= 193)</w:t>
            </w:r>
          </w:p>
        </w:tc>
        <w:tc>
          <w:tcPr>
            <w:tcW w:w="1270" w:type="dxa"/>
          </w:tcPr>
          <w:p w:rsidR="00A56FAA" w:rsidRDefault="00A56FAA" w:rsidP="00046B36">
            <w:pPr>
              <w:pStyle w:val="TableParagraph"/>
              <w:spacing w:before="7"/>
              <w:jc w:val="both"/>
              <w:rPr>
                <w:b/>
              </w:rPr>
            </w:pPr>
          </w:p>
          <w:p w:rsidR="00A56FAA" w:rsidRDefault="005C1C4A" w:rsidP="00046B36">
            <w:pPr>
              <w:pStyle w:val="TableParagraph"/>
              <w:ind w:left="476"/>
              <w:jc w:val="both"/>
            </w:pPr>
            <w:r>
              <w:t>8,0</w:t>
            </w:r>
          </w:p>
        </w:tc>
        <w:tc>
          <w:tcPr>
            <w:tcW w:w="2516" w:type="dxa"/>
          </w:tcPr>
          <w:p w:rsidR="00A56FAA" w:rsidRDefault="00A56FAA" w:rsidP="00046B36">
            <w:pPr>
              <w:pStyle w:val="TableParagraph"/>
              <w:spacing w:before="7"/>
              <w:jc w:val="both"/>
              <w:rPr>
                <w:b/>
              </w:rPr>
            </w:pPr>
          </w:p>
          <w:p w:rsidR="00A56FAA" w:rsidRDefault="005C1C4A" w:rsidP="00046B36">
            <w:pPr>
              <w:pStyle w:val="TableParagraph"/>
              <w:ind w:left="1029"/>
              <w:jc w:val="both"/>
            </w:pPr>
            <w:r>
              <w:t>-0,5</w:t>
            </w:r>
          </w:p>
        </w:tc>
        <w:tc>
          <w:tcPr>
            <w:tcW w:w="2847" w:type="dxa"/>
          </w:tcPr>
          <w:p w:rsidR="00A56FAA" w:rsidRDefault="005C1C4A" w:rsidP="00046B36">
            <w:pPr>
              <w:pStyle w:val="TableParagraph"/>
              <w:spacing w:before="130"/>
              <w:ind w:left="110"/>
              <w:jc w:val="both"/>
            </w:pPr>
            <w:r>
              <w:t>-0,6</w:t>
            </w:r>
            <w:r>
              <w:rPr>
                <w:vertAlign w:val="superscript"/>
              </w:rPr>
              <w:t>‡</w:t>
            </w:r>
          </w:p>
          <w:p w:rsidR="00A56FAA" w:rsidRDefault="005C1C4A" w:rsidP="00046B36">
            <w:pPr>
              <w:pStyle w:val="TableParagraph"/>
              <w:spacing w:before="6"/>
              <w:ind w:left="112"/>
              <w:jc w:val="both"/>
            </w:pPr>
            <w:r>
              <w:t>(-0,8, -0,4)</w:t>
            </w:r>
          </w:p>
        </w:tc>
      </w:tr>
      <w:tr w:rsidR="00A56FAA">
        <w:trPr>
          <w:trHeight w:val="777"/>
        </w:trPr>
        <w:tc>
          <w:tcPr>
            <w:tcW w:w="2657" w:type="dxa"/>
          </w:tcPr>
          <w:p w:rsidR="00A56FAA" w:rsidRPr="005C1C4A" w:rsidRDefault="005C1C4A" w:rsidP="00046B36">
            <w:pPr>
              <w:pStyle w:val="TableParagraph"/>
              <w:spacing w:before="1" w:line="244" w:lineRule="auto"/>
              <w:ind w:left="107"/>
              <w:jc w:val="both"/>
              <w:rPr>
                <w:rFonts w:ascii="Microsoft Sans Serif" w:hAnsi="Microsoft Sans Serif"/>
                <w:lang w:val="el-GR"/>
              </w:rPr>
            </w:pPr>
            <w:r w:rsidRPr="005C1C4A">
              <w:rPr>
                <w:lang w:val="el-GR"/>
              </w:rPr>
              <w:t xml:space="preserve">Σιταγλιπτίνη 100 </w:t>
            </w:r>
            <w:r>
              <w:t>mg</w:t>
            </w:r>
            <w:r w:rsidRPr="005C1C4A">
              <w:rPr>
                <w:lang w:val="el-GR"/>
              </w:rPr>
              <w:t xml:space="preserve"> μία φορά ημερησίως</w:t>
            </w:r>
            <w:r>
              <w:rPr>
                <w:rFonts w:ascii="Microsoft Sans Serif" w:hAnsi="Microsoft Sans Serif"/>
                <w:vertAlign w:val="superscript"/>
              </w:rPr>
              <w:t></w:t>
            </w:r>
          </w:p>
          <w:p w:rsidR="00A56FAA" w:rsidRDefault="005C1C4A" w:rsidP="00046B36">
            <w:pPr>
              <w:pStyle w:val="TableParagraph"/>
              <w:spacing w:before="2" w:line="238" w:lineRule="exact"/>
              <w:ind w:left="107"/>
              <w:jc w:val="both"/>
            </w:pPr>
            <w:r>
              <w:t>(N= 229)</w:t>
            </w:r>
          </w:p>
        </w:tc>
        <w:tc>
          <w:tcPr>
            <w:tcW w:w="1270" w:type="dxa"/>
          </w:tcPr>
          <w:p w:rsidR="00A56FAA" w:rsidRDefault="00A56FAA" w:rsidP="00046B36">
            <w:pPr>
              <w:pStyle w:val="TableParagraph"/>
              <w:spacing w:before="7"/>
              <w:jc w:val="both"/>
              <w:rPr>
                <w:b/>
              </w:rPr>
            </w:pPr>
          </w:p>
          <w:p w:rsidR="00A56FAA" w:rsidRDefault="005C1C4A" w:rsidP="00046B36">
            <w:pPr>
              <w:pStyle w:val="TableParagraph"/>
              <w:ind w:left="476"/>
              <w:jc w:val="both"/>
            </w:pPr>
            <w:r>
              <w:t>8,0</w:t>
            </w:r>
          </w:p>
        </w:tc>
        <w:tc>
          <w:tcPr>
            <w:tcW w:w="2516" w:type="dxa"/>
          </w:tcPr>
          <w:p w:rsidR="00A56FAA" w:rsidRDefault="00A56FAA" w:rsidP="00046B36">
            <w:pPr>
              <w:pStyle w:val="TableParagraph"/>
              <w:spacing w:before="7"/>
              <w:jc w:val="both"/>
              <w:rPr>
                <w:b/>
              </w:rPr>
            </w:pPr>
          </w:p>
          <w:p w:rsidR="00A56FAA" w:rsidRDefault="005C1C4A" w:rsidP="00046B36">
            <w:pPr>
              <w:pStyle w:val="TableParagraph"/>
              <w:ind w:left="1029"/>
              <w:jc w:val="both"/>
            </w:pPr>
            <w:r>
              <w:t>-0,6</w:t>
            </w:r>
          </w:p>
        </w:tc>
        <w:tc>
          <w:tcPr>
            <w:tcW w:w="2847" w:type="dxa"/>
          </w:tcPr>
          <w:p w:rsidR="00A56FAA" w:rsidRDefault="005C1C4A" w:rsidP="00046B36">
            <w:pPr>
              <w:pStyle w:val="TableParagraph"/>
              <w:spacing w:before="130"/>
              <w:ind w:left="110"/>
              <w:jc w:val="both"/>
            </w:pPr>
            <w:r>
              <w:t>-0,8</w:t>
            </w:r>
            <w:r>
              <w:rPr>
                <w:vertAlign w:val="superscript"/>
              </w:rPr>
              <w:t>‡</w:t>
            </w:r>
          </w:p>
          <w:p w:rsidR="00A56FAA" w:rsidRDefault="005C1C4A" w:rsidP="00046B36">
            <w:pPr>
              <w:pStyle w:val="TableParagraph"/>
              <w:spacing w:before="6"/>
              <w:ind w:left="112"/>
              <w:jc w:val="both"/>
            </w:pPr>
            <w:r>
              <w:t>(-1,0, -0,6)</w:t>
            </w:r>
          </w:p>
        </w:tc>
      </w:tr>
      <w:tr w:rsidR="00A56FAA">
        <w:trPr>
          <w:trHeight w:val="402"/>
        </w:trPr>
        <w:tc>
          <w:tcPr>
            <w:tcW w:w="9290" w:type="dxa"/>
            <w:gridSpan w:val="4"/>
          </w:tcPr>
          <w:p w:rsidR="00A56FAA" w:rsidRDefault="005C1C4A" w:rsidP="00046B36">
            <w:pPr>
              <w:pStyle w:val="TableParagraph"/>
              <w:spacing w:before="77"/>
              <w:ind w:left="107"/>
              <w:jc w:val="both"/>
              <w:rPr>
                <w:b/>
              </w:rPr>
            </w:pPr>
            <w:r>
              <w:rPr>
                <w:b/>
              </w:rPr>
              <w:t>Μελέτες συνδυασμένης θεραπείας</w:t>
            </w:r>
          </w:p>
        </w:tc>
      </w:tr>
      <w:tr w:rsidR="00A56FAA">
        <w:trPr>
          <w:trHeight w:val="1554"/>
        </w:trPr>
        <w:tc>
          <w:tcPr>
            <w:tcW w:w="2657" w:type="dxa"/>
          </w:tcPr>
          <w:p w:rsidR="00A56FAA" w:rsidRPr="005C1C4A" w:rsidRDefault="005C1C4A" w:rsidP="00046B36">
            <w:pPr>
              <w:pStyle w:val="TableParagraph"/>
              <w:spacing w:before="1" w:line="244" w:lineRule="auto"/>
              <w:ind w:left="107"/>
              <w:rPr>
                <w:rFonts w:ascii="Microsoft Sans Serif" w:hAnsi="Microsoft Sans Serif"/>
                <w:lang w:val="el-GR"/>
              </w:rPr>
            </w:pPr>
            <w:r w:rsidRPr="005C1C4A">
              <w:rPr>
                <w:lang w:val="el-GR"/>
              </w:rPr>
              <w:t xml:space="preserve">Σιταγλιπτίνη 100 </w:t>
            </w:r>
            <w:r>
              <w:t>mg</w:t>
            </w:r>
            <w:r w:rsidRPr="005C1C4A">
              <w:rPr>
                <w:lang w:val="el-GR"/>
              </w:rPr>
              <w:t xml:space="preserve"> μία φορά ημερησίως προστέθηκε στη συνεχιζόμενη θεραπεία με μετφορμίνη</w:t>
            </w:r>
            <w:r>
              <w:rPr>
                <w:rFonts w:ascii="Microsoft Sans Serif" w:hAnsi="Microsoft Sans Serif"/>
                <w:vertAlign w:val="superscript"/>
              </w:rPr>
              <w:t></w:t>
            </w:r>
          </w:p>
          <w:p w:rsidR="00A56FAA" w:rsidRDefault="005C1C4A" w:rsidP="00046B36">
            <w:pPr>
              <w:pStyle w:val="TableParagraph"/>
              <w:spacing w:before="5" w:line="238" w:lineRule="exact"/>
              <w:ind w:left="107"/>
            </w:pPr>
            <w:r>
              <w:t>(N=453)</w:t>
            </w:r>
          </w:p>
        </w:tc>
        <w:tc>
          <w:tcPr>
            <w:tcW w:w="1270" w:type="dxa"/>
          </w:tcPr>
          <w:p w:rsidR="00A56FAA" w:rsidRDefault="00A56FAA" w:rsidP="00046B36">
            <w:pPr>
              <w:pStyle w:val="TableParagraph"/>
              <w:jc w:val="both"/>
              <w:rPr>
                <w:b/>
                <w:sz w:val="24"/>
              </w:rPr>
            </w:pPr>
          </w:p>
          <w:p w:rsidR="00A56FAA" w:rsidRDefault="00A56FAA" w:rsidP="00046B36">
            <w:pPr>
              <w:pStyle w:val="TableParagraph"/>
              <w:spacing w:before="4"/>
              <w:jc w:val="both"/>
              <w:rPr>
                <w:b/>
                <w:sz w:val="32"/>
              </w:rPr>
            </w:pPr>
          </w:p>
          <w:p w:rsidR="00A56FAA" w:rsidRDefault="005C1C4A" w:rsidP="00046B36">
            <w:pPr>
              <w:pStyle w:val="TableParagraph"/>
              <w:spacing w:before="1"/>
              <w:ind w:left="476"/>
              <w:jc w:val="both"/>
            </w:pPr>
            <w:r>
              <w:t>8,0</w:t>
            </w:r>
          </w:p>
        </w:tc>
        <w:tc>
          <w:tcPr>
            <w:tcW w:w="2516" w:type="dxa"/>
          </w:tcPr>
          <w:p w:rsidR="00A56FAA" w:rsidRDefault="00A56FAA" w:rsidP="00046B36">
            <w:pPr>
              <w:pStyle w:val="TableParagraph"/>
              <w:jc w:val="both"/>
              <w:rPr>
                <w:b/>
                <w:sz w:val="24"/>
              </w:rPr>
            </w:pPr>
          </w:p>
          <w:p w:rsidR="00A56FAA" w:rsidRDefault="00A56FAA" w:rsidP="00046B36">
            <w:pPr>
              <w:pStyle w:val="TableParagraph"/>
              <w:spacing w:before="4"/>
              <w:jc w:val="both"/>
              <w:rPr>
                <w:b/>
                <w:sz w:val="32"/>
              </w:rPr>
            </w:pPr>
          </w:p>
          <w:p w:rsidR="00A56FAA" w:rsidRDefault="005C1C4A" w:rsidP="00046B36">
            <w:pPr>
              <w:pStyle w:val="TableParagraph"/>
              <w:spacing w:before="1"/>
              <w:ind w:left="1029"/>
              <w:jc w:val="both"/>
            </w:pPr>
            <w:r>
              <w:t>-0,7</w:t>
            </w:r>
          </w:p>
        </w:tc>
        <w:tc>
          <w:tcPr>
            <w:tcW w:w="2847" w:type="dxa"/>
          </w:tcPr>
          <w:p w:rsidR="00A56FAA" w:rsidRDefault="00A56FAA" w:rsidP="00046B36">
            <w:pPr>
              <w:pStyle w:val="TableParagraph"/>
              <w:jc w:val="both"/>
              <w:rPr>
                <w:b/>
                <w:sz w:val="26"/>
              </w:rPr>
            </w:pPr>
          </w:p>
          <w:p w:rsidR="00A56FAA" w:rsidRDefault="005C1C4A" w:rsidP="00046B36">
            <w:pPr>
              <w:pStyle w:val="TableParagraph"/>
              <w:spacing w:before="220"/>
              <w:ind w:left="110"/>
              <w:jc w:val="both"/>
            </w:pPr>
            <w:r>
              <w:t>-0,7</w:t>
            </w:r>
            <w:r>
              <w:rPr>
                <w:vertAlign w:val="superscript"/>
              </w:rPr>
              <w:t>‡</w:t>
            </w:r>
          </w:p>
          <w:p w:rsidR="00A56FAA" w:rsidRDefault="005C1C4A" w:rsidP="00046B36">
            <w:pPr>
              <w:pStyle w:val="TableParagraph"/>
              <w:spacing w:before="6"/>
              <w:ind w:left="112"/>
              <w:jc w:val="both"/>
            </w:pPr>
            <w:r>
              <w:t>(-0.8, -0.5)</w:t>
            </w:r>
          </w:p>
        </w:tc>
      </w:tr>
      <w:tr w:rsidR="00A56FAA">
        <w:trPr>
          <w:trHeight w:val="1554"/>
        </w:trPr>
        <w:tc>
          <w:tcPr>
            <w:tcW w:w="2657" w:type="dxa"/>
          </w:tcPr>
          <w:p w:rsidR="00A56FAA" w:rsidRPr="005C1C4A" w:rsidRDefault="005C1C4A" w:rsidP="00046B36">
            <w:pPr>
              <w:pStyle w:val="TableParagraph"/>
              <w:spacing w:before="1" w:line="244" w:lineRule="auto"/>
              <w:ind w:left="107"/>
              <w:rPr>
                <w:rFonts w:ascii="Microsoft Sans Serif" w:hAnsi="Microsoft Sans Serif"/>
                <w:lang w:val="el-GR"/>
              </w:rPr>
            </w:pPr>
            <w:r w:rsidRPr="005C1C4A">
              <w:rPr>
                <w:lang w:val="el-GR"/>
              </w:rPr>
              <w:t xml:space="preserve">Σιταγλιπτίνη 100 </w:t>
            </w:r>
            <w:r>
              <w:t>mg</w:t>
            </w:r>
            <w:r w:rsidRPr="005C1C4A">
              <w:rPr>
                <w:lang w:val="el-GR"/>
              </w:rPr>
              <w:t xml:space="preserve"> μία φορά ημερησίως προστέθηκε στη συνεχιζόμενη θεραπεία με πιογλιταζόνη</w:t>
            </w:r>
            <w:r>
              <w:rPr>
                <w:rFonts w:ascii="Microsoft Sans Serif" w:hAnsi="Microsoft Sans Serif"/>
                <w:vertAlign w:val="superscript"/>
              </w:rPr>
              <w:t></w:t>
            </w:r>
          </w:p>
          <w:p w:rsidR="00A56FAA" w:rsidRDefault="005C1C4A" w:rsidP="00046B36">
            <w:pPr>
              <w:pStyle w:val="TableParagraph"/>
              <w:spacing w:before="5" w:line="238" w:lineRule="exact"/>
              <w:ind w:left="107"/>
            </w:pPr>
            <w:r>
              <w:t>(N=163)</w:t>
            </w:r>
          </w:p>
        </w:tc>
        <w:tc>
          <w:tcPr>
            <w:tcW w:w="1270" w:type="dxa"/>
          </w:tcPr>
          <w:p w:rsidR="00A56FAA" w:rsidRDefault="00A56FAA" w:rsidP="00046B36">
            <w:pPr>
              <w:pStyle w:val="TableParagraph"/>
              <w:jc w:val="both"/>
              <w:rPr>
                <w:b/>
                <w:sz w:val="24"/>
              </w:rPr>
            </w:pPr>
          </w:p>
          <w:p w:rsidR="00A56FAA" w:rsidRDefault="00A56FAA" w:rsidP="00046B36">
            <w:pPr>
              <w:pStyle w:val="TableParagraph"/>
              <w:spacing w:before="4"/>
              <w:jc w:val="both"/>
              <w:rPr>
                <w:b/>
                <w:sz w:val="32"/>
              </w:rPr>
            </w:pPr>
          </w:p>
          <w:p w:rsidR="00A56FAA" w:rsidRDefault="005C1C4A" w:rsidP="00046B36">
            <w:pPr>
              <w:pStyle w:val="TableParagraph"/>
              <w:spacing w:before="1"/>
              <w:ind w:left="476"/>
              <w:jc w:val="both"/>
            </w:pPr>
            <w:r>
              <w:t>8,1</w:t>
            </w:r>
          </w:p>
        </w:tc>
        <w:tc>
          <w:tcPr>
            <w:tcW w:w="2516" w:type="dxa"/>
          </w:tcPr>
          <w:p w:rsidR="00A56FAA" w:rsidRDefault="00A56FAA" w:rsidP="00046B36">
            <w:pPr>
              <w:pStyle w:val="TableParagraph"/>
              <w:jc w:val="both"/>
              <w:rPr>
                <w:b/>
                <w:sz w:val="24"/>
              </w:rPr>
            </w:pPr>
          </w:p>
          <w:p w:rsidR="00A56FAA" w:rsidRDefault="00A56FAA" w:rsidP="00046B36">
            <w:pPr>
              <w:pStyle w:val="TableParagraph"/>
              <w:spacing w:before="4"/>
              <w:jc w:val="both"/>
              <w:rPr>
                <w:b/>
                <w:sz w:val="32"/>
              </w:rPr>
            </w:pPr>
          </w:p>
          <w:p w:rsidR="00A56FAA" w:rsidRDefault="005C1C4A" w:rsidP="00046B36">
            <w:pPr>
              <w:pStyle w:val="TableParagraph"/>
              <w:spacing w:before="1"/>
              <w:ind w:left="1029"/>
              <w:jc w:val="both"/>
            </w:pPr>
            <w:r>
              <w:t>-0,9</w:t>
            </w:r>
          </w:p>
        </w:tc>
        <w:tc>
          <w:tcPr>
            <w:tcW w:w="2847" w:type="dxa"/>
          </w:tcPr>
          <w:p w:rsidR="00A56FAA" w:rsidRDefault="00A56FAA" w:rsidP="00046B36">
            <w:pPr>
              <w:pStyle w:val="TableParagraph"/>
              <w:jc w:val="both"/>
              <w:rPr>
                <w:b/>
                <w:sz w:val="26"/>
              </w:rPr>
            </w:pPr>
          </w:p>
          <w:p w:rsidR="00A56FAA" w:rsidRDefault="005C1C4A" w:rsidP="00046B36">
            <w:pPr>
              <w:pStyle w:val="TableParagraph"/>
              <w:spacing w:before="220"/>
              <w:ind w:left="110"/>
              <w:jc w:val="both"/>
            </w:pPr>
            <w:r>
              <w:t>-0,7</w:t>
            </w:r>
            <w:r>
              <w:rPr>
                <w:vertAlign w:val="superscript"/>
              </w:rPr>
              <w:t>‡</w:t>
            </w:r>
          </w:p>
          <w:p w:rsidR="00A56FAA" w:rsidRDefault="005C1C4A" w:rsidP="00046B36">
            <w:pPr>
              <w:pStyle w:val="TableParagraph"/>
              <w:spacing w:before="6"/>
              <w:ind w:left="112"/>
              <w:jc w:val="both"/>
            </w:pPr>
            <w:r>
              <w:t>(-0.9, -0.5)</w:t>
            </w:r>
          </w:p>
        </w:tc>
      </w:tr>
      <w:tr w:rsidR="00A56FAA">
        <w:trPr>
          <w:trHeight w:val="1554"/>
        </w:trPr>
        <w:tc>
          <w:tcPr>
            <w:tcW w:w="2657" w:type="dxa"/>
          </w:tcPr>
          <w:p w:rsidR="00A56FAA" w:rsidRPr="005C1C4A" w:rsidRDefault="005C1C4A" w:rsidP="00046B36">
            <w:pPr>
              <w:pStyle w:val="TableParagraph"/>
              <w:spacing w:before="1" w:line="244" w:lineRule="auto"/>
              <w:ind w:left="107"/>
              <w:rPr>
                <w:rFonts w:ascii="Microsoft Sans Serif" w:hAnsi="Microsoft Sans Serif"/>
                <w:lang w:val="el-GR"/>
              </w:rPr>
            </w:pPr>
            <w:r w:rsidRPr="005C1C4A">
              <w:rPr>
                <w:lang w:val="el-GR"/>
              </w:rPr>
              <w:t xml:space="preserve">Σιταγλιπτίνη 100 </w:t>
            </w:r>
            <w:r>
              <w:t>mg</w:t>
            </w:r>
            <w:r w:rsidRPr="005C1C4A">
              <w:rPr>
                <w:lang w:val="el-GR"/>
              </w:rPr>
              <w:t xml:space="preserve"> μία φορά ημερησίως προστέθηκε στη συνεχιζόμενη θεραπεία με γλιμεπιρίδη</w:t>
            </w:r>
            <w:r>
              <w:rPr>
                <w:rFonts w:ascii="Microsoft Sans Serif" w:hAnsi="Microsoft Sans Serif"/>
                <w:vertAlign w:val="superscript"/>
              </w:rPr>
              <w:t></w:t>
            </w:r>
          </w:p>
          <w:p w:rsidR="00A56FAA" w:rsidRDefault="005C1C4A" w:rsidP="00046B36">
            <w:pPr>
              <w:pStyle w:val="TableParagraph"/>
              <w:spacing w:before="5" w:line="238" w:lineRule="exact"/>
              <w:ind w:left="107"/>
            </w:pPr>
            <w:r>
              <w:t>(N=102)</w:t>
            </w:r>
          </w:p>
        </w:tc>
        <w:tc>
          <w:tcPr>
            <w:tcW w:w="1270" w:type="dxa"/>
          </w:tcPr>
          <w:p w:rsidR="00A56FAA" w:rsidRDefault="00A56FAA" w:rsidP="00046B36">
            <w:pPr>
              <w:pStyle w:val="TableParagraph"/>
              <w:jc w:val="both"/>
              <w:rPr>
                <w:b/>
                <w:sz w:val="24"/>
              </w:rPr>
            </w:pPr>
          </w:p>
          <w:p w:rsidR="00A56FAA" w:rsidRDefault="00A56FAA" w:rsidP="00046B36">
            <w:pPr>
              <w:pStyle w:val="TableParagraph"/>
              <w:spacing w:before="4"/>
              <w:jc w:val="both"/>
              <w:rPr>
                <w:b/>
                <w:sz w:val="32"/>
              </w:rPr>
            </w:pPr>
          </w:p>
          <w:p w:rsidR="00A56FAA" w:rsidRDefault="005C1C4A" w:rsidP="00046B36">
            <w:pPr>
              <w:pStyle w:val="TableParagraph"/>
              <w:spacing w:before="1"/>
              <w:ind w:left="476"/>
              <w:jc w:val="both"/>
            </w:pPr>
            <w:r>
              <w:t>8,4</w:t>
            </w:r>
          </w:p>
        </w:tc>
        <w:tc>
          <w:tcPr>
            <w:tcW w:w="2516" w:type="dxa"/>
          </w:tcPr>
          <w:p w:rsidR="00A56FAA" w:rsidRDefault="00A56FAA" w:rsidP="00046B36">
            <w:pPr>
              <w:pStyle w:val="TableParagraph"/>
              <w:jc w:val="both"/>
              <w:rPr>
                <w:b/>
                <w:sz w:val="24"/>
              </w:rPr>
            </w:pPr>
          </w:p>
          <w:p w:rsidR="00A56FAA" w:rsidRDefault="00A56FAA" w:rsidP="00046B36">
            <w:pPr>
              <w:pStyle w:val="TableParagraph"/>
              <w:spacing w:before="4"/>
              <w:jc w:val="both"/>
              <w:rPr>
                <w:b/>
                <w:sz w:val="32"/>
              </w:rPr>
            </w:pPr>
          </w:p>
          <w:p w:rsidR="00A56FAA" w:rsidRDefault="005C1C4A" w:rsidP="00046B36">
            <w:pPr>
              <w:pStyle w:val="TableParagraph"/>
              <w:spacing w:before="1"/>
              <w:ind w:left="1029"/>
              <w:jc w:val="both"/>
            </w:pPr>
            <w:r>
              <w:t>-0,3</w:t>
            </w:r>
          </w:p>
        </w:tc>
        <w:tc>
          <w:tcPr>
            <w:tcW w:w="2847" w:type="dxa"/>
          </w:tcPr>
          <w:p w:rsidR="00A56FAA" w:rsidRDefault="00A56FAA" w:rsidP="00046B36">
            <w:pPr>
              <w:pStyle w:val="TableParagraph"/>
              <w:jc w:val="both"/>
              <w:rPr>
                <w:b/>
                <w:sz w:val="26"/>
              </w:rPr>
            </w:pPr>
          </w:p>
          <w:p w:rsidR="00A56FAA" w:rsidRDefault="005C1C4A" w:rsidP="00046B36">
            <w:pPr>
              <w:pStyle w:val="TableParagraph"/>
              <w:spacing w:before="220"/>
              <w:ind w:left="110"/>
              <w:jc w:val="both"/>
            </w:pPr>
            <w:r>
              <w:t>-0,6</w:t>
            </w:r>
            <w:r>
              <w:rPr>
                <w:vertAlign w:val="superscript"/>
              </w:rPr>
              <w:t>‡</w:t>
            </w:r>
          </w:p>
          <w:p w:rsidR="00A56FAA" w:rsidRDefault="005C1C4A" w:rsidP="00046B36">
            <w:pPr>
              <w:pStyle w:val="TableParagraph"/>
              <w:spacing w:before="6"/>
              <w:ind w:left="112"/>
              <w:jc w:val="both"/>
            </w:pPr>
            <w:r>
              <w:t>(-0,8, -0,3)</w:t>
            </w:r>
          </w:p>
        </w:tc>
      </w:tr>
      <w:tr w:rsidR="00A56FAA">
        <w:trPr>
          <w:trHeight w:val="1814"/>
        </w:trPr>
        <w:tc>
          <w:tcPr>
            <w:tcW w:w="2657" w:type="dxa"/>
          </w:tcPr>
          <w:p w:rsidR="00A56FAA" w:rsidRPr="005C1C4A" w:rsidRDefault="005C1C4A" w:rsidP="00046B36">
            <w:pPr>
              <w:pStyle w:val="TableParagraph"/>
              <w:spacing w:before="1" w:line="244" w:lineRule="auto"/>
              <w:ind w:left="107"/>
              <w:rPr>
                <w:lang w:val="el-GR"/>
              </w:rPr>
            </w:pPr>
            <w:r w:rsidRPr="005C1C4A">
              <w:rPr>
                <w:lang w:val="el-GR"/>
              </w:rPr>
              <w:t xml:space="preserve">Σιταγλιπτίνη 100 </w:t>
            </w:r>
            <w:r>
              <w:t>mg</w:t>
            </w:r>
            <w:r w:rsidRPr="005C1C4A">
              <w:rPr>
                <w:lang w:val="el-GR"/>
              </w:rPr>
              <w:t xml:space="preserve"> μία φορά ημερησίως προστέθηκε στη συνεχιζόμενη θεραπεία με γλιμεπιρίδη+μετφορμί</w:t>
            </w:r>
          </w:p>
          <w:p w:rsidR="00A56FAA" w:rsidRDefault="005C1C4A" w:rsidP="00046B36">
            <w:pPr>
              <w:pStyle w:val="TableParagraph"/>
              <w:spacing w:before="3" w:line="260" w:lineRule="exact"/>
              <w:ind w:left="107"/>
            </w:pPr>
            <w:r>
              <w:rPr>
                <w:w w:val="115"/>
              </w:rPr>
              <w:t>νη</w:t>
            </w:r>
            <w:r>
              <w:rPr>
                <w:rFonts w:ascii="Microsoft Sans Serif" w:hAnsi="Microsoft Sans Serif"/>
                <w:w w:val="115"/>
                <w:vertAlign w:val="superscript"/>
              </w:rPr>
              <w:t></w:t>
            </w:r>
            <w:r>
              <w:rPr>
                <w:rFonts w:ascii="Microsoft Sans Serif" w:hAnsi="Microsoft Sans Serif"/>
                <w:w w:val="115"/>
              </w:rPr>
              <w:t xml:space="preserve"> </w:t>
            </w:r>
            <w:r>
              <w:t>(N=115)</w:t>
            </w:r>
          </w:p>
        </w:tc>
        <w:tc>
          <w:tcPr>
            <w:tcW w:w="1270" w:type="dxa"/>
          </w:tcPr>
          <w:p w:rsidR="00A56FAA" w:rsidRDefault="00A56FAA" w:rsidP="00046B36">
            <w:pPr>
              <w:pStyle w:val="TableParagraph"/>
              <w:jc w:val="both"/>
              <w:rPr>
                <w:b/>
                <w:sz w:val="24"/>
              </w:rPr>
            </w:pPr>
          </w:p>
          <w:p w:rsidR="00A56FAA" w:rsidRDefault="00A56FAA" w:rsidP="00046B36">
            <w:pPr>
              <w:pStyle w:val="TableParagraph"/>
              <w:jc w:val="both"/>
              <w:rPr>
                <w:b/>
                <w:sz w:val="24"/>
              </w:rPr>
            </w:pPr>
          </w:p>
          <w:p w:rsidR="00A56FAA" w:rsidRDefault="00A56FAA" w:rsidP="00046B36">
            <w:pPr>
              <w:pStyle w:val="TableParagraph"/>
              <w:spacing w:before="7"/>
              <w:jc w:val="both"/>
              <w:rPr>
                <w:b/>
                <w:sz w:val="19"/>
              </w:rPr>
            </w:pPr>
          </w:p>
          <w:p w:rsidR="00A56FAA" w:rsidRDefault="005C1C4A" w:rsidP="00046B36">
            <w:pPr>
              <w:pStyle w:val="TableParagraph"/>
              <w:spacing w:before="1"/>
              <w:ind w:left="476"/>
              <w:jc w:val="both"/>
            </w:pPr>
            <w:r>
              <w:t>8,3</w:t>
            </w:r>
          </w:p>
        </w:tc>
        <w:tc>
          <w:tcPr>
            <w:tcW w:w="2516" w:type="dxa"/>
          </w:tcPr>
          <w:p w:rsidR="00A56FAA" w:rsidRDefault="00A56FAA" w:rsidP="00046B36">
            <w:pPr>
              <w:pStyle w:val="TableParagraph"/>
              <w:jc w:val="both"/>
              <w:rPr>
                <w:b/>
                <w:sz w:val="24"/>
              </w:rPr>
            </w:pPr>
          </w:p>
          <w:p w:rsidR="00A56FAA" w:rsidRDefault="00A56FAA" w:rsidP="00046B36">
            <w:pPr>
              <w:pStyle w:val="TableParagraph"/>
              <w:jc w:val="both"/>
              <w:rPr>
                <w:b/>
                <w:sz w:val="24"/>
              </w:rPr>
            </w:pPr>
          </w:p>
          <w:p w:rsidR="00A56FAA" w:rsidRDefault="00A56FAA" w:rsidP="00046B36">
            <w:pPr>
              <w:pStyle w:val="TableParagraph"/>
              <w:spacing w:before="7"/>
              <w:jc w:val="both"/>
              <w:rPr>
                <w:b/>
                <w:sz w:val="19"/>
              </w:rPr>
            </w:pPr>
          </w:p>
          <w:p w:rsidR="00A56FAA" w:rsidRDefault="005C1C4A" w:rsidP="00046B36">
            <w:pPr>
              <w:pStyle w:val="TableParagraph"/>
              <w:spacing w:before="1"/>
              <w:ind w:left="1029"/>
              <w:jc w:val="both"/>
            </w:pPr>
            <w:r>
              <w:t>-0,6</w:t>
            </w:r>
          </w:p>
        </w:tc>
        <w:tc>
          <w:tcPr>
            <w:tcW w:w="2847" w:type="dxa"/>
          </w:tcPr>
          <w:p w:rsidR="00A56FAA" w:rsidRDefault="00A56FAA" w:rsidP="00046B36">
            <w:pPr>
              <w:pStyle w:val="TableParagraph"/>
              <w:jc w:val="both"/>
              <w:rPr>
                <w:b/>
                <w:sz w:val="26"/>
              </w:rPr>
            </w:pPr>
          </w:p>
          <w:p w:rsidR="00A56FAA" w:rsidRDefault="00A56FAA" w:rsidP="00046B36">
            <w:pPr>
              <w:pStyle w:val="TableParagraph"/>
              <w:spacing w:before="4"/>
              <w:jc w:val="both"/>
              <w:rPr>
                <w:b/>
                <w:sz w:val="30"/>
              </w:rPr>
            </w:pPr>
          </w:p>
          <w:p w:rsidR="00A56FAA" w:rsidRDefault="005C1C4A" w:rsidP="00046B36">
            <w:pPr>
              <w:pStyle w:val="TableParagraph"/>
              <w:spacing w:before="1"/>
              <w:ind w:left="110"/>
              <w:jc w:val="both"/>
            </w:pPr>
            <w:r>
              <w:t>-0,9</w:t>
            </w:r>
            <w:r>
              <w:rPr>
                <w:vertAlign w:val="superscript"/>
              </w:rPr>
              <w:t>‡</w:t>
            </w:r>
          </w:p>
          <w:p w:rsidR="00A56FAA" w:rsidRDefault="005C1C4A" w:rsidP="00046B36">
            <w:pPr>
              <w:pStyle w:val="TableParagraph"/>
              <w:spacing w:before="6"/>
              <w:ind w:left="112"/>
              <w:jc w:val="both"/>
            </w:pPr>
            <w:r>
              <w:t>(-1,1, -0,7)</w:t>
            </w:r>
          </w:p>
        </w:tc>
      </w:tr>
    </w:tbl>
    <w:p w:rsidR="00A56FAA" w:rsidRDefault="00A56FAA" w:rsidP="00046B36">
      <w:pPr>
        <w:jc w:val="both"/>
        <w:sectPr w:rsidR="00A56FAA">
          <w:pgSz w:w="11910" w:h="16840"/>
          <w:pgMar w:top="1040" w:right="1180" w:bottom="900" w:left="1200" w:header="0" w:footer="714"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7"/>
        <w:gridCol w:w="1270"/>
        <w:gridCol w:w="2516"/>
        <w:gridCol w:w="2847"/>
      </w:tblGrid>
      <w:tr w:rsidR="00A56FAA">
        <w:trPr>
          <w:trHeight w:val="1300"/>
        </w:trPr>
        <w:tc>
          <w:tcPr>
            <w:tcW w:w="2657" w:type="dxa"/>
          </w:tcPr>
          <w:p w:rsidR="00A56FAA" w:rsidRDefault="00A56FAA" w:rsidP="00046B36">
            <w:pPr>
              <w:pStyle w:val="TableParagraph"/>
              <w:jc w:val="both"/>
              <w:rPr>
                <w:b/>
                <w:sz w:val="24"/>
              </w:rPr>
            </w:pPr>
          </w:p>
          <w:p w:rsidR="00A56FAA" w:rsidRDefault="00A56FAA" w:rsidP="00046B36">
            <w:pPr>
              <w:pStyle w:val="TableParagraph"/>
              <w:spacing w:before="8"/>
              <w:jc w:val="both"/>
              <w:rPr>
                <w:b/>
                <w:sz w:val="21"/>
              </w:rPr>
            </w:pPr>
          </w:p>
          <w:p w:rsidR="00A56FAA" w:rsidRDefault="005C1C4A" w:rsidP="00046B36">
            <w:pPr>
              <w:pStyle w:val="TableParagraph"/>
              <w:spacing w:before="1"/>
              <w:ind w:left="941"/>
              <w:jc w:val="both"/>
              <w:rPr>
                <w:b/>
              </w:rPr>
            </w:pPr>
            <w:r>
              <w:rPr>
                <w:b/>
              </w:rPr>
              <w:t>Μελέτη</w:t>
            </w:r>
          </w:p>
        </w:tc>
        <w:tc>
          <w:tcPr>
            <w:tcW w:w="1270" w:type="dxa"/>
          </w:tcPr>
          <w:p w:rsidR="00A56FAA" w:rsidRDefault="005C1C4A" w:rsidP="00046B36">
            <w:pPr>
              <w:pStyle w:val="TableParagraph"/>
              <w:spacing w:before="137" w:line="244" w:lineRule="auto"/>
              <w:ind w:left="129" w:firstLine="1"/>
              <w:jc w:val="both"/>
              <w:rPr>
                <w:b/>
              </w:rPr>
            </w:pPr>
            <w:r>
              <w:rPr>
                <w:b/>
              </w:rPr>
              <w:t>Μέση αρχική τιμή HbA</w:t>
            </w:r>
            <w:r>
              <w:rPr>
                <w:b/>
                <w:vertAlign w:val="subscript"/>
              </w:rPr>
              <w:t>1c</w:t>
            </w:r>
            <w:r>
              <w:rPr>
                <w:b/>
                <w:spacing w:val="3"/>
              </w:rPr>
              <w:t xml:space="preserve"> </w:t>
            </w:r>
            <w:r>
              <w:rPr>
                <w:b/>
                <w:spacing w:val="-8"/>
              </w:rPr>
              <w:t>(%)</w:t>
            </w:r>
          </w:p>
        </w:tc>
        <w:tc>
          <w:tcPr>
            <w:tcW w:w="2516" w:type="dxa"/>
          </w:tcPr>
          <w:p w:rsidR="00A56FAA" w:rsidRPr="005C1C4A" w:rsidRDefault="00A56FAA" w:rsidP="00046B36">
            <w:pPr>
              <w:pStyle w:val="TableParagraph"/>
              <w:spacing w:before="3"/>
              <w:jc w:val="both"/>
              <w:rPr>
                <w:b/>
                <w:sz w:val="34"/>
                <w:lang w:val="el-GR"/>
              </w:rPr>
            </w:pPr>
          </w:p>
          <w:p w:rsidR="00A56FAA" w:rsidRPr="005C1C4A" w:rsidRDefault="005C1C4A" w:rsidP="00046B36">
            <w:pPr>
              <w:pStyle w:val="TableParagraph"/>
              <w:spacing w:line="244" w:lineRule="auto"/>
              <w:ind w:left="121" w:hanging="10"/>
              <w:jc w:val="both"/>
              <w:rPr>
                <w:lang w:val="el-GR"/>
              </w:rPr>
            </w:pPr>
            <w:r w:rsidRPr="005C1C4A">
              <w:rPr>
                <w:b/>
                <w:lang w:val="el-GR"/>
              </w:rPr>
              <w:t xml:space="preserve">Μέση μεταβολή από την αρχική τιμή </w:t>
            </w:r>
            <w:r>
              <w:rPr>
                <w:b/>
              </w:rPr>
              <w:t>HbA</w:t>
            </w:r>
            <w:r w:rsidRPr="005C1C4A">
              <w:rPr>
                <w:b/>
                <w:vertAlign w:val="subscript"/>
                <w:lang w:val="el-GR"/>
              </w:rPr>
              <w:t>1</w:t>
            </w:r>
            <w:r>
              <w:rPr>
                <w:b/>
                <w:vertAlign w:val="subscript"/>
              </w:rPr>
              <w:t>c</w:t>
            </w:r>
            <w:r w:rsidRPr="005C1C4A">
              <w:rPr>
                <w:b/>
                <w:lang w:val="el-GR"/>
              </w:rPr>
              <w:t xml:space="preserve"> (%)</w:t>
            </w:r>
            <w:r w:rsidRPr="005C1C4A">
              <w:rPr>
                <w:vertAlign w:val="superscript"/>
                <w:lang w:val="el-GR"/>
              </w:rPr>
              <w:t>†</w:t>
            </w:r>
          </w:p>
        </w:tc>
        <w:tc>
          <w:tcPr>
            <w:tcW w:w="2847" w:type="dxa"/>
          </w:tcPr>
          <w:p w:rsidR="00A56FAA" w:rsidRPr="005C1C4A" w:rsidRDefault="005C1C4A" w:rsidP="00046B36">
            <w:pPr>
              <w:pStyle w:val="TableParagraph"/>
              <w:spacing w:before="5" w:line="244" w:lineRule="auto"/>
              <w:ind w:left="114"/>
              <w:jc w:val="both"/>
              <w:rPr>
                <w:lang w:val="el-GR"/>
              </w:rPr>
            </w:pPr>
            <w:r w:rsidRPr="005C1C4A">
              <w:rPr>
                <w:b/>
                <w:lang w:val="el-GR"/>
              </w:rPr>
              <w:t xml:space="preserve">Μέση μεταβολή της </w:t>
            </w:r>
            <w:r>
              <w:rPr>
                <w:b/>
              </w:rPr>
              <w:t>HbA</w:t>
            </w:r>
            <w:r w:rsidRPr="005C1C4A">
              <w:rPr>
                <w:b/>
                <w:vertAlign w:val="subscript"/>
                <w:lang w:val="el-GR"/>
              </w:rPr>
              <w:t>1</w:t>
            </w:r>
            <w:r>
              <w:rPr>
                <w:b/>
                <w:vertAlign w:val="subscript"/>
              </w:rPr>
              <w:t>c</w:t>
            </w:r>
            <w:r w:rsidRPr="005C1C4A">
              <w:rPr>
                <w:b/>
                <w:lang w:val="el-GR"/>
              </w:rPr>
              <w:t xml:space="preserve">, διορθωμένη ως προς το εικονικό φάρμακο </w:t>
            </w:r>
            <w:r>
              <w:rPr>
                <w:b/>
              </w:rPr>
              <w:t>HbA</w:t>
            </w:r>
            <w:r w:rsidRPr="005C1C4A">
              <w:rPr>
                <w:b/>
                <w:vertAlign w:val="subscript"/>
                <w:lang w:val="el-GR"/>
              </w:rPr>
              <w:t>1</w:t>
            </w:r>
            <w:r>
              <w:rPr>
                <w:b/>
                <w:vertAlign w:val="subscript"/>
              </w:rPr>
              <w:t>c</w:t>
            </w:r>
            <w:r w:rsidRPr="005C1C4A">
              <w:rPr>
                <w:b/>
                <w:lang w:val="el-GR"/>
              </w:rPr>
              <w:t xml:space="preserve"> (%)</w:t>
            </w:r>
            <w:r w:rsidRPr="005C1C4A">
              <w:rPr>
                <w:vertAlign w:val="superscript"/>
                <w:lang w:val="el-GR"/>
              </w:rPr>
              <w:t>†</w:t>
            </w:r>
          </w:p>
          <w:p w:rsidR="00A56FAA" w:rsidRDefault="005C1C4A" w:rsidP="00046B36">
            <w:pPr>
              <w:pStyle w:val="TableParagraph"/>
              <w:spacing w:before="10" w:line="233" w:lineRule="exact"/>
              <w:ind w:left="111"/>
              <w:jc w:val="both"/>
              <w:rPr>
                <w:b/>
              </w:rPr>
            </w:pPr>
            <w:r>
              <w:rPr>
                <w:b/>
              </w:rPr>
              <w:t>(95% CI)</w:t>
            </w:r>
          </w:p>
        </w:tc>
      </w:tr>
      <w:tr w:rsidR="00A56FAA">
        <w:trPr>
          <w:trHeight w:val="1554"/>
        </w:trPr>
        <w:tc>
          <w:tcPr>
            <w:tcW w:w="2657" w:type="dxa"/>
          </w:tcPr>
          <w:p w:rsidR="00A56FAA" w:rsidRPr="005C1C4A" w:rsidRDefault="005C1C4A" w:rsidP="00046B36">
            <w:pPr>
              <w:pStyle w:val="TableParagraph"/>
              <w:spacing w:before="1" w:line="244" w:lineRule="auto"/>
              <w:ind w:left="107"/>
              <w:rPr>
                <w:lang w:val="el-GR"/>
              </w:rPr>
            </w:pPr>
            <w:r w:rsidRPr="005C1C4A">
              <w:rPr>
                <w:lang w:val="el-GR"/>
              </w:rPr>
              <w:t xml:space="preserve">Σιταγλιπτίνη 100 </w:t>
            </w:r>
            <w:r>
              <w:t>mg</w:t>
            </w:r>
            <w:r w:rsidRPr="005C1C4A">
              <w:rPr>
                <w:lang w:val="el-GR"/>
              </w:rPr>
              <w:t xml:space="preserve"> μία φορά ημερησίως προστέθηκε στην συνεχιζόμενη θεραπεία με πιογλιταζόνη+μετφορμίνη</w:t>
            </w:r>
            <w:r w:rsidRPr="005C1C4A">
              <w:rPr>
                <w:vertAlign w:val="superscript"/>
                <w:lang w:val="el-GR"/>
              </w:rPr>
              <w:t>#</w:t>
            </w:r>
          </w:p>
          <w:p w:rsidR="00A56FAA" w:rsidRDefault="005C1C4A" w:rsidP="00046B36">
            <w:pPr>
              <w:pStyle w:val="TableParagraph"/>
              <w:spacing w:before="5" w:line="238" w:lineRule="exact"/>
              <w:ind w:left="107"/>
            </w:pPr>
            <w:r>
              <w:t>(N=152)</w:t>
            </w:r>
          </w:p>
        </w:tc>
        <w:tc>
          <w:tcPr>
            <w:tcW w:w="1270" w:type="dxa"/>
          </w:tcPr>
          <w:p w:rsidR="00A56FAA" w:rsidRDefault="00A56FAA" w:rsidP="00046B36">
            <w:pPr>
              <w:pStyle w:val="TableParagraph"/>
              <w:jc w:val="both"/>
              <w:rPr>
                <w:b/>
                <w:sz w:val="24"/>
              </w:rPr>
            </w:pPr>
          </w:p>
          <w:p w:rsidR="00A56FAA" w:rsidRDefault="00A56FAA" w:rsidP="00046B36">
            <w:pPr>
              <w:pStyle w:val="TableParagraph"/>
              <w:jc w:val="both"/>
              <w:rPr>
                <w:b/>
                <w:sz w:val="24"/>
              </w:rPr>
            </w:pPr>
          </w:p>
          <w:p w:rsidR="00A56FAA" w:rsidRDefault="00A56FAA" w:rsidP="00046B36">
            <w:pPr>
              <w:pStyle w:val="TableParagraph"/>
              <w:spacing w:before="11"/>
              <w:jc w:val="both"/>
              <w:rPr>
                <w:b/>
                <w:sz w:val="30"/>
              </w:rPr>
            </w:pPr>
          </w:p>
          <w:p w:rsidR="00A56FAA" w:rsidRDefault="005C1C4A" w:rsidP="00046B36">
            <w:pPr>
              <w:pStyle w:val="TableParagraph"/>
              <w:ind w:left="476"/>
              <w:jc w:val="both"/>
            </w:pPr>
            <w:r>
              <w:t>8,8</w:t>
            </w:r>
          </w:p>
        </w:tc>
        <w:tc>
          <w:tcPr>
            <w:tcW w:w="2516" w:type="dxa"/>
          </w:tcPr>
          <w:p w:rsidR="00A56FAA" w:rsidRDefault="00A56FAA" w:rsidP="00046B36">
            <w:pPr>
              <w:pStyle w:val="TableParagraph"/>
              <w:jc w:val="both"/>
              <w:rPr>
                <w:b/>
                <w:sz w:val="24"/>
              </w:rPr>
            </w:pPr>
          </w:p>
          <w:p w:rsidR="00A56FAA" w:rsidRDefault="00A56FAA" w:rsidP="00046B36">
            <w:pPr>
              <w:pStyle w:val="TableParagraph"/>
              <w:jc w:val="both"/>
              <w:rPr>
                <w:b/>
                <w:sz w:val="24"/>
              </w:rPr>
            </w:pPr>
          </w:p>
          <w:p w:rsidR="00A56FAA" w:rsidRDefault="00A56FAA" w:rsidP="00046B36">
            <w:pPr>
              <w:pStyle w:val="TableParagraph"/>
              <w:spacing w:before="11"/>
              <w:jc w:val="both"/>
              <w:rPr>
                <w:b/>
                <w:sz w:val="30"/>
              </w:rPr>
            </w:pPr>
          </w:p>
          <w:p w:rsidR="00A56FAA" w:rsidRDefault="005C1C4A" w:rsidP="00046B36">
            <w:pPr>
              <w:pStyle w:val="TableParagraph"/>
              <w:ind w:left="1029"/>
              <w:jc w:val="both"/>
            </w:pPr>
            <w:r>
              <w:t>-1,2</w:t>
            </w:r>
          </w:p>
        </w:tc>
        <w:tc>
          <w:tcPr>
            <w:tcW w:w="2847" w:type="dxa"/>
          </w:tcPr>
          <w:p w:rsidR="00A56FAA" w:rsidRDefault="00A56FAA" w:rsidP="00046B36">
            <w:pPr>
              <w:pStyle w:val="TableParagraph"/>
              <w:jc w:val="both"/>
              <w:rPr>
                <w:b/>
                <w:sz w:val="26"/>
              </w:rPr>
            </w:pPr>
          </w:p>
          <w:p w:rsidR="00A56FAA" w:rsidRDefault="00A56FAA" w:rsidP="00046B36">
            <w:pPr>
              <w:pStyle w:val="TableParagraph"/>
              <w:spacing w:before="4"/>
              <w:jc w:val="both"/>
              <w:rPr>
                <w:b/>
                <w:sz w:val="30"/>
              </w:rPr>
            </w:pPr>
          </w:p>
          <w:p w:rsidR="00A56FAA" w:rsidRDefault="005C1C4A" w:rsidP="00046B36">
            <w:pPr>
              <w:pStyle w:val="TableParagraph"/>
              <w:spacing w:before="1"/>
              <w:ind w:left="110"/>
              <w:jc w:val="both"/>
            </w:pPr>
            <w:r>
              <w:t>-0,7</w:t>
            </w:r>
            <w:r>
              <w:rPr>
                <w:vertAlign w:val="superscript"/>
              </w:rPr>
              <w:t>‡</w:t>
            </w:r>
          </w:p>
          <w:p w:rsidR="00A56FAA" w:rsidRDefault="005C1C4A" w:rsidP="00046B36">
            <w:pPr>
              <w:pStyle w:val="TableParagraph"/>
              <w:spacing w:before="6"/>
              <w:ind w:left="112"/>
              <w:jc w:val="both"/>
            </w:pPr>
            <w:r>
              <w:t>(-1,0, -0,5)</w:t>
            </w:r>
          </w:p>
        </w:tc>
      </w:tr>
      <w:tr w:rsidR="00A56FAA">
        <w:trPr>
          <w:trHeight w:val="1295"/>
        </w:trPr>
        <w:tc>
          <w:tcPr>
            <w:tcW w:w="2657" w:type="dxa"/>
          </w:tcPr>
          <w:p w:rsidR="00A56FAA" w:rsidRPr="005C1C4A" w:rsidRDefault="005C1C4A" w:rsidP="00046B36">
            <w:pPr>
              <w:pStyle w:val="TableParagraph"/>
              <w:spacing w:before="1"/>
              <w:ind w:left="107"/>
              <w:rPr>
                <w:lang w:val="el-GR"/>
              </w:rPr>
            </w:pPr>
            <w:r w:rsidRPr="005C1C4A">
              <w:rPr>
                <w:lang w:val="el-GR"/>
              </w:rPr>
              <w:t>Αρχική θεραπεία</w:t>
            </w:r>
          </w:p>
          <w:p w:rsidR="00A56FAA" w:rsidRPr="005C1C4A" w:rsidRDefault="005C1C4A" w:rsidP="00046B36">
            <w:pPr>
              <w:pStyle w:val="TableParagraph"/>
              <w:spacing w:before="6"/>
              <w:ind w:left="107"/>
              <w:rPr>
                <w:rFonts w:ascii="Microsoft Sans Serif" w:hAnsi="Microsoft Sans Serif"/>
                <w:lang w:val="el-GR"/>
              </w:rPr>
            </w:pPr>
            <w:r w:rsidRPr="005C1C4A">
              <w:rPr>
                <w:w w:val="110"/>
                <w:lang w:val="el-GR"/>
              </w:rPr>
              <w:t>(δύο</w:t>
            </w:r>
            <w:r w:rsidRPr="005C1C4A">
              <w:rPr>
                <w:spacing w:val="-33"/>
                <w:w w:val="110"/>
                <w:lang w:val="el-GR"/>
              </w:rPr>
              <w:t xml:space="preserve"> </w:t>
            </w:r>
            <w:r w:rsidRPr="005C1C4A">
              <w:rPr>
                <w:w w:val="110"/>
                <w:lang w:val="el-GR"/>
              </w:rPr>
              <w:t>φορές</w:t>
            </w:r>
            <w:r w:rsidRPr="005C1C4A">
              <w:rPr>
                <w:spacing w:val="-33"/>
                <w:w w:val="110"/>
                <w:lang w:val="el-GR"/>
              </w:rPr>
              <w:t xml:space="preserve"> </w:t>
            </w:r>
            <w:r w:rsidRPr="005C1C4A">
              <w:rPr>
                <w:w w:val="110"/>
                <w:lang w:val="el-GR"/>
              </w:rPr>
              <w:t>ημερησίως)</w:t>
            </w:r>
            <w:r w:rsidRPr="005C1C4A">
              <w:rPr>
                <w:spacing w:val="-42"/>
                <w:w w:val="110"/>
                <w:lang w:val="el-GR"/>
              </w:rPr>
              <w:t xml:space="preserve"> </w:t>
            </w:r>
            <w:r>
              <w:rPr>
                <w:rFonts w:ascii="Microsoft Sans Serif" w:hAnsi="Microsoft Sans Serif"/>
                <w:w w:val="165"/>
                <w:vertAlign w:val="superscript"/>
              </w:rPr>
              <w:t></w:t>
            </w:r>
          </w:p>
          <w:p w:rsidR="00A56FAA" w:rsidRPr="005C1C4A" w:rsidRDefault="005C1C4A" w:rsidP="00046B36">
            <w:pPr>
              <w:pStyle w:val="TableParagraph"/>
              <w:spacing w:before="6"/>
              <w:ind w:left="107"/>
              <w:rPr>
                <w:lang w:val="el-GR"/>
              </w:rPr>
            </w:pPr>
            <w:r w:rsidRPr="005C1C4A">
              <w:rPr>
                <w:lang w:val="el-GR"/>
              </w:rPr>
              <w:t xml:space="preserve">Σιταγλιπτίνη 50 </w:t>
            </w:r>
            <w:r>
              <w:t>mg</w:t>
            </w:r>
            <w:r w:rsidRPr="005C1C4A">
              <w:rPr>
                <w:lang w:val="el-GR"/>
              </w:rPr>
              <w:t>+</w:t>
            </w:r>
          </w:p>
          <w:p w:rsidR="00A56FAA" w:rsidRPr="005C1C4A" w:rsidRDefault="005C1C4A" w:rsidP="00046B36">
            <w:pPr>
              <w:pStyle w:val="TableParagraph"/>
              <w:spacing w:line="260" w:lineRule="atLeast"/>
              <w:ind w:left="107"/>
              <w:rPr>
                <w:lang w:val="el-GR"/>
              </w:rPr>
            </w:pPr>
            <w:r w:rsidRPr="005C1C4A">
              <w:rPr>
                <w:lang w:val="el-GR"/>
              </w:rPr>
              <w:t xml:space="preserve">μετφορμίνη 500 </w:t>
            </w:r>
            <w:r>
              <w:t>mg</w:t>
            </w:r>
            <w:r w:rsidRPr="005C1C4A">
              <w:rPr>
                <w:lang w:val="el-GR"/>
              </w:rPr>
              <w:t xml:space="preserve"> (</w:t>
            </w:r>
            <w:r>
              <w:t>N</w:t>
            </w:r>
            <w:r w:rsidRPr="005C1C4A">
              <w:rPr>
                <w:lang w:val="el-GR"/>
              </w:rPr>
              <w:t>=183)</w:t>
            </w:r>
          </w:p>
        </w:tc>
        <w:tc>
          <w:tcPr>
            <w:tcW w:w="1270" w:type="dxa"/>
          </w:tcPr>
          <w:p w:rsidR="00A56FAA" w:rsidRPr="005C1C4A" w:rsidRDefault="00A56FAA" w:rsidP="00046B36">
            <w:pPr>
              <w:pStyle w:val="TableParagraph"/>
              <w:jc w:val="both"/>
              <w:rPr>
                <w:b/>
                <w:sz w:val="24"/>
                <w:lang w:val="el-GR"/>
              </w:rPr>
            </w:pPr>
          </w:p>
          <w:p w:rsidR="00A56FAA" w:rsidRPr="005C1C4A" w:rsidRDefault="00A56FAA" w:rsidP="00046B36">
            <w:pPr>
              <w:pStyle w:val="TableParagraph"/>
              <w:spacing w:before="1"/>
              <w:jc w:val="both"/>
              <w:rPr>
                <w:b/>
                <w:sz w:val="21"/>
                <w:lang w:val="el-GR"/>
              </w:rPr>
            </w:pPr>
          </w:p>
          <w:p w:rsidR="00A56FAA" w:rsidRDefault="005C1C4A" w:rsidP="00046B36">
            <w:pPr>
              <w:pStyle w:val="TableParagraph"/>
              <w:ind w:left="476"/>
              <w:jc w:val="both"/>
            </w:pPr>
            <w:r>
              <w:t>8,8</w:t>
            </w:r>
          </w:p>
        </w:tc>
        <w:tc>
          <w:tcPr>
            <w:tcW w:w="2516" w:type="dxa"/>
          </w:tcPr>
          <w:p w:rsidR="00A56FAA" w:rsidRDefault="00A56FAA" w:rsidP="00046B36">
            <w:pPr>
              <w:pStyle w:val="TableParagraph"/>
              <w:jc w:val="both"/>
              <w:rPr>
                <w:b/>
                <w:sz w:val="24"/>
              </w:rPr>
            </w:pPr>
          </w:p>
          <w:p w:rsidR="00A56FAA" w:rsidRDefault="00A56FAA" w:rsidP="00046B36">
            <w:pPr>
              <w:pStyle w:val="TableParagraph"/>
              <w:spacing w:before="1"/>
              <w:jc w:val="both"/>
              <w:rPr>
                <w:b/>
                <w:sz w:val="21"/>
              </w:rPr>
            </w:pPr>
          </w:p>
          <w:p w:rsidR="00A56FAA" w:rsidRDefault="005C1C4A" w:rsidP="00046B36">
            <w:pPr>
              <w:pStyle w:val="TableParagraph"/>
              <w:ind w:left="1029"/>
              <w:jc w:val="both"/>
            </w:pPr>
            <w:r>
              <w:t>-1,4</w:t>
            </w:r>
          </w:p>
        </w:tc>
        <w:tc>
          <w:tcPr>
            <w:tcW w:w="2847" w:type="dxa"/>
          </w:tcPr>
          <w:p w:rsidR="00A56FAA" w:rsidRDefault="00A56FAA" w:rsidP="00046B36">
            <w:pPr>
              <w:pStyle w:val="TableParagraph"/>
              <w:spacing w:before="10"/>
              <w:jc w:val="both"/>
              <w:rPr>
                <w:b/>
                <w:sz w:val="33"/>
              </w:rPr>
            </w:pPr>
          </w:p>
          <w:p w:rsidR="00A56FAA" w:rsidRDefault="005C1C4A" w:rsidP="00046B36">
            <w:pPr>
              <w:pStyle w:val="TableParagraph"/>
              <w:ind w:left="110"/>
              <w:jc w:val="both"/>
            </w:pPr>
            <w:r>
              <w:t>-1,6</w:t>
            </w:r>
            <w:r>
              <w:rPr>
                <w:vertAlign w:val="superscript"/>
              </w:rPr>
              <w:t>‡</w:t>
            </w:r>
          </w:p>
          <w:p w:rsidR="00A56FAA" w:rsidRDefault="005C1C4A" w:rsidP="00046B36">
            <w:pPr>
              <w:pStyle w:val="TableParagraph"/>
              <w:spacing w:before="6"/>
              <w:ind w:left="109"/>
              <w:jc w:val="both"/>
            </w:pPr>
            <w:r>
              <w:t>(-1,8, -1,.3)</w:t>
            </w:r>
          </w:p>
        </w:tc>
      </w:tr>
      <w:tr w:rsidR="00A56FAA">
        <w:trPr>
          <w:trHeight w:val="1295"/>
        </w:trPr>
        <w:tc>
          <w:tcPr>
            <w:tcW w:w="2657" w:type="dxa"/>
          </w:tcPr>
          <w:p w:rsidR="00A56FAA" w:rsidRPr="005C1C4A" w:rsidRDefault="005C1C4A" w:rsidP="00046B36">
            <w:pPr>
              <w:pStyle w:val="TableParagraph"/>
              <w:spacing w:before="1"/>
              <w:ind w:left="107"/>
              <w:rPr>
                <w:lang w:val="el-GR"/>
              </w:rPr>
            </w:pPr>
            <w:r w:rsidRPr="005C1C4A">
              <w:rPr>
                <w:lang w:val="el-GR"/>
              </w:rPr>
              <w:t>Αρχική θεραπεία</w:t>
            </w:r>
          </w:p>
          <w:p w:rsidR="00A56FAA" w:rsidRPr="005C1C4A" w:rsidRDefault="005C1C4A" w:rsidP="00046B36">
            <w:pPr>
              <w:pStyle w:val="TableParagraph"/>
              <w:spacing w:before="6"/>
              <w:ind w:left="107"/>
              <w:rPr>
                <w:rFonts w:ascii="Microsoft Sans Serif" w:hAnsi="Microsoft Sans Serif"/>
                <w:lang w:val="el-GR"/>
              </w:rPr>
            </w:pPr>
            <w:r w:rsidRPr="005C1C4A">
              <w:rPr>
                <w:w w:val="110"/>
                <w:lang w:val="el-GR"/>
              </w:rPr>
              <w:t>(δύο</w:t>
            </w:r>
            <w:r w:rsidRPr="005C1C4A">
              <w:rPr>
                <w:spacing w:val="-34"/>
                <w:w w:val="110"/>
                <w:lang w:val="el-GR"/>
              </w:rPr>
              <w:t xml:space="preserve"> </w:t>
            </w:r>
            <w:r w:rsidRPr="005C1C4A">
              <w:rPr>
                <w:w w:val="110"/>
                <w:lang w:val="el-GR"/>
              </w:rPr>
              <w:t>φορές</w:t>
            </w:r>
            <w:r w:rsidRPr="005C1C4A">
              <w:rPr>
                <w:spacing w:val="-33"/>
                <w:w w:val="110"/>
                <w:lang w:val="el-GR"/>
              </w:rPr>
              <w:t xml:space="preserve"> </w:t>
            </w:r>
            <w:r w:rsidRPr="005C1C4A">
              <w:rPr>
                <w:w w:val="110"/>
                <w:lang w:val="el-GR"/>
              </w:rPr>
              <w:t>ημερησίως)</w:t>
            </w:r>
            <w:r w:rsidRPr="005C1C4A">
              <w:rPr>
                <w:spacing w:val="-43"/>
                <w:w w:val="110"/>
                <w:lang w:val="el-GR"/>
              </w:rPr>
              <w:t xml:space="preserve"> </w:t>
            </w:r>
            <w:r>
              <w:rPr>
                <w:rFonts w:ascii="Microsoft Sans Serif" w:hAnsi="Microsoft Sans Serif"/>
                <w:w w:val="165"/>
                <w:vertAlign w:val="superscript"/>
              </w:rPr>
              <w:t></w:t>
            </w:r>
          </w:p>
          <w:p w:rsidR="00A56FAA" w:rsidRPr="005C1C4A" w:rsidRDefault="005C1C4A" w:rsidP="00046B36">
            <w:pPr>
              <w:pStyle w:val="TableParagraph"/>
              <w:spacing w:before="6"/>
              <w:ind w:left="107"/>
              <w:rPr>
                <w:lang w:val="el-GR"/>
              </w:rPr>
            </w:pPr>
            <w:r w:rsidRPr="005C1C4A">
              <w:rPr>
                <w:lang w:val="el-GR"/>
              </w:rPr>
              <w:t xml:space="preserve">Σιταγλιπτίνη 50 </w:t>
            </w:r>
            <w:r>
              <w:t>mg</w:t>
            </w:r>
            <w:r w:rsidRPr="005C1C4A">
              <w:rPr>
                <w:lang w:val="el-GR"/>
              </w:rPr>
              <w:t>+</w:t>
            </w:r>
          </w:p>
          <w:p w:rsidR="00A56FAA" w:rsidRPr="005C1C4A" w:rsidRDefault="005C1C4A" w:rsidP="00046B36">
            <w:pPr>
              <w:pStyle w:val="TableParagraph"/>
              <w:spacing w:line="260" w:lineRule="atLeast"/>
              <w:ind w:left="107"/>
              <w:rPr>
                <w:lang w:val="el-GR"/>
              </w:rPr>
            </w:pPr>
            <w:r w:rsidRPr="005C1C4A">
              <w:rPr>
                <w:lang w:val="el-GR"/>
              </w:rPr>
              <w:t xml:space="preserve">μετφορμίνη 1000 </w:t>
            </w:r>
            <w:r>
              <w:t>mg</w:t>
            </w:r>
            <w:r w:rsidRPr="005C1C4A">
              <w:rPr>
                <w:lang w:val="el-GR"/>
              </w:rPr>
              <w:t xml:space="preserve"> (</w:t>
            </w:r>
            <w:r>
              <w:t>N</w:t>
            </w:r>
            <w:r w:rsidRPr="005C1C4A">
              <w:rPr>
                <w:lang w:val="el-GR"/>
              </w:rPr>
              <w:t>=178)</w:t>
            </w:r>
          </w:p>
        </w:tc>
        <w:tc>
          <w:tcPr>
            <w:tcW w:w="1270" w:type="dxa"/>
          </w:tcPr>
          <w:p w:rsidR="00A56FAA" w:rsidRPr="005C1C4A" w:rsidRDefault="00A56FAA" w:rsidP="00046B36">
            <w:pPr>
              <w:pStyle w:val="TableParagraph"/>
              <w:jc w:val="both"/>
              <w:rPr>
                <w:b/>
                <w:sz w:val="24"/>
                <w:lang w:val="el-GR"/>
              </w:rPr>
            </w:pPr>
          </w:p>
          <w:p w:rsidR="00A56FAA" w:rsidRPr="005C1C4A" w:rsidRDefault="00A56FAA" w:rsidP="00046B36">
            <w:pPr>
              <w:pStyle w:val="TableParagraph"/>
              <w:spacing w:before="1"/>
              <w:jc w:val="both"/>
              <w:rPr>
                <w:b/>
                <w:sz w:val="21"/>
                <w:lang w:val="el-GR"/>
              </w:rPr>
            </w:pPr>
          </w:p>
          <w:p w:rsidR="00A56FAA" w:rsidRDefault="005C1C4A" w:rsidP="00046B36">
            <w:pPr>
              <w:pStyle w:val="TableParagraph"/>
              <w:ind w:left="476"/>
              <w:jc w:val="both"/>
            </w:pPr>
            <w:r>
              <w:t>8,8</w:t>
            </w:r>
          </w:p>
        </w:tc>
        <w:tc>
          <w:tcPr>
            <w:tcW w:w="2516" w:type="dxa"/>
          </w:tcPr>
          <w:p w:rsidR="00A56FAA" w:rsidRDefault="00A56FAA" w:rsidP="00046B36">
            <w:pPr>
              <w:pStyle w:val="TableParagraph"/>
              <w:jc w:val="both"/>
              <w:rPr>
                <w:b/>
                <w:sz w:val="24"/>
              </w:rPr>
            </w:pPr>
          </w:p>
          <w:p w:rsidR="00A56FAA" w:rsidRDefault="00A56FAA" w:rsidP="00046B36">
            <w:pPr>
              <w:pStyle w:val="TableParagraph"/>
              <w:spacing w:before="1"/>
              <w:jc w:val="both"/>
              <w:rPr>
                <w:b/>
                <w:sz w:val="21"/>
              </w:rPr>
            </w:pPr>
          </w:p>
          <w:p w:rsidR="00A56FAA" w:rsidRDefault="005C1C4A" w:rsidP="00046B36">
            <w:pPr>
              <w:pStyle w:val="TableParagraph"/>
              <w:ind w:left="1029"/>
              <w:jc w:val="both"/>
            </w:pPr>
            <w:r>
              <w:t>-1,9</w:t>
            </w:r>
          </w:p>
        </w:tc>
        <w:tc>
          <w:tcPr>
            <w:tcW w:w="2847" w:type="dxa"/>
          </w:tcPr>
          <w:p w:rsidR="00A56FAA" w:rsidRDefault="00A56FAA" w:rsidP="00046B36">
            <w:pPr>
              <w:pStyle w:val="TableParagraph"/>
              <w:spacing w:before="10"/>
              <w:jc w:val="both"/>
              <w:rPr>
                <w:b/>
                <w:sz w:val="33"/>
              </w:rPr>
            </w:pPr>
          </w:p>
          <w:p w:rsidR="00A56FAA" w:rsidRDefault="005C1C4A" w:rsidP="00046B36">
            <w:pPr>
              <w:pStyle w:val="TableParagraph"/>
              <w:ind w:left="110"/>
              <w:jc w:val="both"/>
            </w:pPr>
            <w:r>
              <w:t>-2,1</w:t>
            </w:r>
            <w:r>
              <w:rPr>
                <w:vertAlign w:val="superscript"/>
              </w:rPr>
              <w:t>‡</w:t>
            </w:r>
          </w:p>
          <w:p w:rsidR="00A56FAA" w:rsidRDefault="005C1C4A" w:rsidP="00046B36">
            <w:pPr>
              <w:pStyle w:val="TableParagraph"/>
              <w:spacing w:before="6"/>
              <w:ind w:left="112"/>
              <w:jc w:val="both"/>
            </w:pPr>
            <w:r>
              <w:t>(-2,3, -1,8)</w:t>
            </w:r>
          </w:p>
        </w:tc>
      </w:tr>
      <w:tr w:rsidR="00A56FAA">
        <w:trPr>
          <w:trHeight w:val="1814"/>
        </w:trPr>
        <w:tc>
          <w:tcPr>
            <w:tcW w:w="2657" w:type="dxa"/>
          </w:tcPr>
          <w:p w:rsidR="00A56FAA" w:rsidRPr="005C1C4A" w:rsidRDefault="005C1C4A" w:rsidP="00046B36">
            <w:pPr>
              <w:pStyle w:val="TableParagraph"/>
              <w:spacing w:before="1" w:line="244" w:lineRule="auto"/>
              <w:ind w:left="107"/>
              <w:rPr>
                <w:lang w:val="el-GR"/>
              </w:rPr>
            </w:pPr>
            <w:r w:rsidRPr="005C1C4A">
              <w:rPr>
                <w:lang w:val="el-GR"/>
              </w:rPr>
              <w:t xml:space="preserve">Σιταγλιπτίνη 100 </w:t>
            </w:r>
            <w:r>
              <w:t>mg</w:t>
            </w:r>
            <w:r w:rsidRPr="005C1C4A">
              <w:rPr>
                <w:lang w:val="el-GR"/>
              </w:rPr>
              <w:t xml:space="preserve"> μία φορά ημερησίως προστέθηκε σε συνεχιζόμενη θεραπεία με ινσουλίνη</w:t>
            </w:r>
          </w:p>
          <w:p w:rsidR="00A56FAA" w:rsidRDefault="005C1C4A" w:rsidP="00046B36">
            <w:pPr>
              <w:pStyle w:val="TableParagraph"/>
              <w:spacing w:before="5"/>
              <w:ind w:left="107"/>
              <w:rPr>
                <w:rFonts w:ascii="Microsoft Sans Serif" w:hAnsi="Microsoft Sans Serif"/>
              </w:rPr>
            </w:pPr>
            <w:r>
              <w:rPr>
                <w:w w:val="110"/>
              </w:rPr>
              <w:t xml:space="preserve">(+/- μετφορμίνη) </w:t>
            </w:r>
            <w:r>
              <w:rPr>
                <w:rFonts w:ascii="Microsoft Sans Serif" w:hAnsi="Microsoft Sans Serif"/>
                <w:w w:val="160"/>
                <w:vertAlign w:val="superscript"/>
              </w:rPr>
              <w:t></w:t>
            </w:r>
          </w:p>
          <w:p w:rsidR="00A56FAA" w:rsidRDefault="005C1C4A" w:rsidP="00046B36">
            <w:pPr>
              <w:pStyle w:val="TableParagraph"/>
              <w:spacing w:before="7" w:line="238" w:lineRule="exact"/>
              <w:ind w:left="107"/>
            </w:pPr>
            <w:r>
              <w:t>(N=305)</w:t>
            </w:r>
          </w:p>
        </w:tc>
        <w:tc>
          <w:tcPr>
            <w:tcW w:w="1270" w:type="dxa"/>
          </w:tcPr>
          <w:p w:rsidR="00A56FAA" w:rsidRDefault="00A56FAA" w:rsidP="00046B36">
            <w:pPr>
              <w:pStyle w:val="TableParagraph"/>
              <w:jc w:val="both"/>
              <w:rPr>
                <w:b/>
                <w:sz w:val="24"/>
              </w:rPr>
            </w:pPr>
          </w:p>
          <w:p w:rsidR="00A56FAA" w:rsidRDefault="00A56FAA" w:rsidP="00046B36">
            <w:pPr>
              <w:pStyle w:val="TableParagraph"/>
              <w:jc w:val="both"/>
              <w:rPr>
                <w:b/>
                <w:sz w:val="24"/>
              </w:rPr>
            </w:pPr>
          </w:p>
          <w:p w:rsidR="00A56FAA" w:rsidRDefault="00A56FAA" w:rsidP="00046B36">
            <w:pPr>
              <w:pStyle w:val="TableParagraph"/>
              <w:spacing w:before="7"/>
              <w:jc w:val="both"/>
              <w:rPr>
                <w:b/>
                <w:sz w:val="19"/>
              </w:rPr>
            </w:pPr>
          </w:p>
          <w:p w:rsidR="00A56FAA" w:rsidRDefault="005C1C4A" w:rsidP="00046B36">
            <w:pPr>
              <w:pStyle w:val="TableParagraph"/>
              <w:spacing w:before="1"/>
              <w:ind w:left="476"/>
              <w:jc w:val="both"/>
            </w:pPr>
            <w:r>
              <w:t>8,7</w:t>
            </w:r>
          </w:p>
        </w:tc>
        <w:tc>
          <w:tcPr>
            <w:tcW w:w="2516" w:type="dxa"/>
          </w:tcPr>
          <w:p w:rsidR="00A56FAA" w:rsidRDefault="00A56FAA" w:rsidP="00046B36">
            <w:pPr>
              <w:pStyle w:val="TableParagraph"/>
              <w:jc w:val="both"/>
              <w:rPr>
                <w:b/>
                <w:sz w:val="26"/>
              </w:rPr>
            </w:pPr>
          </w:p>
          <w:p w:rsidR="00A56FAA" w:rsidRDefault="00A56FAA" w:rsidP="00046B36">
            <w:pPr>
              <w:pStyle w:val="TableParagraph"/>
              <w:jc w:val="both"/>
              <w:rPr>
                <w:b/>
                <w:sz w:val="26"/>
              </w:rPr>
            </w:pPr>
          </w:p>
          <w:p w:rsidR="00A56FAA" w:rsidRDefault="005C1C4A" w:rsidP="00046B36">
            <w:pPr>
              <w:pStyle w:val="TableParagraph"/>
              <w:spacing w:before="180"/>
              <w:ind w:left="1030"/>
              <w:jc w:val="both"/>
            </w:pPr>
            <w:r>
              <w:t>-0,6</w:t>
            </w:r>
            <w:r>
              <w:rPr>
                <w:vertAlign w:val="superscript"/>
              </w:rPr>
              <w:t>¶</w:t>
            </w:r>
          </w:p>
        </w:tc>
        <w:tc>
          <w:tcPr>
            <w:tcW w:w="2847" w:type="dxa"/>
          </w:tcPr>
          <w:p w:rsidR="00A56FAA" w:rsidRDefault="00A56FAA" w:rsidP="00046B36">
            <w:pPr>
              <w:pStyle w:val="TableParagraph"/>
              <w:jc w:val="both"/>
              <w:rPr>
                <w:b/>
                <w:sz w:val="26"/>
              </w:rPr>
            </w:pPr>
          </w:p>
          <w:p w:rsidR="00A56FAA" w:rsidRDefault="00A56FAA" w:rsidP="00046B36">
            <w:pPr>
              <w:pStyle w:val="TableParagraph"/>
              <w:spacing w:before="4"/>
              <w:jc w:val="both"/>
              <w:rPr>
                <w:b/>
                <w:sz w:val="30"/>
              </w:rPr>
            </w:pPr>
          </w:p>
          <w:p w:rsidR="00A56FAA" w:rsidRDefault="005C1C4A" w:rsidP="00046B36">
            <w:pPr>
              <w:pStyle w:val="TableParagraph"/>
              <w:spacing w:before="1"/>
              <w:ind w:left="111"/>
              <w:jc w:val="both"/>
            </w:pPr>
            <w:r>
              <w:t>-0,6</w:t>
            </w:r>
            <w:r>
              <w:rPr>
                <w:vertAlign w:val="superscript"/>
              </w:rPr>
              <w:t>‡¶</w:t>
            </w:r>
          </w:p>
          <w:p w:rsidR="00A56FAA" w:rsidRDefault="005C1C4A" w:rsidP="00046B36">
            <w:pPr>
              <w:pStyle w:val="TableParagraph"/>
              <w:spacing w:before="6"/>
              <w:ind w:left="112"/>
              <w:jc w:val="both"/>
            </w:pPr>
            <w:r>
              <w:t>(-0,7, -0,4)</w:t>
            </w:r>
          </w:p>
        </w:tc>
      </w:tr>
    </w:tbl>
    <w:p w:rsidR="00A56FAA" w:rsidRPr="005C1C4A" w:rsidRDefault="005C1C4A" w:rsidP="00046B36">
      <w:pPr>
        <w:spacing w:line="196" w:lineRule="exact"/>
        <w:ind w:left="218"/>
        <w:jc w:val="both"/>
        <w:rPr>
          <w:sz w:val="18"/>
          <w:lang w:val="el-GR"/>
        </w:rPr>
      </w:pPr>
      <w:r w:rsidRPr="005C1C4A">
        <w:rPr>
          <w:sz w:val="18"/>
          <w:lang w:val="el-GR"/>
        </w:rPr>
        <w:t>* Πληθυσμός όλοι οι ασθενείς που έλαβαν θεραπεία (ανάλυση πρόθεσης για θεραπεία).</w:t>
      </w:r>
    </w:p>
    <w:p w:rsidR="00A56FAA" w:rsidRPr="005C1C4A" w:rsidRDefault="005C1C4A" w:rsidP="00046B36">
      <w:pPr>
        <w:spacing w:before="12" w:line="212" w:lineRule="exact"/>
        <w:ind w:left="218"/>
        <w:jc w:val="both"/>
        <w:rPr>
          <w:sz w:val="18"/>
          <w:lang w:val="el-GR"/>
        </w:rPr>
      </w:pPr>
      <w:r w:rsidRPr="005C1C4A">
        <w:rPr>
          <w:position w:val="8"/>
          <w:sz w:val="12"/>
          <w:lang w:val="el-GR"/>
        </w:rPr>
        <w:t xml:space="preserve">† </w:t>
      </w:r>
      <w:r w:rsidRPr="005C1C4A">
        <w:rPr>
          <w:sz w:val="18"/>
          <w:lang w:val="el-GR"/>
        </w:rPr>
        <w:t>Μέση τιμή ελαχίστων τετραγώνων προσαρμοσμένη για την προηγούμενη αντιυπεργλυκαιμική θεραπεία και την αρχική τιμή.</w:t>
      </w:r>
    </w:p>
    <w:p w:rsidR="00A56FAA" w:rsidRPr="005C1C4A" w:rsidRDefault="005C1C4A" w:rsidP="00046B36">
      <w:pPr>
        <w:spacing w:line="197" w:lineRule="exact"/>
        <w:ind w:left="218"/>
        <w:jc w:val="both"/>
        <w:rPr>
          <w:sz w:val="18"/>
          <w:lang w:val="el-GR"/>
        </w:rPr>
      </w:pPr>
      <w:r w:rsidRPr="005C1C4A">
        <w:rPr>
          <w:position w:val="8"/>
          <w:sz w:val="12"/>
          <w:lang w:val="el-GR"/>
        </w:rPr>
        <w:t xml:space="preserve">‡ </w:t>
      </w:r>
      <w:r>
        <w:rPr>
          <w:sz w:val="18"/>
        </w:rPr>
        <w:t>p</w:t>
      </w:r>
      <w:r w:rsidRPr="005C1C4A">
        <w:rPr>
          <w:sz w:val="18"/>
          <w:lang w:val="el-GR"/>
        </w:rPr>
        <w:t>&lt;0,001 σε σύγκριση με το εικονικό φάρμακο ή εικονικό φάρμακο + συνδυασμός θεραπείας.</w:t>
      </w:r>
    </w:p>
    <w:p w:rsidR="00A56FAA" w:rsidRPr="005C1C4A" w:rsidRDefault="005C1C4A" w:rsidP="00046B36">
      <w:pPr>
        <w:spacing w:line="211" w:lineRule="exact"/>
        <w:ind w:left="218"/>
        <w:jc w:val="both"/>
        <w:rPr>
          <w:sz w:val="18"/>
          <w:lang w:val="el-GR"/>
        </w:rPr>
      </w:pPr>
      <w:r w:rsidRPr="005C1C4A">
        <w:rPr>
          <w:position w:val="8"/>
          <w:sz w:val="12"/>
          <w:lang w:val="el-GR"/>
        </w:rPr>
        <w:t xml:space="preserve">§ </w:t>
      </w:r>
      <w:r>
        <w:rPr>
          <w:sz w:val="18"/>
        </w:rPr>
        <w:t>HbA</w:t>
      </w:r>
      <w:r w:rsidRPr="005C1C4A">
        <w:rPr>
          <w:sz w:val="18"/>
          <w:vertAlign w:val="subscript"/>
          <w:lang w:val="el-GR"/>
        </w:rPr>
        <w:t>1</w:t>
      </w:r>
      <w:r>
        <w:rPr>
          <w:sz w:val="18"/>
          <w:vertAlign w:val="subscript"/>
        </w:rPr>
        <w:t>c</w:t>
      </w:r>
      <w:r w:rsidRPr="005C1C4A">
        <w:rPr>
          <w:sz w:val="18"/>
          <w:lang w:val="el-GR"/>
        </w:rPr>
        <w:t xml:space="preserve"> (%) την εβδομάδα 18.</w:t>
      </w:r>
    </w:p>
    <w:p w:rsidR="00A56FAA" w:rsidRPr="005C1C4A" w:rsidRDefault="005C1C4A" w:rsidP="00046B36">
      <w:pPr>
        <w:spacing w:line="250" w:lineRule="exact"/>
        <w:ind w:left="218"/>
        <w:jc w:val="both"/>
        <w:rPr>
          <w:sz w:val="18"/>
          <w:lang w:val="el-GR"/>
        </w:rPr>
      </w:pPr>
      <w:proofErr w:type="gramStart"/>
      <w:r>
        <w:rPr>
          <w:rFonts w:ascii="Microsoft Sans Serif" w:hAnsi="Microsoft Sans Serif"/>
          <w:position w:val="10"/>
          <w:sz w:val="14"/>
        </w:rPr>
        <w:t></w:t>
      </w:r>
      <w:r>
        <w:rPr>
          <w:sz w:val="18"/>
        </w:rPr>
        <w:t>HbA</w:t>
      </w:r>
      <w:r w:rsidRPr="005C1C4A">
        <w:rPr>
          <w:sz w:val="18"/>
          <w:vertAlign w:val="subscript"/>
          <w:lang w:val="el-GR"/>
        </w:rPr>
        <w:t>1</w:t>
      </w:r>
      <w:r>
        <w:rPr>
          <w:sz w:val="18"/>
          <w:vertAlign w:val="subscript"/>
        </w:rPr>
        <w:t>c</w:t>
      </w:r>
      <w:r w:rsidRPr="005C1C4A">
        <w:rPr>
          <w:sz w:val="18"/>
          <w:lang w:val="el-GR"/>
        </w:rPr>
        <w:t xml:space="preserve"> (%) την εβδομάδα 24.</w:t>
      </w:r>
      <w:proofErr w:type="gramEnd"/>
    </w:p>
    <w:p w:rsidR="00A56FAA" w:rsidRPr="005C1C4A" w:rsidRDefault="005C1C4A" w:rsidP="00046B36">
      <w:pPr>
        <w:spacing w:line="214" w:lineRule="exact"/>
        <w:ind w:left="218"/>
        <w:jc w:val="both"/>
        <w:rPr>
          <w:sz w:val="18"/>
          <w:lang w:val="el-GR"/>
        </w:rPr>
      </w:pPr>
      <w:r w:rsidRPr="005C1C4A">
        <w:rPr>
          <w:position w:val="8"/>
          <w:sz w:val="12"/>
          <w:lang w:val="el-GR"/>
        </w:rPr>
        <w:t xml:space="preserve"># </w:t>
      </w:r>
      <w:r>
        <w:rPr>
          <w:sz w:val="18"/>
        </w:rPr>
        <w:t>HbA</w:t>
      </w:r>
      <w:r w:rsidRPr="005C1C4A">
        <w:rPr>
          <w:sz w:val="18"/>
          <w:vertAlign w:val="subscript"/>
          <w:lang w:val="el-GR"/>
        </w:rPr>
        <w:t>1</w:t>
      </w:r>
      <w:r>
        <w:rPr>
          <w:sz w:val="18"/>
          <w:vertAlign w:val="subscript"/>
        </w:rPr>
        <w:t>c</w:t>
      </w:r>
      <w:r w:rsidRPr="005C1C4A">
        <w:rPr>
          <w:sz w:val="18"/>
          <w:lang w:val="el-GR"/>
        </w:rPr>
        <w:t xml:space="preserve"> (%) την εβδομάδα 26.</w:t>
      </w:r>
    </w:p>
    <w:p w:rsidR="00A56FAA" w:rsidRPr="005C1C4A" w:rsidRDefault="005C1C4A" w:rsidP="00046B36">
      <w:pPr>
        <w:spacing w:before="13" w:line="212" w:lineRule="exact"/>
        <w:ind w:left="218"/>
        <w:jc w:val="both"/>
        <w:rPr>
          <w:sz w:val="18"/>
          <w:lang w:val="el-GR"/>
        </w:rPr>
      </w:pPr>
      <w:r w:rsidRPr="005C1C4A">
        <w:rPr>
          <w:position w:val="8"/>
          <w:sz w:val="12"/>
          <w:lang w:val="el-GR"/>
        </w:rPr>
        <w:t xml:space="preserve">¶ </w:t>
      </w:r>
      <w:r w:rsidRPr="005C1C4A">
        <w:rPr>
          <w:sz w:val="18"/>
          <w:lang w:val="el-GR"/>
        </w:rPr>
        <w:t>Μέση τιμή ελαχίστων τετραγώνων προσαρμοσμένη για τη χρήση μετφορμίνης κατά την Επίσκεψη 1 (ναι/όχι), ινσουλίνης κατά την Επίσκεψη 1 (προαναμεμιγμένη έναντι μη προαναμεμιγμένης [ενδιάμεσης ή μακράς δράσης]) και για τις αρχικές</w:t>
      </w:r>
    </w:p>
    <w:p w:rsidR="00A56FAA" w:rsidRPr="005C1C4A" w:rsidRDefault="005C1C4A" w:rsidP="00046B36">
      <w:pPr>
        <w:spacing w:line="220" w:lineRule="exact"/>
        <w:ind w:left="218"/>
        <w:jc w:val="both"/>
        <w:rPr>
          <w:sz w:val="18"/>
          <w:lang w:val="el-GR"/>
        </w:rPr>
      </w:pPr>
      <w:r w:rsidRPr="005C1C4A">
        <w:rPr>
          <w:sz w:val="18"/>
          <w:lang w:val="el-GR"/>
        </w:rPr>
        <w:t>τιμές. Οι αλληλεπιδράσεις ανά ομάδα θεραπείας (χρήση μετφορμίνης και ινσουλίνης) δεν ήταν σημαντικές (</w:t>
      </w:r>
      <w:r>
        <w:rPr>
          <w:sz w:val="18"/>
        </w:rPr>
        <w:t>p</w:t>
      </w:r>
      <w:r>
        <w:rPr>
          <w:rFonts w:ascii="Symbol" w:hAnsi="Symbol"/>
          <w:sz w:val="18"/>
        </w:rPr>
        <w:t></w:t>
      </w:r>
      <w:r w:rsidRPr="005C1C4A">
        <w:rPr>
          <w:sz w:val="18"/>
          <w:lang w:val="el-GR"/>
        </w:rPr>
        <w:t>0,10).</w:t>
      </w:r>
    </w:p>
    <w:p w:rsidR="00A56FAA" w:rsidRPr="005C1C4A" w:rsidRDefault="00A56FAA" w:rsidP="00046B36">
      <w:pPr>
        <w:pStyle w:val="a3"/>
        <w:spacing w:before="10"/>
        <w:jc w:val="both"/>
        <w:rPr>
          <w:lang w:val="el-GR"/>
        </w:rPr>
      </w:pPr>
    </w:p>
    <w:p w:rsidR="00A56FAA" w:rsidRPr="005C1C4A" w:rsidRDefault="005C1C4A" w:rsidP="00A506BB">
      <w:pPr>
        <w:pStyle w:val="a3"/>
        <w:spacing w:before="1" w:line="244" w:lineRule="auto"/>
        <w:ind w:left="218"/>
        <w:jc w:val="both"/>
        <w:rPr>
          <w:lang w:val="el-GR"/>
        </w:rPr>
      </w:pPr>
      <w:r w:rsidRPr="005C1C4A">
        <w:rPr>
          <w:lang w:val="el-GR"/>
        </w:rPr>
        <w:t xml:space="preserve">Μία μελέτη 24 εβδομάδων, ελεγχόμενη με ενεργό παράγοντα (μετφορμίνη), σχεδιάσθηκε για να αξιολογηθεί η αποτελεσματικότητα και ασφάλεια της σιταγλιπτίνης 100 </w:t>
      </w:r>
      <w:r>
        <w:t>mg</w:t>
      </w:r>
      <w:r w:rsidRPr="005C1C4A">
        <w:rPr>
          <w:lang w:val="el-GR"/>
        </w:rPr>
        <w:t xml:space="preserve"> μία φορά ημερησίως (Ν=528) σε σύγκριση με μετφορμίνη (Ν=522) σε ασθενείς με ανεπαρκή γλυκαιμικό έλεγχο με δίαιτα και άσκηση και οι οποίοι δεν έλαβαν αντι-υπεργλυκαιμική θεραπεία (χωρίς θεραπεία τουλάχιστον για 4 μήνες). Η μέση δοσολογία της μετφορμίνης ήταν περίπου 1.900 </w:t>
      </w:r>
      <w:r>
        <w:t>mg</w:t>
      </w:r>
      <w:r w:rsidRPr="005C1C4A">
        <w:rPr>
          <w:lang w:val="el-GR"/>
        </w:rPr>
        <w:t xml:space="preserve"> ημερησίως. Η μείωση της </w:t>
      </w:r>
      <w:r>
        <w:t>HbA</w:t>
      </w:r>
      <w:r w:rsidRPr="005C1C4A">
        <w:rPr>
          <w:vertAlign w:val="subscript"/>
          <w:lang w:val="el-GR"/>
        </w:rPr>
        <w:t>1</w:t>
      </w:r>
      <w:r>
        <w:rPr>
          <w:vertAlign w:val="subscript"/>
        </w:rPr>
        <w:t>c</w:t>
      </w:r>
      <w:r w:rsidRPr="005C1C4A">
        <w:rPr>
          <w:lang w:val="el-GR"/>
        </w:rPr>
        <w:t xml:space="preserve"> από τις μέσες αρχικές τιμές του 7,2 % ήταν -0,43 % για την σιταγλιπτίνη και -0,57 % για την μετφορμίνη (Ανάλυση κατά το Πρωτόκολλο). Η συνολική συχνότητα εμφάνισης των ανεπιθύμητων ενεργειών του γαστρεντερικού που θεωρήθηκαν ως σχετιζόμενες με το φάρμακο σε ασθενείς που έλαβαν θεραπεία με σιταγλιπτίνη ήταν 2,7 % σε σύγκριση με 12,6 % σε ασθενείς που έλαβαν θεραπεία με μετφορμίνη. Η συχνότητα εμφάνισης της υπογλυκαιμίας δεν ήταν σημαντικά διαφορετική μεταξύ των δύο ομάδων θεραπείας (σιταγλιπτίνη, 1,3 %, μετφορμίνη, 1,9 %). Το βάρος του σώματος μειώθηκε από την αρχική τιμή και στις δύο ομάδες (σιταγλιπτίνη, -0,6 </w:t>
      </w:r>
      <w:r>
        <w:t>kg</w:t>
      </w:r>
      <w:r w:rsidRPr="005C1C4A">
        <w:rPr>
          <w:lang w:val="el-GR"/>
        </w:rPr>
        <w:t>,</w:t>
      </w:r>
      <w:r w:rsidRPr="005C1C4A">
        <w:rPr>
          <w:spacing w:val="1"/>
          <w:lang w:val="el-GR"/>
        </w:rPr>
        <w:t xml:space="preserve"> </w:t>
      </w:r>
      <w:r w:rsidRPr="005C1C4A">
        <w:rPr>
          <w:lang w:val="el-GR"/>
        </w:rPr>
        <w:t>μετφορμίνη</w:t>
      </w:r>
      <w:r w:rsidR="00A506BB">
        <w:rPr>
          <w:lang w:val="el-GR"/>
        </w:rPr>
        <w:t xml:space="preserve"> </w:t>
      </w:r>
      <w:r w:rsidRPr="005C1C4A">
        <w:rPr>
          <w:lang w:val="el-GR"/>
        </w:rPr>
        <w:t>-1,9</w:t>
      </w:r>
      <w:r w:rsidRPr="005C1C4A">
        <w:rPr>
          <w:spacing w:val="54"/>
          <w:lang w:val="el-GR"/>
        </w:rPr>
        <w:t xml:space="preserve"> </w:t>
      </w:r>
      <w:r>
        <w:t>kg</w:t>
      </w:r>
      <w:r w:rsidRPr="005C1C4A">
        <w:rPr>
          <w:lang w:val="el-GR"/>
        </w:rPr>
        <w:t>).</w:t>
      </w:r>
    </w:p>
    <w:p w:rsidR="00A56FAA" w:rsidRPr="005C1C4A" w:rsidRDefault="00A56FAA" w:rsidP="00046B36">
      <w:pPr>
        <w:pStyle w:val="a3"/>
        <w:jc w:val="both"/>
        <w:rPr>
          <w:sz w:val="23"/>
          <w:lang w:val="el-GR"/>
        </w:rPr>
      </w:pPr>
    </w:p>
    <w:p w:rsidR="00A56FAA" w:rsidRPr="005C1C4A" w:rsidRDefault="005C1C4A" w:rsidP="00046B36">
      <w:pPr>
        <w:pStyle w:val="a3"/>
        <w:spacing w:before="1" w:line="244" w:lineRule="auto"/>
        <w:ind w:left="218"/>
        <w:jc w:val="both"/>
        <w:rPr>
          <w:lang w:val="el-GR"/>
        </w:rPr>
      </w:pPr>
      <w:r w:rsidRPr="005C1C4A">
        <w:rPr>
          <w:lang w:val="el-GR"/>
        </w:rPr>
        <w:t xml:space="preserve">Σε μία μελέτη σύγκρισης της αποτελεσματικότητας και της ασφάλειας μετά από προσθήκη της σιταγλιπτίνης 100 </w:t>
      </w:r>
      <w:r>
        <w:t>mg</w:t>
      </w:r>
      <w:r w:rsidRPr="005C1C4A">
        <w:rPr>
          <w:lang w:val="el-GR"/>
        </w:rPr>
        <w:t xml:space="preserve"> μία φορά ημερησίως ή της γλιπιζίδης (μία σουλφονυλουρία) σε ασθενείς με ανεπαρκή γλυκαιμικό έλεγχο μετά από μονοθεραπεία με μετφορμίνη, η σιταγλιπτίνη ήταν παρόμοια της γλιπιζίδης όσον αφορά τη μείωση της </w:t>
      </w:r>
      <w:r>
        <w:t>HbA</w:t>
      </w:r>
      <w:r w:rsidRPr="005C1C4A">
        <w:rPr>
          <w:vertAlign w:val="subscript"/>
          <w:lang w:val="el-GR"/>
        </w:rPr>
        <w:t>1</w:t>
      </w:r>
      <w:r>
        <w:rPr>
          <w:vertAlign w:val="subscript"/>
        </w:rPr>
        <w:t>c</w:t>
      </w:r>
      <w:r w:rsidRPr="005C1C4A">
        <w:rPr>
          <w:lang w:val="el-GR"/>
        </w:rPr>
        <w:t>. Η μέση δοσολογία γλιπιζίδης που χρησιμοποιήθηκε</w:t>
      </w:r>
    </w:p>
    <w:p w:rsidR="00A56FAA" w:rsidRPr="005C1C4A" w:rsidRDefault="00A56FAA" w:rsidP="00046B36">
      <w:pPr>
        <w:spacing w:line="244" w:lineRule="auto"/>
        <w:jc w:val="both"/>
        <w:rPr>
          <w:lang w:val="el-GR"/>
        </w:rPr>
        <w:sectPr w:rsidR="00A56FAA" w:rsidRPr="005C1C4A">
          <w:pgSz w:w="11910" w:h="16840"/>
          <w:pgMar w:top="1120" w:right="1180" w:bottom="900" w:left="1200" w:header="0" w:footer="714" w:gutter="0"/>
          <w:cols w:space="720"/>
        </w:sectPr>
      </w:pPr>
    </w:p>
    <w:p w:rsidR="00A56FAA" w:rsidRPr="005C1C4A" w:rsidRDefault="005C1C4A" w:rsidP="00046B36">
      <w:pPr>
        <w:pStyle w:val="a3"/>
        <w:spacing w:before="80" w:line="244" w:lineRule="auto"/>
        <w:ind w:left="218"/>
        <w:jc w:val="both"/>
        <w:rPr>
          <w:lang w:val="el-GR"/>
        </w:rPr>
      </w:pPr>
      <w:r w:rsidRPr="005C1C4A">
        <w:rPr>
          <w:lang w:val="el-GR"/>
        </w:rPr>
        <w:lastRenderedPageBreak/>
        <w:t xml:space="preserve">στην ομάδα σύγκρισης ήταν 10 </w:t>
      </w:r>
      <w:r>
        <w:t>mg</w:t>
      </w:r>
      <w:r w:rsidRPr="005C1C4A">
        <w:rPr>
          <w:lang w:val="el-GR"/>
        </w:rPr>
        <w:t xml:space="preserve"> ημερησίως, ενώ σε περίπου 40 % των ασθενών απαιτήθηκε δόση γλιπιζίδης </w:t>
      </w:r>
      <w:r>
        <w:rPr>
          <w:rFonts w:ascii="Symbol" w:hAnsi="Symbol"/>
        </w:rPr>
        <w:t></w:t>
      </w:r>
      <w:r w:rsidRPr="005C1C4A">
        <w:rPr>
          <w:lang w:val="el-GR"/>
        </w:rPr>
        <w:t xml:space="preserve"> 5 </w:t>
      </w:r>
      <w:r>
        <w:t>mg</w:t>
      </w:r>
      <w:r w:rsidRPr="005C1C4A">
        <w:rPr>
          <w:lang w:val="el-GR"/>
        </w:rPr>
        <w:t xml:space="preserve"> ημερησίως κατά την διάρκεια της μελέτης. Ωστόσο, περισσότεροι ασθενείς στην ομάδα με σιταγλιπτίνη διέκοψαν τη θεραπεία λόγω έλλειψης αποτελεσματικότητας από οτι στην ομάδα με γλιπιζίδη. Ασθενείς που έλαβαν θεραπεία με σιταγλιπτίνη παρουσίασαν σημαντική μέση μείωση από την αρχική τιμή στο σωματικό βάρος σε σύγκριση με μία σημαντική αύξηση βάρους σε ασθενείς στους οποίους χορηγήθηκε γλιπιζίδη (-1,5 έναντι +1,1 </w:t>
      </w:r>
      <w:r>
        <w:t>kg</w:t>
      </w:r>
      <w:r w:rsidRPr="005C1C4A">
        <w:rPr>
          <w:lang w:val="el-GR"/>
        </w:rPr>
        <w:t>). Σ' αυτή τη μελέτη, ο λόγος προϊνσουλίνης προς ινσουλίνη, δείκτης της αποτελεσματικότητας της σύνθεσης και απελευθέρωσης της ινσουλίνης, βελτιώθηκε με σιταγλιπτίνη και επιδεινώθηκε με την θεραπεία με γλιπιζίδη. Η συχνότητα εμφάνισης υπογλυκαιμίας στην ομάδα της σιταγλιπτίνης (4,9 %) ήταν σημαντικά χαμηλότερη από αυτήν της ομάδας της γλιπιζίδης (32,0 %).</w:t>
      </w:r>
    </w:p>
    <w:p w:rsidR="00A56FAA" w:rsidRPr="005C1C4A" w:rsidRDefault="00A56FAA" w:rsidP="00046B36">
      <w:pPr>
        <w:pStyle w:val="a3"/>
        <w:spacing w:before="4"/>
        <w:jc w:val="both"/>
        <w:rPr>
          <w:sz w:val="23"/>
          <w:lang w:val="el-GR"/>
        </w:rPr>
      </w:pPr>
    </w:p>
    <w:p w:rsidR="00A56FAA" w:rsidRPr="005C1C4A" w:rsidRDefault="005C1C4A" w:rsidP="00046B36">
      <w:pPr>
        <w:pStyle w:val="a3"/>
        <w:spacing w:line="244" w:lineRule="auto"/>
        <w:ind w:left="218"/>
        <w:jc w:val="both"/>
        <w:rPr>
          <w:lang w:val="el-GR"/>
        </w:rPr>
      </w:pPr>
      <w:r w:rsidRPr="005C1C4A">
        <w:rPr>
          <w:lang w:val="el-GR"/>
        </w:rPr>
        <w:t>Μία μελέτη 24 εβδομάδων ελεγχόμενη με εικονικό φάρμακο που περιέλαβε 660 ασθενείς σχεδιάστηκε για να αξιολογήσει την αποτελεσματικότητα και την ασφάλεια της σιταγλιπτίνης</w:t>
      </w:r>
    </w:p>
    <w:p w:rsidR="00A56FAA" w:rsidRPr="005C1C4A" w:rsidRDefault="005C1C4A" w:rsidP="00046B36">
      <w:pPr>
        <w:pStyle w:val="a3"/>
        <w:spacing w:before="2" w:line="244" w:lineRule="auto"/>
        <w:ind w:left="218"/>
        <w:jc w:val="both"/>
        <w:rPr>
          <w:lang w:val="el-GR"/>
        </w:rPr>
      </w:pPr>
      <w:r w:rsidRPr="005C1C4A">
        <w:rPr>
          <w:lang w:val="el-GR"/>
        </w:rPr>
        <w:t xml:space="preserve">(100 </w:t>
      </w:r>
      <w:r>
        <w:t>mg</w:t>
      </w:r>
      <w:r w:rsidRPr="005C1C4A">
        <w:rPr>
          <w:lang w:val="el-GR"/>
        </w:rPr>
        <w:t xml:space="preserve"> μία φορά ημερησίως) όσον αφορά στη μεταβολή της δόσης ινσουλίνης, η οποία προστέθηκε στην ινσουλίνη </w:t>
      </w:r>
      <w:r>
        <w:t>glargine</w:t>
      </w:r>
      <w:r w:rsidRPr="005C1C4A">
        <w:rPr>
          <w:lang w:val="el-GR"/>
        </w:rPr>
        <w:t xml:space="preserve"> με ή χωρίς μετφορμίνη (τουλάχιστον 1.500 </w:t>
      </w:r>
      <w:r>
        <w:t>mg</w:t>
      </w:r>
      <w:r w:rsidRPr="005C1C4A">
        <w:rPr>
          <w:lang w:val="el-GR"/>
        </w:rPr>
        <w:t xml:space="preserve">) κατά τη φάση της εντατικοποίησης της θεραπείας ινσουλίνης. Η τιμή της </w:t>
      </w:r>
      <w:r>
        <w:t>HbA</w:t>
      </w:r>
      <w:r w:rsidRPr="005C1C4A">
        <w:rPr>
          <w:vertAlign w:val="subscript"/>
          <w:lang w:val="el-GR"/>
        </w:rPr>
        <w:t>1</w:t>
      </w:r>
      <w:r>
        <w:rPr>
          <w:vertAlign w:val="subscript"/>
        </w:rPr>
        <w:t>c</w:t>
      </w:r>
      <w:r w:rsidRPr="005C1C4A">
        <w:rPr>
          <w:lang w:val="el-GR"/>
        </w:rPr>
        <w:t xml:space="preserve"> κατά την έναρξη ήταν 8,74 % και η δόση της ινσουλίνης κατά την έναρξη ήταν 37 </w:t>
      </w:r>
      <w:r>
        <w:t>IU</w:t>
      </w:r>
      <w:r w:rsidRPr="005C1C4A">
        <w:rPr>
          <w:lang w:val="el-GR"/>
        </w:rPr>
        <w:t xml:space="preserve">/ημέρα. Οι ασθενείς καθοδηγήθηκαν να τιτλοποιήσουν τη δόση της ινσουλίνης </w:t>
      </w:r>
      <w:r>
        <w:t>glargine</w:t>
      </w:r>
      <w:r w:rsidRPr="005C1C4A">
        <w:rPr>
          <w:lang w:val="el-GR"/>
        </w:rPr>
        <w:t xml:space="preserve"> με βάση τις τιμές γλυκόζης νηστείας από μετρήσεις με τρύπημα του δακτύλου. Κατά την Εβδομάδα 24, η αύξηση στην ημερήσια δόση ινσουλίνης ήταν 19 </w:t>
      </w:r>
      <w:r>
        <w:t>IU</w:t>
      </w:r>
      <w:r w:rsidRPr="005C1C4A">
        <w:rPr>
          <w:lang w:val="el-GR"/>
        </w:rPr>
        <w:t xml:space="preserve">/ημέρα σε ασθενείς που έλαβαν θεραπεία με σιταγλιπτίνη και 24 </w:t>
      </w:r>
      <w:r>
        <w:t>IU</w:t>
      </w:r>
      <w:r w:rsidRPr="005C1C4A">
        <w:rPr>
          <w:lang w:val="el-GR"/>
        </w:rPr>
        <w:t xml:space="preserve">/ημέρα σε ασθενείς που έλαβαν θεραπεία με εικονικό φάρμακο. Η μείωση της </w:t>
      </w:r>
      <w:r>
        <w:t>HbA</w:t>
      </w:r>
      <w:r w:rsidRPr="005C1C4A">
        <w:rPr>
          <w:vertAlign w:val="subscript"/>
          <w:lang w:val="el-GR"/>
        </w:rPr>
        <w:t>1</w:t>
      </w:r>
      <w:r>
        <w:rPr>
          <w:vertAlign w:val="subscript"/>
        </w:rPr>
        <w:t>c</w:t>
      </w:r>
      <w:r w:rsidRPr="005C1C4A">
        <w:rPr>
          <w:lang w:val="el-GR"/>
        </w:rPr>
        <w:t xml:space="preserve"> σε ασθενείς που έλαβαν θεραπεία με σιταγλιπτίνη και ινσουλίνη (με ή χωρίς μετφορμίνη) ήταν -1,31 % συγκριτικά με -0,87 % σε ασθενείς που έλαβαν θεραπεία με εικονικό φάρμακο και ινσουλίνη (με ή χωρίς μετφορμίνη), μία διαφορά</w:t>
      </w:r>
      <w:r w:rsidRPr="005C1C4A">
        <w:rPr>
          <w:spacing w:val="11"/>
          <w:lang w:val="el-GR"/>
        </w:rPr>
        <w:t xml:space="preserve"> </w:t>
      </w:r>
      <w:r w:rsidRPr="005C1C4A">
        <w:rPr>
          <w:lang w:val="el-GR"/>
        </w:rPr>
        <w:t>κατά</w:t>
      </w:r>
    </w:p>
    <w:p w:rsidR="00A56FAA" w:rsidRPr="005C1C4A" w:rsidRDefault="005C1C4A" w:rsidP="00046B36">
      <w:pPr>
        <w:pStyle w:val="a3"/>
        <w:spacing w:before="12" w:line="244" w:lineRule="auto"/>
        <w:ind w:left="218"/>
        <w:jc w:val="both"/>
        <w:rPr>
          <w:lang w:val="el-GR"/>
        </w:rPr>
      </w:pPr>
      <w:r w:rsidRPr="005C1C4A">
        <w:rPr>
          <w:lang w:val="el-GR"/>
        </w:rPr>
        <w:t xml:space="preserve">-0,45 % [95 % </w:t>
      </w:r>
      <w:r>
        <w:t>CI</w:t>
      </w:r>
      <w:r w:rsidRPr="005C1C4A">
        <w:rPr>
          <w:lang w:val="el-GR"/>
        </w:rPr>
        <w:t xml:space="preserve">: -0,60, -0,29]. </w:t>
      </w:r>
      <w:r>
        <w:t>H</w:t>
      </w:r>
      <w:r w:rsidRPr="005C1C4A">
        <w:rPr>
          <w:lang w:val="el-GR"/>
        </w:rPr>
        <w:t xml:space="preserve"> συχνότητα εμφάνισης υπογλυκαιμίας ήταν 25,2 % σε ασθενείς που έλαβαν θεραπεία με σιταγλιπτίνη και ινσουλίνη (με ή χωρίς μετφορμίνη) και 36,8 % σε ασθενείς που έλαβαν θεραπεία με εικονικό φάρμακο και ινσουλίνη (με ή χωρίς μετφορμίνη). Η διαφορά οφειλόταν κυρίως σε ένα υψηλότερο ποσοστό ασθενών στην ομάδα του εικονικού φαρμάκου οι οποίοι παρουσίασαν 3 ή περισσότερα επεισόδια υπογλυκαιμίας (9,4 έναντι 19,1 %). Δεν υπήρξε καμία διαφορά στη συχνότητα εμφάνισης σοβαρής υπογλυκαιμίας.</w:t>
      </w:r>
    </w:p>
    <w:p w:rsidR="00A56FAA" w:rsidRPr="005C1C4A" w:rsidRDefault="00A56FAA" w:rsidP="00046B36">
      <w:pPr>
        <w:pStyle w:val="a3"/>
        <w:spacing w:before="1"/>
        <w:jc w:val="both"/>
        <w:rPr>
          <w:sz w:val="23"/>
          <w:lang w:val="el-GR"/>
        </w:rPr>
      </w:pPr>
    </w:p>
    <w:p w:rsidR="00A56FAA" w:rsidRPr="005C1C4A" w:rsidRDefault="005C1C4A" w:rsidP="00046B36">
      <w:pPr>
        <w:pStyle w:val="a3"/>
        <w:spacing w:line="244" w:lineRule="auto"/>
        <w:ind w:left="218"/>
        <w:jc w:val="both"/>
        <w:rPr>
          <w:lang w:val="el-GR"/>
        </w:rPr>
      </w:pPr>
      <w:r w:rsidRPr="005C1C4A">
        <w:rPr>
          <w:lang w:val="el-GR"/>
        </w:rPr>
        <w:t xml:space="preserve">Μία μελέτη σύγκρισης σιταγλιπτίνης των 25 ή 50 </w:t>
      </w:r>
      <w:r>
        <w:t>mg</w:t>
      </w:r>
      <w:r w:rsidRPr="005C1C4A">
        <w:rPr>
          <w:lang w:val="el-GR"/>
        </w:rPr>
        <w:t xml:space="preserve"> μία φορά ημερησίως με γλιπιζίδη των 2,5 έως 20 </w:t>
      </w:r>
      <w:r>
        <w:t>mg</w:t>
      </w:r>
      <w:r w:rsidRPr="005C1C4A">
        <w:rPr>
          <w:lang w:val="el-GR"/>
        </w:rPr>
        <w:t>/ημερησίως διεξήχθη σε ασθενείς με μέτριου έως σοβαρού βαθμού νεφρική δυσλειτουργία.</w:t>
      </w:r>
    </w:p>
    <w:p w:rsidR="00A56FAA" w:rsidRPr="005C1C4A" w:rsidRDefault="005C1C4A" w:rsidP="00046B36">
      <w:pPr>
        <w:pStyle w:val="a3"/>
        <w:spacing w:before="3" w:line="244" w:lineRule="auto"/>
        <w:ind w:left="218"/>
        <w:jc w:val="both"/>
        <w:rPr>
          <w:lang w:val="el-GR"/>
        </w:rPr>
      </w:pPr>
      <w:r w:rsidRPr="005C1C4A">
        <w:rPr>
          <w:lang w:val="el-GR"/>
        </w:rPr>
        <w:t xml:space="preserve">Αυτή η μελέτη συμπεριέλαβε 423 ασθενείς με χρόνια νεφρική δυσλειτουργία (υπολογισθείς ρυθμός σπειραματικής διήθησης &lt; 50 </w:t>
      </w:r>
      <w:r>
        <w:t>ml</w:t>
      </w:r>
      <w:r w:rsidRPr="005C1C4A">
        <w:rPr>
          <w:lang w:val="el-GR"/>
        </w:rPr>
        <w:t>/</w:t>
      </w:r>
      <w:r>
        <w:t>min</w:t>
      </w:r>
      <w:r w:rsidRPr="005C1C4A">
        <w:rPr>
          <w:lang w:val="el-GR"/>
        </w:rPr>
        <w:t xml:space="preserve">). Μετά από 54 εβδομάδες, η μέση μείωση από την αρχική τιμή της </w:t>
      </w:r>
      <w:r>
        <w:t>HbA</w:t>
      </w:r>
      <w:r w:rsidRPr="005C1C4A">
        <w:rPr>
          <w:vertAlign w:val="subscript"/>
          <w:lang w:val="el-GR"/>
        </w:rPr>
        <w:t>1</w:t>
      </w:r>
      <w:r>
        <w:rPr>
          <w:vertAlign w:val="subscript"/>
        </w:rPr>
        <w:t>c</w:t>
      </w:r>
      <w:r w:rsidRPr="005C1C4A">
        <w:rPr>
          <w:lang w:val="el-GR"/>
        </w:rPr>
        <w:t xml:space="preserve"> ήταν -0,76 % με σιταγλιπτίνη και -0,64 % με γλιπιζίδη (Ανάλυση κατά το Πρωτόκολλο). Σ αυτή τη μελέτη, το προφίλ της αποτελεσματικότητας και ασφάλειας της σιταγλιπτίνης των 25</w:t>
      </w:r>
      <w:r w:rsidRPr="005C1C4A">
        <w:rPr>
          <w:spacing w:val="5"/>
          <w:lang w:val="el-GR"/>
        </w:rPr>
        <w:t xml:space="preserve"> </w:t>
      </w:r>
      <w:r w:rsidRPr="005C1C4A">
        <w:rPr>
          <w:lang w:val="el-GR"/>
        </w:rPr>
        <w:t>ή</w:t>
      </w:r>
    </w:p>
    <w:p w:rsidR="00A56FAA" w:rsidRPr="005C1C4A" w:rsidRDefault="005C1C4A" w:rsidP="00046B36">
      <w:pPr>
        <w:pStyle w:val="a3"/>
        <w:spacing w:before="4" w:line="244" w:lineRule="auto"/>
        <w:ind w:left="218"/>
        <w:jc w:val="both"/>
        <w:rPr>
          <w:lang w:val="el-GR"/>
        </w:rPr>
      </w:pPr>
      <w:r w:rsidRPr="005C1C4A">
        <w:rPr>
          <w:lang w:val="el-GR"/>
        </w:rPr>
        <w:t xml:space="preserve">50 </w:t>
      </w:r>
      <w:r>
        <w:t>mg</w:t>
      </w:r>
      <w:r w:rsidRPr="005C1C4A">
        <w:rPr>
          <w:lang w:val="el-GR"/>
        </w:rPr>
        <w:t xml:space="preserve"> μία φορά ημερησίως ήταν γενικά παρόμοιο με αυτό που παρατηρήθηκε σε άλλες μελέτες μονοθεραπείας σε ασθενείς με φυσιολογική νεφρική λειτουργία. Η συχνότητα εμφάνισης της υπογλυκαιμίας στην ομάδα της σιταγλιπτίνης (6,2 %) ήταν σημαντικά μικρότερη από ότι στην ομάδα της γλιπιζίδης (17,0 %). Υπήρξε επίσης μία σημαντική διαφορά μεταξύ των ομάδων σχετικά με τη μεταβολή του σωματικού βάρους από την αρχική τιμή (σιταγλιπτίνη -0,6 </w:t>
      </w:r>
      <w:r>
        <w:t>kg</w:t>
      </w:r>
      <w:r w:rsidRPr="005C1C4A">
        <w:rPr>
          <w:lang w:val="el-GR"/>
        </w:rPr>
        <w:t>, γλιπιζίδη +1,2</w:t>
      </w:r>
      <w:r w:rsidRPr="005C1C4A">
        <w:rPr>
          <w:spacing w:val="1"/>
          <w:lang w:val="el-GR"/>
        </w:rPr>
        <w:t xml:space="preserve"> </w:t>
      </w:r>
      <w:r>
        <w:t>kg</w:t>
      </w:r>
      <w:r w:rsidRPr="005C1C4A">
        <w:rPr>
          <w:lang w:val="el-GR"/>
        </w:rPr>
        <w:t>).</w:t>
      </w:r>
    </w:p>
    <w:p w:rsidR="00A56FAA" w:rsidRPr="005C1C4A" w:rsidRDefault="00A56FAA" w:rsidP="00046B36">
      <w:pPr>
        <w:pStyle w:val="a3"/>
        <w:spacing w:before="1"/>
        <w:jc w:val="both"/>
        <w:rPr>
          <w:sz w:val="23"/>
          <w:lang w:val="el-GR"/>
        </w:rPr>
      </w:pPr>
    </w:p>
    <w:p w:rsidR="00A56FAA" w:rsidRPr="005C1C4A" w:rsidRDefault="005C1C4A" w:rsidP="00046B36">
      <w:pPr>
        <w:pStyle w:val="a3"/>
        <w:spacing w:line="244" w:lineRule="auto"/>
        <w:ind w:left="218"/>
        <w:jc w:val="both"/>
        <w:rPr>
          <w:lang w:val="el-GR"/>
        </w:rPr>
      </w:pPr>
      <w:r w:rsidRPr="005C1C4A">
        <w:rPr>
          <w:lang w:val="el-GR"/>
        </w:rPr>
        <w:t xml:space="preserve">Μία άλλη μελέτη σύγκρισης σιταγλιπτίνης των 25 </w:t>
      </w:r>
      <w:r>
        <w:t>mg</w:t>
      </w:r>
      <w:r w:rsidRPr="005C1C4A">
        <w:rPr>
          <w:lang w:val="el-GR"/>
        </w:rPr>
        <w:t xml:space="preserve"> μία φορά ημερησίως με γλιπιζίδη των 2,5 έως 20 </w:t>
      </w:r>
      <w:r>
        <w:t>mg</w:t>
      </w:r>
      <w:r w:rsidRPr="005C1C4A">
        <w:rPr>
          <w:lang w:val="el-GR"/>
        </w:rPr>
        <w:t>/ημερησίως διεξήχθη σε 129 ασθενείς με ΝΝΤΣ οι οποίοι υποβάλλονταν σε αιμοκάθαρση.</w:t>
      </w:r>
    </w:p>
    <w:p w:rsidR="00A56FAA" w:rsidRPr="005C1C4A" w:rsidRDefault="005C1C4A" w:rsidP="00046B36">
      <w:pPr>
        <w:pStyle w:val="a3"/>
        <w:spacing w:before="2" w:line="244" w:lineRule="auto"/>
        <w:ind w:left="218"/>
        <w:jc w:val="both"/>
        <w:rPr>
          <w:lang w:val="el-GR"/>
        </w:rPr>
      </w:pPr>
      <w:r w:rsidRPr="005C1C4A">
        <w:rPr>
          <w:lang w:val="el-GR"/>
        </w:rPr>
        <w:t xml:space="preserve">Μετά από 54 εβδομάδες, η μέση μείωση από την αρχική τιμή της </w:t>
      </w:r>
      <w:r>
        <w:t>HbA</w:t>
      </w:r>
      <w:r w:rsidRPr="005C1C4A">
        <w:rPr>
          <w:vertAlign w:val="subscript"/>
          <w:lang w:val="el-GR"/>
        </w:rPr>
        <w:t>1</w:t>
      </w:r>
      <w:r>
        <w:rPr>
          <w:vertAlign w:val="subscript"/>
        </w:rPr>
        <w:t>c</w:t>
      </w:r>
      <w:r w:rsidRPr="005C1C4A">
        <w:rPr>
          <w:lang w:val="el-GR"/>
        </w:rPr>
        <w:t xml:space="preserve"> ήταν -0,72 % με σιταγλιπτίνη και -0,87 % με γλιπιζίδη. Σ' αυτή τη μελέτη, το προφίλ της αποτελεσματικότητας και ασφάλειας της σιταγλιπτίνης των 25 </w:t>
      </w:r>
      <w:r>
        <w:t>mg</w:t>
      </w:r>
      <w:r w:rsidRPr="005C1C4A">
        <w:rPr>
          <w:lang w:val="el-GR"/>
        </w:rPr>
        <w:t xml:space="preserve"> μία φορά ημερησίως ήταν γενικά παρόμοιο με αυτό που παρατηρήθηκε σε άλλες μελέτες μονοθεραπείας σε ασθενείς με φυσιολογική νεφρική λειτουργία. Η συχνότητα εμφάνισης της υπογλυκαιμίας δεν ήταν σημαντικά διαφορετική μεταξύ των ομάδων θεραπείας (σιταγλιπτίνη, 6,3 %, γλιπιζίδη, 10,8 %).</w:t>
      </w:r>
    </w:p>
    <w:p w:rsidR="00A56FAA" w:rsidRPr="005C1C4A" w:rsidRDefault="00A56FAA" w:rsidP="00046B36">
      <w:pPr>
        <w:pStyle w:val="a3"/>
        <w:spacing w:before="2"/>
        <w:jc w:val="both"/>
        <w:rPr>
          <w:sz w:val="23"/>
          <w:lang w:val="el-GR"/>
        </w:rPr>
      </w:pPr>
    </w:p>
    <w:p w:rsidR="00A56FAA" w:rsidRPr="005C1C4A" w:rsidRDefault="005C1C4A" w:rsidP="00046B36">
      <w:pPr>
        <w:pStyle w:val="a3"/>
        <w:spacing w:line="244" w:lineRule="auto"/>
        <w:ind w:left="218"/>
        <w:jc w:val="both"/>
        <w:rPr>
          <w:lang w:val="el-GR"/>
        </w:rPr>
      </w:pPr>
      <w:r w:rsidRPr="005C1C4A">
        <w:rPr>
          <w:lang w:val="el-GR"/>
        </w:rPr>
        <w:t xml:space="preserve">Σε μία άλλη μελέτη που συμπεριέλαβε 91 ασθενείς με διαβήτη τύπου 2 και χρόνια νεφρική δυσλειτουργία (κάθαρση κρεατινίνης &lt; 50 </w:t>
      </w:r>
      <w:r>
        <w:t>ml</w:t>
      </w:r>
      <w:r w:rsidRPr="005C1C4A">
        <w:rPr>
          <w:lang w:val="el-GR"/>
        </w:rPr>
        <w:t>/</w:t>
      </w:r>
      <w:r>
        <w:t>min</w:t>
      </w:r>
      <w:r w:rsidRPr="005C1C4A">
        <w:rPr>
          <w:lang w:val="el-GR"/>
        </w:rPr>
        <w:t xml:space="preserve">), η ασφάλεια και ανοχή της θεραπείας με σιταγλιπτίνη των 25 ή 50 </w:t>
      </w:r>
      <w:r>
        <w:t>mg</w:t>
      </w:r>
      <w:r w:rsidRPr="005C1C4A">
        <w:rPr>
          <w:lang w:val="el-GR"/>
        </w:rPr>
        <w:t xml:space="preserve"> μία φορά ημερησίως ήταν γενικά παρόμοια με αυτή του εικονικού φαρμάκου. Επιπλέον, μετά από 12 εβδομάδες, οι μέσες μειώσεις της </w:t>
      </w:r>
      <w:r>
        <w:t>HbA</w:t>
      </w:r>
      <w:r w:rsidRPr="005C1C4A">
        <w:rPr>
          <w:vertAlign w:val="subscript"/>
          <w:lang w:val="el-GR"/>
        </w:rPr>
        <w:t>1</w:t>
      </w:r>
      <w:r>
        <w:rPr>
          <w:vertAlign w:val="subscript"/>
        </w:rPr>
        <w:t>c</w:t>
      </w:r>
      <w:r w:rsidRPr="005C1C4A">
        <w:rPr>
          <w:lang w:val="el-GR"/>
        </w:rPr>
        <w:t xml:space="preserve"> (σιταγλιπτίνη -0,59 % , εικονικό φάρμακο -0,18 %) και </w:t>
      </w:r>
      <w:r>
        <w:t>FPG</w:t>
      </w:r>
      <w:r w:rsidRPr="005C1C4A">
        <w:rPr>
          <w:lang w:val="el-GR"/>
        </w:rPr>
        <w:t xml:space="preserve"> (σιταγλιπτίνη -25,5 </w:t>
      </w:r>
      <w:r>
        <w:t>mg</w:t>
      </w:r>
      <w:r w:rsidRPr="005C1C4A">
        <w:rPr>
          <w:lang w:val="el-GR"/>
        </w:rPr>
        <w:t>/</w:t>
      </w:r>
      <w:r>
        <w:t>dL</w:t>
      </w:r>
      <w:r w:rsidRPr="005C1C4A">
        <w:rPr>
          <w:lang w:val="el-GR"/>
        </w:rPr>
        <w:t xml:space="preserve">, εικονικό φάρμακο -3,0 </w:t>
      </w:r>
      <w:r>
        <w:t>mg</w:t>
      </w:r>
      <w:r w:rsidRPr="005C1C4A">
        <w:rPr>
          <w:lang w:val="el-GR"/>
        </w:rPr>
        <w:t>/</w:t>
      </w:r>
      <w:r>
        <w:t>dL</w:t>
      </w:r>
      <w:r w:rsidRPr="005C1C4A">
        <w:rPr>
          <w:lang w:val="el-GR"/>
        </w:rPr>
        <w:t>) ήταν</w:t>
      </w:r>
    </w:p>
    <w:p w:rsidR="00A56FAA" w:rsidRPr="005C1C4A" w:rsidRDefault="00A56FAA" w:rsidP="00046B36">
      <w:pPr>
        <w:spacing w:line="244" w:lineRule="auto"/>
        <w:jc w:val="both"/>
        <w:rPr>
          <w:lang w:val="el-GR"/>
        </w:rPr>
        <w:sectPr w:rsidR="00A56FAA" w:rsidRPr="005C1C4A">
          <w:pgSz w:w="11910" w:h="16840"/>
          <w:pgMar w:top="1040" w:right="1180" w:bottom="900" w:left="1200" w:header="0" w:footer="714" w:gutter="0"/>
          <w:cols w:space="720"/>
        </w:sectPr>
      </w:pPr>
    </w:p>
    <w:p w:rsidR="00A56FAA" w:rsidRPr="005C1C4A" w:rsidRDefault="005C1C4A" w:rsidP="00046B36">
      <w:pPr>
        <w:pStyle w:val="a3"/>
        <w:spacing w:before="80" w:line="244" w:lineRule="auto"/>
        <w:ind w:left="218"/>
        <w:jc w:val="both"/>
        <w:rPr>
          <w:lang w:val="el-GR"/>
        </w:rPr>
      </w:pPr>
      <w:r w:rsidRPr="005C1C4A">
        <w:rPr>
          <w:lang w:val="el-GR"/>
        </w:rPr>
        <w:lastRenderedPageBreak/>
        <w:t>γενικά παρόμοιες με αυτές που παρατηρήθηκαν σε άλλες μελέτες μονοθεραπείας σε ασθενείς με φυσιολογική νεφρική λειτουργία (βλ. παράγραφο 5.2).</w:t>
      </w:r>
    </w:p>
    <w:p w:rsidR="00A56FAA" w:rsidRPr="005C1C4A" w:rsidRDefault="00A56FAA" w:rsidP="00046B36">
      <w:pPr>
        <w:pStyle w:val="a3"/>
        <w:spacing w:before="8"/>
        <w:jc w:val="both"/>
        <w:rPr>
          <w:lang w:val="el-GR"/>
        </w:rPr>
      </w:pPr>
    </w:p>
    <w:p w:rsidR="00A56FAA" w:rsidRPr="005C1C4A" w:rsidRDefault="005C1C4A" w:rsidP="00046B36">
      <w:pPr>
        <w:pStyle w:val="a3"/>
        <w:spacing w:line="244" w:lineRule="auto"/>
        <w:ind w:left="218"/>
        <w:jc w:val="both"/>
        <w:rPr>
          <w:lang w:val="el-GR"/>
        </w:rPr>
      </w:pPr>
      <w:r w:rsidRPr="005C1C4A">
        <w:rPr>
          <w:lang w:val="el-GR"/>
        </w:rPr>
        <w:t xml:space="preserve">Η </w:t>
      </w:r>
      <w:r>
        <w:t>TECOS</w:t>
      </w:r>
      <w:r w:rsidRPr="005C1C4A">
        <w:rPr>
          <w:lang w:val="el-GR"/>
        </w:rPr>
        <w:t xml:space="preserve"> ήταν μια τυχαιοποιημένη μελέτη σε 14.671 ασθενείς στον πληθυσμό με πρόθεση θεραπείας με </w:t>
      </w:r>
      <w:r>
        <w:t>HbA</w:t>
      </w:r>
      <w:r w:rsidRPr="005C1C4A">
        <w:rPr>
          <w:vertAlign w:val="subscript"/>
          <w:lang w:val="el-GR"/>
        </w:rPr>
        <w:t>1</w:t>
      </w:r>
      <w:r>
        <w:rPr>
          <w:vertAlign w:val="subscript"/>
        </w:rPr>
        <w:t>c</w:t>
      </w:r>
      <w:r w:rsidRPr="005C1C4A">
        <w:rPr>
          <w:lang w:val="el-GR"/>
        </w:rPr>
        <w:t xml:space="preserve"> ≥ 6,5 έως 8,0 % και με εγκατεστημένη καρδιαγγειακή νόσο, που έλαβαν σιταγλιπτίνη (7.332) 100 </w:t>
      </w:r>
      <w:r>
        <w:t>mg</w:t>
      </w:r>
      <w:r w:rsidRPr="005C1C4A">
        <w:rPr>
          <w:lang w:val="el-GR"/>
        </w:rPr>
        <w:t xml:space="preserve"> ημερησίως (ή 50 </w:t>
      </w:r>
      <w:r>
        <w:t>mg</w:t>
      </w:r>
      <w:r w:rsidRPr="005C1C4A">
        <w:rPr>
          <w:lang w:val="el-GR"/>
        </w:rPr>
        <w:t xml:space="preserve"> ημερησίως εάν η αρχική </w:t>
      </w:r>
      <w:r>
        <w:t>eGFR</w:t>
      </w:r>
      <w:r w:rsidRPr="005C1C4A">
        <w:rPr>
          <w:lang w:val="el-GR"/>
        </w:rPr>
        <w:t xml:space="preserve"> ήταν ≥ 30</w:t>
      </w:r>
      <w:r w:rsidRPr="005C1C4A">
        <w:rPr>
          <w:spacing w:val="-1"/>
          <w:lang w:val="el-GR"/>
        </w:rPr>
        <w:t xml:space="preserve"> </w:t>
      </w:r>
      <w:r w:rsidRPr="005C1C4A">
        <w:rPr>
          <w:lang w:val="el-GR"/>
        </w:rPr>
        <w:t>και</w:t>
      </w:r>
    </w:p>
    <w:p w:rsidR="00A56FAA" w:rsidRPr="005C1C4A" w:rsidRDefault="005C1C4A" w:rsidP="00046B36">
      <w:pPr>
        <w:pStyle w:val="a3"/>
        <w:spacing w:before="4" w:line="244" w:lineRule="auto"/>
        <w:ind w:left="218"/>
        <w:jc w:val="both"/>
        <w:rPr>
          <w:lang w:val="el-GR"/>
        </w:rPr>
      </w:pPr>
      <w:r w:rsidRPr="005C1C4A">
        <w:rPr>
          <w:lang w:val="el-GR"/>
        </w:rPr>
        <w:t xml:space="preserve">&lt; 50 </w:t>
      </w:r>
      <w:r>
        <w:t>ml</w:t>
      </w:r>
      <w:r w:rsidRPr="005C1C4A">
        <w:rPr>
          <w:lang w:val="el-GR"/>
        </w:rPr>
        <w:t xml:space="preserve">/λεπτό/1,73 </w:t>
      </w:r>
      <w:r>
        <w:t>m</w:t>
      </w:r>
      <w:r w:rsidRPr="005C1C4A">
        <w:rPr>
          <w:vertAlign w:val="superscript"/>
          <w:lang w:val="el-GR"/>
        </w:rPr>
        <w:t>2</w:t>
      </w:r>
      <w:r w:rsidRPr="005C1C4A">
        <w:rPr>
          <w:lang w:val="el-GR"/>
        </w:rPr>
        <w:t>) ή εικονικό φάρμακο (7.339), τα οποία προστέθηκαν στη συνήθη αγωγή με στόχο την επιτευξη των τοπικών θεραπευτικών προτύπων γλυκοζιλιωμένης αιμοσφαιρίνης (</w:t>
      </w:r>
      <w:r>
        <w:t>HbA</w:t>
      </w:r>
      <w:r w:rsidRPr="005C1C4A">
        <w:rPr>
          <w:vertAlign w:val="subscript"/>
          <w:lang w:val="el-GR"/>
        </w:rPr>
        <w:t>1</w:t>
      </w:r>
      <w:r>
        <w:rPr>
          <w:vertAlign w:val="subscript"/>
        </w:rPr>
        <w:t>c</w:t>
      </w:r>
      <w:r w:rsidRPr="005C1C4A">
        <w:rPr>
          <w:lang w:val="el-GR"/>
        </w:rPr>
        <w:t xml:space="preserve">) και τους καρδιαγγειακούς παράγοντες κινδύνου. Ασθενείς με </w:t>
      </w:r>
      <w:r>
        <w:t>eGFR</w:t>
      </w:r>
      <w:r w:rsidRPr="005C1C4A">
        <w:rPr>
          <w:lang w:val="el-GR"/>
        </w:rPr>
        <w:t xml:space="preserve"> &lt; 30 </w:t>
      </w:r>
      <w:r>
        <w:t>ml</w:t>
      </w:r>
      <w:r w:rsidRPr="005C1C4A">
        <w:rPr>
          <w:lang w:val="el-GR"/>
        </w:rPr>
        <w:t xml:space="preserve">/λεπτό/1,73 </w:t>
      </w:r>
      <w:r>
        <w:t>m</w:t>
      </w:r>
      <w:r w:rsidRPr="005C1C4A">
        <w:rPr>
          <w:vertAlign w:val="superscript"/>
          <w:lang w:val="el-GR"/>
        </w:rPr>
        <w:t>2</w:t>
      </w:r>
      <w:r w:rsidRPr="005C1C4A">
        <w:rPr>
          <w:lang w:val="el-GR"/>
        </w:rPr>
        <w:t>δεν εντάχθηκαν στη μελέτη. Ο πληθυσμός της μελέτης περιελάμβανε 2.004 ασθενείς ≥ 75 ετών</w:t>
      </w:r>
      <w:r w:rsidRPr="005C1C4A">
        <w:rPr>
          <w:spacing w:val="10"/>
          <w:lang w:val="el-GR"/>
        </w:rPr>
        <w:t xml:space="preserve"> </w:t>
      </w:r>
      <w:r w:rsidRPr="005C1C4A">
        <w:rPr>
          <w:lang w:val="el-GR"/>
        </w:rPr>
        <w:t>και</w:t>
      </w:r>
    </w:p>
    <w:p w:rsidR="00A56FAA" w:rsidRPr="005C1C4A" w:rsidRDefault="005C1C4A" w:rsidP="00046B36">
      <w:pPr>
        <w:pStyle w:val="a3"/>
        <w:spacing w:before="5"/>
        <w:ind w:left="218"/>
        <w:jc w:val="both"/>
        <w:rPr>
          <w:lang w:val="el-GR"/>
        </w:rPr>
      </w:pPr>
      <w:r w:rsidRPr="005C1C4A">
        <w:rPr>
          <w:lang w:val="el-GR"/>
        </w:rPr>
        <w:t>3.324 ασθενείς με νεφρική δυσλειτουργία (</w:t>
      </w:r>
      <w:r>
        <w:t>eGFR</w:t>
      </w:r>
      <w:r w:rsidRPr="005C1C4A">
        <w:rPr>
          <w:lang w:val="el-GR"/>
        </w:rPr>
        <w:t xml:space="preserve"> &lt; 60 </w:t>
      </w:r>
      <w:r>
        <w:t>ml</w:t>
      </w:r>
      <w:r w:rsidRPr="005C1C4A">
        <w:rPr>
          <w:lang w:val="el-GR"/>
        </w:rPr>
        <w:t xml:space="preserve">/λεπτό/1,73 </w:t>
      </w:r>
      <w:r>
        <w:t>m</w:t>
      </w:r>
      <w:r w:rsidRPr="005C1C4A">
        <w:rPr>
          <w:vertAlign w:val="superscript"/>
          <w:lang w:val="el-GR"/>
        </w:rPr>
        <w:t>2</w:t>
      </w:r>
      <w:r w:rsidRPr="005C1C4A">
        <w:rPr>
          <w:lang w:val="el-GR"/>
        </w:rPr>
        <w:t>).</w:t>
      </w:r>
    </w:p>
    <w:p w:rsidR="00A56FAA" w:rsidRPr="005C1C4A" w:rsidRDefault="00A56FAA" w:rsidP="00046B36">
      <w:pPr>
        <w:pStyle w:val="a3"/>
        <w:jc w:val="both"/>
        <w:rPr>
          <w:sz w:val="23"/>
          <w:lang w:val="el-GR"/>
        </w:rPr>
      </w:pPr>
    </w:p>
    <w:p w:rsidR="00A56FAA" w:rsidRPr="005C1C4A" w:rsidRDefault="005C1C4A" w:rsidP="00046B36">
      <w:pPr>
        <w:pStyle w:val="a3"/>
        <w:spacing w:before="1" w:line="244" w:lineRule="auto"/>
        <w:ind w:left="218"/>
        <w:jc w:val="both"/>
        <w:rPr>
          <w:lang w:val="el-GR"/>
        </w:rPr>
      </w:pPr>
      <w:r w:rsidRPr="005C1C4A">
        <w:rPr>
          <w:lang w:val="el-GR"/>
        </w:rPr>
        <w:t>Κατά τη διάρκεια της μελέτης, η συνολική εκτιμώμενη μέση (</w:t>
      </w:r>
      <w:r>
        <w:t>SD</w:t>
      </w:r>
      <w:r w:rsidRPr="005C1C4A">
        <w:rPr>
          <w:lang w:val="el-GR"/>
        </w:rPr>
        <w:t xml:space="preserve">) διαφορά στην </w:t>
      </w:r>
      <w:r>
        <w:t>HbA</w:t>
      </w:r>
      <w:r w:rsidRPr="005C1C4A">
        <w:rPr>
          <w:vertAlign w:val="subscript"/>
          <w:lang w:val="el-GR"/>
        </w:rPr>
        <w:t>1</w:t>
      </w:r>
      <w:r>
        <w:rPr>
          <w:vertAlign w:val="subscript"/>
        </w:rPr>
        <w:t>c</w:t>
      </w:r>
      <w:r w:rsidRPr="005C1C4A">
        <w:rPr>
          <w:lang w:val="el-GR"/>
        </w:rPr>
        <w:t xml:space="preserve"> μεταξύ της ομάδας της σιταγλιπτίνης και του εικονικού φαρμάκου ήταν 0,29 % (0,01), 95 % </w:t>
      </w:r>
      <w:r>
        <w:t>CI</w:t>
      </w:r>
      <w:r w:rsidRPr="005C1C4A">
        <w:rPr>
          <w:lang w:val="el-GR"/>
        </w:rPr>
        <w:t xml:space="preserve"> (-0,32, -0,27), </w:t>
      </w:r>
      <w:r>
        <w:t>p</w:t>
      </w:r>
      <w:r w:rsidRPr="005C1C4A">
        <w:rPr>
          <w:lang w:val="el-GR"/>
        </w:rPr>
        <w:t xml:space="preserve"> &lt; 0,001. Το πρωτεύον καρδιαγγειακό καταληκτικό σημείο ήταν σύνθεση της πρώτης εμφάνισης</w:t>
      </w:r>
    </w:p>
    <w:p w:rsidR="00A56FAA" w:rsidRPr="005C1C4A" w:rsidRDefault="005C1C4A" w:rsidP="00046B36">
      <w:pPr>
        <w:pStyle w:val="a3"/>
        <w:spacing w:before="3" w:line="244" w:lineRule="auto"/>
        <w:ind w:left="218"/>
        <w:jc w:val="both"/>
        <w:rPr>
          <w:lang w:val="el-GR"/>
        </w:rPr>
      </w:pPr>
      <w:r w:rsidRPr="005C1C4A">
        <w:rPr>
          <w:lang w:val="el-GR"/>
        </w:rPr>
        <w:t>θανάτου από καρδιαγγειακή νόσο, μη θανατηφόρου εμφράγματος του μυοκαρδίου, μη θανατηφόρου αγγειακού εγκεφαλικού επεισοδίου ή νοσηλείας για ασταθή στηθάγχη. Τα δευτερεύοντα καρδιαγγειακά καταληκτικά σημεία περιλάμβαναν την πρώτη εμφάνιση θανάτου από καρδιαγγειακή νόσο, μη θανατηφόρου εμφράγματος του μυοκαρδίου ή μη θανατηφόρου αγγειακού εγκεφαλικού επεισοδίου, την πρώτη εμφάνιση των μεμονωμένων συνιστωσών του πρωτεύοντος σύνθετου καταληκτικού σημείου, τη θνησιμότητα από οποιοδήποτε αίτιο και τις εισαγωγές σε νοσοκομείο για συμφορητική καρδιακή ανεπάρκεια.</w:t>
      </w:r>
    </w:p>
    <w:p w:rsidR="00A56FAA" w:rsidRPr="005C1C4A" w:rsidRDefault="00A56FAA" w:rsidP="00046B36">
      <w:pPr>
        <w:pStyle w:val="a3"/>
        <w:spacing w:before="3"/>
        <w:jc w:val="both"/>
        <w:rPr>
          <w:sz w:val="23"/>
          <w:lang w:val="el-GR"/>
        </w:rPr>
      </w:pPr>
    </w:p>
    <w:p w:rsidR="00A56FAA" w:rsidRPr="005C1C4A" w:rsidRDefault="005C1C4A" w:rsidP="00046B36">
      <w:pPr>
        <w:pStyle w:val="a3"/>
        <w:spacing w:line="244" w:lineRule="auto"/>
        <w:ind w:left="218"/>
        <w:jc w:val="both"/>
        <w:rPr>
          <w:lang w:val="el-GR"/>
        </w:rPr>
      </w:pPr>
      <w:r w:rsidRPr="005C1C4A">
        <w:rPr>
          <w:lang w:val="el-GR"/>
        </w:rPr>
        <w:t>Έπειτα από μια διάμεση παρακολούθηση 3 ετών, η σιταγλιπτίνη, όταν προστέθηκε στη συνήθη θεραπεία, δεν αύξησε τον κίνδυνο μείζονων καρδιαγγειακών ανεπιθύμητων ενεργειών ή τον κίνδυνο νοσηλείας για καρδιακή ανεπάρκεια, σε σύγκριση με τη συνήθη θεραπεία χωρίς τη σιταγλιπτίνη, σε ασθενείς με σακχαρώδη διαβήτη τύπου 2 (Πίνακας 3).</w:t>
      </w:r>
    </w:p>
    <w:p w:rsidR="00A56FAA" w:rsidRPr="005C1C4A" w:rsidRDefault="00A56FAA" w:rsidP="00046B36">
      <w:pPr>
        <w:pStyle w:val="a3"/>
        <w:spacing w:before="4"/>
        <w:jc w:val="both"/>
        <w:rPr>
          <w:sz w:val="23"/>
          <w:lang w:val="el-GR"/>
        </w:rPr>
      </w:pPr>
    </w:p>
    <w:p w:rsidR="00A56FAA" w:rsidRPr="005C1C4A" w:rsidRDefault="005C1C4A" w:rsidP="00046B36">
      <w:pPr>
        <w:pStyle w:val="1"/>
        <w:spacing w:line="244" w:lineRule="auto"/>
        <w:jc w:val="both"/>
        <w:rPr>
          <w:lang w:val="el-GR"/>
        </w:rPr>
      </w:pPr>
      <w:r w:rsidRPr="005C1C4A">
        <w:rPr>
          <w:lang w:val="el-GR"/>
        </w:rPr>
        <w:t>Πίνακας 3. Συχνότητες Σύνθετων Καρδιαγγειακών Αποτελεσμάτων και Βασικών Δευτερευόντων Αποτελεσμάτων</w:t>
      </w:r>
    </w:p>
    <w:p w:rsidR="00A56FAA" w:rsidRPr="005C1C4A" w:rsidRDefault="00A56FAA" w:rsidP="00046B36">
      <w:pPr>
        <w:pStyle w:val="a3"/>
        <w:spacing w:before="3"/>
        <w:jc w:val="both"/>
        <w:rPr>
          <w:b/>
          <w:lang w:val="el-GR"/>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2"/>
        <w:gridCol w:w="996"/>
        <w:gridCol w:w="953"/>
        <w:gridCol w:w="977"/>
        <w:gridCol w:w="982"/>
        <w:gridCol w:w="1498"/>
        <w:gridCol w:w="881"/>
      </w:tblGrid>
      <w:tr w:rsidR="00A56FAA">
        <w:trPr>
          <w:trHeight w:val="210"/>
        </w:trPr>
        <w:tc>
          <w:tcPr>
            <w:tcW w:w="3002" w:type="dxa"/>
            <w:vMerge w:val="restart"/>
          </w:tcPr>
          <w:p w:rsidR="00A56FAA" w:rsidRPr="005C1C4A" w:rsidRDefault="00A56FAA" w:rsidP="00046B36">
            <w:pPr>
              <w:pStyle w:val="TableParagraph"/>
              <w:jc w:val="both"/>
              <w:rPr>
                <w:sz w:val="20"/>
                <w:lang w:val="el-GR"/>
              </w:rPr>
            </w:pPr>
          </w:p>
        </w:tc>
        <w:tc>
          <w:tcPr>
            <w:tcW w:w="1949" w:type="dxa"/>
            <w:gridSpan w:val="2"/>
          </w:tcPr>
          <w:p w:rsidR="00A56FAA" w:rsidRDefault="005C1C4A" w:rsidP="00046B36">
            <w:pPr>
              <w:pStyle w:val="TableParagraph"/>
              <w:spacing w:before="4" w:line="186" w:lineRule="exact"/>
              <w:ind w:left="168"/>
              <w:jc w:val="both"/>
              <w:rPr>
                <w:b/>
                <w:sz w:val="18"/>
              </w:rPr>
            </w:pPr>
            <w:r>
              <w:rPr>
                <w:b/>
                <w:sz w:val="18"/>
              </w:rPr>
              <w:t>Σιταγλιπτίνη 100 mg</w:t>
            </w:r>
          </w:p>
        </w:tc>
        <w:tc>
          <w:tcPr>
            <w:tcW w:w="1959" w:type="dxa"/>
            <w:gridSpan w:val="2"/>
          </w:tcPr>
          <w:p w:rsidR="00A56FAA" w:rsidRDefault="005C1C4A" w:rsidP="00046B36">
            <w:pPr>
              <w:pStyle w:val="TableParagraph"/>
              <w:spacing w:before="4" w:line="186" w:lineRule="exact"/>
              <w:ind w:left="261"/>
              <w:jc w:val="both"/>
              <w:rPr>
                <w:b/>
                <w:sz w:val="18"/>
              </w:rPr>
            </w:pPr>
            <w:r>
              <w:rPr>
                <w:b/>
                <w:sz w:val="18"/>
              </w:rPr>
              <w:t>Εικονικό φάρμακο</w:t>
            </w:r>
          </w:p>
        </w:tc>
        <w:tc>
          <w:tcPr>
            <w:tcW w:w="1498" w:type="dxa"/>
            <w:vMerge w:val="restart"/>
          </w:tcPr>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spacing w:before="2"/>
              <w:jc w:val="both"/>
              <w:rPr>
                <w:b/>
                <w:sz w:val="28"/>
              </w:rPr>
            </w:pPr>
          </w:p>
          <w:p w:rsidR="00A56FAA" w:rsidRDefault="005C1C4A" w:rsidP="00046B36">
            <w:pPr>
              <w:pStyle w:val="TableParagraph"/>
              <w:spacing w:before="1" w:line="244" w:lineRule="auto"/>
              <w:ind w:left="164" w:firstLine="218"/>
              <w:jc w:val="both"/>
              <w:rPr>
                <w:b/>
                <w:sz w:val="18"/>
              </w:rPr>
            </w:pPr>
            <w:r>
              <w:rPr>
                <w:b/>
                <w:sz w:val="18"/>
              </w:rPr>
              <w:t>Αναλογία Κινδύνου (ΗR)</w:t>
            </w:r>
          </w:p>
          <w:p w:rsidR="00A56FAA" w:rsidRDefault="005C1C4A" w:rsidP="00046B36">
            <w:pPr>
              <w:pStyle w:val="TableParagraph"/>
              <w:spacing w:before="41" w:line="186" w:lineRule="exact"/>
              <w:ind w:left="385"/>
              <w:jc w:val="both"/>
              <w:rPr>
                <w:b/>
                <w:sz w:val="18"/>
              </w:rPr>
            </w:pPr>
            <w:r>
              <w:rPr>
                <w:b/>
                <w:sz w:val="18"/>
              </w:rPr>
              <w:t>(95% CI)</w:t>
            </w:r>
          </w:p>
        </w:tc>
        <w:tc>
          <w:tcPr>
            <w:tcW w:w="881" w:type="dxa"/>
            <w:vMerge w:val="restart"/>
          </w:tcPr>
          <w:p w:rsidR="00A56FAA" w:rsidRDefault="00A56FAA" w:rsidP="00046B36">
            <w:pPr>
              <w:pStyle w:val="TableParagraph"/>
              <w:jc w:val="both"/>
              <w:rPr>
                <w:b/>
              </w:rPr>
            </w:pPr>
          </w:p>
          <w:p w:rsidR="00A56FAA" w:rsidRDefault="00A56FAA" w:rsidP="00046B36">
            <w:pPr>
              <w:pStyle w:val="TableParagraph"/>
              <w:jc w:val="both"/>
              <w:rPr>
                <w:b/>
              </w:rPr>
            </w:pPr>
          </w:p>
          <w:p w:rsidR="00A56FAA" w:rsidRDefault="00A56FAA" w:rsidP="00046B36">
            <w:pPr>
              <w:pStyle w:val="TableParagraph"/>
              <w:jc w:val="both"/>
              <w:rPr>
                <w:b/>
              </w:rPr>
            </w:pPr>
          </w:p>
          <w:p w:rsidR="00A56FAA" w:rsidRDefault="00A56FAA" w:rsidP="00046B36">
            <w:pPr>
              <w:pStyle w:val="TableParagraph"/>
              <w:jc w:val="both"/>
              <w:rPr>
                <w:b/>
              </w:rPr>
            </w:pPr>
          </w:p>
          <w:p w:rsidR="00A56FAA" w:rsidRDefault="00A56FAA" w:rsidP="00046B36">
            <w:pPr>
              <w:pStyle w:val="TableParagraph"/>
              <w:jc w:val="both"/>
              <w:rPr>
                <w:b/>
              </w:rPr>
            </w:pPr>
          </w:p>
          <w:p w:rsidR="00A56FAA" w:rsidRDefault="00A56FAA" w:rsidP="00046B36">
            <w:pPr>
              <w:pStyle w:val="TableParagraph"/>
              <w:spacing w:before="1"/>
              <w:jc w:val="both"/>
              <w:rPr>
                <w:b/>
                <w:sz w:val="18"/>
              </w:rPr>
            </w:pPr>
          </w:p>
          <w:p w:rsidR="00A56FAA" w:rsidRDefault="005C1C4A" w:rsidP="00046B36">
            <w:pPr>
              <w:pStyle w:val="TableParagraph"/>
              <w:spacing w:line="191" w:lineRule="exact"/>
              <w:ind w:left="145"/>
              <w:jc w:val="both"/>
              <w:rPr>
                <w:sz w:val="18"/>
              </w:rPr>
            </w:pPr>
            <w:r>
              <w:rPr>
                <w:b/>
                <w:sz w:val="18"/>
              </w:rPr>
              <w:t>Τιμή p</w:t>
            </w:r>
            <w:r>
              <w:rPr>
                <w:sz w:val="18"/>
                <w:vertAlign w:val="superscript"/>
              </w:rPr>
              <w:t>†</w:t>
            </w:r>
          </w:p>
        </w:tc>
      </w:tr>
      <w:tr w:rsidR="00A56FAA" w:rsidRPr="00EC7912">
        <w:trPr>
          <w:trHeight w:val="1458"/>
        </w:trPr>
        <w:tc>
          <w:tcPr>
            <w:tcW w:w="3002" w:type="dxa"/>
            <w:vMerge/>
            <w:tcBorders>
              <w:top w:val="nil"/>
            </w:tcBorders>
          </w:tcPr>
          <w:p w:rsidR="00A56FAA" w:rsidRDefault="00A56FAA" w:rsidP="00046B36">
            <w:pPr>
              <w:jc w:val="both"/>
              <w:rPr>
                <w:sz w:val="2"/>
                <w:szCs w:val="2"/>
              </w:rPr>
            </w:pPr>
          </w:p>
        </w:tc>
        <w:tc>
          <w:tcPr>
            <w:tcW w:w="996" w:type="dxa"/>
          </w:tcPr>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spacing w:before="10"/>
              <w:jc w:val="both"/>
              <w:rPr>
                <w:b/>
                <w:sz w:val="28"/>
              </w:rPr>
            </w:pPr>
          </w:p>
          <w:p w:rsidR="00A56FAA" w:rsidRDefault="005C1C4A" w:rsidP="00046B36">
            <w:pPr>
              <w:pStyle w:val="TableParagraph"/>
              <w:spacing w:line="186" w:lineRule="exact"/>
              <w:ind w:left="101"/>
              <w:jc w:val="both"/>
              <w:rPr>
                <w:b/>
                <w:sz w:val="18"/>
              </w:rPr>
            </w:pPr>
            <w:r>
              <w:rPr>
                <w:b/>
                <w:sz w:val="18"/>
              </w:rPr>
              <w:t>N (%)</w:t>
            </w:r>
          </w:p>
        </w:tc>
        <w:tc>
          <w:tcPr>
            <w:tcW w:w="953" w:type="dxa"/>
          </w:tcPr>
          <w:p w:rsidR="00A56FAA" w:rsidRPr="005C1C4A" w:rsidRDefault="00A56FAA" w:rsidP="00046B36">
            <w:pPr>
              <w:pStyle w:val="TableParagraph"/>
              <w:spacing w:before="4"/>
              <w:jc w:val="both"/>
              <w:rPr>
                <w:b/>
                <w:sz w:val="16"/>
                <w:lang w:val="el-GR"/>
              </w:rPr>
            </w:pPr>
          </w:p>
          <w:p w:rsidR="00A56FAA" w:rsidRPr="005C1C4A" w:rsidRDefault="005C1C4A" w:rsidP="00046B36">
            <w:pPr>
              <w:pStyle w:val="TableParagraph"/>
              <w:spacing w:line="210" w:lineRule="atLeast"/>
              <w:ind w:left="110"/>
              <w:jc w:val="both"/>
              <w:rPr>
                <w:sz w:val="18"/>
                <w:lang w:val="el-GR"/>
              </w:rPr>
            </w:pPr>
            <w:r w:rsidRPr="005C1C4A">
              <w:rPr>
                <w:b/>
                <w:sz w:val="18"/>
                <w:lang w:val="el-GR"/>
              </w:rPr>
              <w:t>Συχνότη τα  εμφάνιση ς ανά 100 ασθενείς- έτη</w:t>
            </w:r>
            <w:r w:rsidRPr="005C1C4A">
              <w:rPr>
                <w:sz w:val="18"/>
                <w:lang w:val="el-GR"/>
              </w:rPr>
              <w:t>*</w:t>
            </w:r>
          </w:p>
        </w:tc>
        <w:tc>
          <w:tcPr>
            <w:tcW w:w="977" w:type="dxa"/>
          </w:tcPr>
          <w:p w:rsidR="00A56FAA" w:rsidRPr="005C1C4A" w:rsidRDefault="00A56FAA" w:rsidP="00046B36">
            <w:pPr>
              <w:pStyle w:val="TableParagraph"/>
              <w:jc w:val="both"/>
              <w:rPr>
                <w:b/>
                <w:sz w:val="20"/>
                <w:lang w:val="el-GR"/>
              </w:rPr>
            </w:pPr>
          </w:p>
          <w:p w:rsidR="00A56FAA" w:rsidRPr="005C1C4A" w:rsidRDefault="00A56FAA" w:rsidP="00046B36">
            <w:pPr>
              <w:pStyle w:val="TableParagraph"/>
              <w:jc w:val="both"/>
              <w:rPr>
                <w:b/>
                <w:sz w:val="20"/>
                <w:lang w:val="el-GR"/>
              </w:rPr>
            </w:pPr>
          </w:p>
          <w:p w:rsidR="00A56FAA" w:rsidRPr="005C1C4A" w:rsidRDefault="00A56FAA" w:rsidP="00046B36">
            <w:pPr>
              <w:pStyle w:val="TableParagraph"/>
              <w:jc w:val="both"/>
              <w:rPr>
                <w:b/>
                <w:sz w:val="20"/>
                <w:lang w:val="el-GR"/>
              </w:rPr>
            </w:pPr>
          </w:p>
          <w:p w:rsidR="00A56FAA" w:rsidRPr="005C1C4A" w:rsidRDefault="00A56FAA" w:rsidP="00046B36">
            <w:pPr>
              <w:pStyle w:val="TableParagraph"/>
              <w:jc w:val="both"/>
              <w:rPr>
                <w:b/>
                <w:sz w:val="20"/>
                <w:lang w:val="el-GR"/>
              </w:rPr>
            </w:pPr>
          </w:p>
          <w:p w:rsidR="00A56FAA" w:rsidRPr="005C1C4A" w:rsidRDefault="00A56FAA" w:rsidP="00046B36">
            <w:pPr>
              <w:pStyle w:val="TableParagraph"/>
              <w:spacing w:before="10"/>
              <w:jc w:val="both"/>
              <w:rPr>
                <w:b/>
                <w:sz w:val="28"/>
                <w:lang w:val="el-GR"/>
              </w:rPr>
            </w:pPr>
          </w:p>
          <w:p w:rsidR="00A56FAA" w:rsidRDefault="005C1C4A" w:rsidP="00046B36">
            <w:pPr>
              <w:pStyle w:val="TableParagraph"/>
              <w:spacing w:line="186" w:lineRule="exact"/>
              <w:ind w:left="93"/>
              <w:jc w:val="both"/>
              <w:rPr>
                <w:b/>
                <w:sz w:val="18"/>
              </w:rPr>
            </w:pPr>
            <w:r>
              <w:rPr>
                <w:b/>
                <w:sz w:val="18"/>
              </w:rPr>
              <w:t>N (%)</w:t>
            </w:r>
          </w:p>
        </w:tc>
        <w:tc>
          <w:tcPr>
            <w:tcW w:w="982" w:type="dxa"/>
          </w:tcPr>
          <w:p w:rsidR="00A56FAA" w:rsidRPr="005C1C4A" w:rsidRDefault="00A56FAA" w:rsidP="00046B36">
            <w:pPr>
              <w:pStyle w:val="TableParagraph"/>
              <w:spacing w:before="4"/>
              <w:jc w:val="both"/>
              <w:rPr>
                <w:b/>
                <w:sz w:val="16"/>
                <w:lang w:val="el-GR"/>
              </w:rPr>
            </w:pPr>
          </w:p>
          <w:p w:rsidR="00A56FAA" w:rsidRPr="005C1C4A" w:rsidRDefault="005C1C4A" w:rsidP="00046B36">
            <w:pPr>
              <w:pStyle w:val="TableParagraph"/>
              <w:spacing w:line="210" w:lineRule="atLeast"/>
              <w:ind w:left="122"/>
              <w:jc w:val="both"/>
              <w:rPr>
                <w:sz w:val="18"/>
                <w:lang w:val="el-GR"/>
              </w:rPr>
            </w:pPr>
            <w:r w:rsidRPr="005C1C4A">
              <w:rPr>
                <w:b/>
                <w:sz w:val="18"/>
                <w:lang w:val="el-GR"/>
              </w:rPr>
              <w:t>Συχνότητ α     εμφάνιση ς ανά 100 ασθενείς- έτη</w:t>
            </w:r>
            <w:r w:rsidRPr="005C1C4A">
              <w:rPr>
                <w:sz w:val="18"/>
                <w:lang w:val="el-GR"/>
              </w:rPr>
              <w:t>*</w:t>
            </w:r>
          </w:p>
        </w:tc>
        <w:tc>
          <w:tcPr>
            <w:tcW w:w="1498" w:type="dxa"/>
            <w:vMerge/>
            <w:tcBorders>
              <w:top w:val="nil"/>
            </w:tcBorders>
          </w:tcPr>
          <w:p w:rsidR="00A56FAA" w:rsidRPr="005C1C4A" w:rsidRDefault="00A56FAA" w:rsidP="00046B36">
            <w:pPr>
              <w:jc w:val="both"/>
              <w:rPr>
                <w:sz w:val="2"/>
                <w:szCs w:val="2"/>
                <w:lang w:val="el-GR"/>
              </w:rPr>
            </w:pPr>
          </w:p>
        </w:tc>
        <w:tc>
          <w:tcPr>
            <w:tcW w:w="881" w:type="dxa"/>
            <w:vMerge/>
            <w:tcBorders>
              <w:top w:val="nil"/>
            </w:tcBorders>
          </w:tcPr>
          <w:p w:rsidR="00A56FAA" w:rsidRPr="005C1C4A" w:rsidRDefault="00A56FAA" w:rsidP="00046B36">
            <w:pPr>
              <w:jc w:val="both"/>
              <w:rPr>
                <w:sz w:val="2"/>
                <w:szCs w:val="2"/>
                <w:lang w:val="el-GR"/>
              </w:rPr>
            </w:pPr>
          </w:p>
        </w:tc>
      </w:tr>
      <w:tr w:rsidR="00A56FAA" w:rsidRPr="00EC7912">
        <w:trPr>
          <w:trHeight w:val="287"/>
        </w:trPr>
        <w:tc>
          <w:tcPr>
            <w:tcW w:w="9289" w:type="dxa"/>
            <w:gridSpan w:val="7"/>
          </w:tcPr>
          <w:p w:rsidR="00A56FAA" w:rsidRPr="005C1C4A" w:rsidRDefault="005C1C4A" w:rsidP="00046B36">
            <w:pPr>
              <w:pStyle w:val="TableParagraph"/>
              <w:spacing w:before="62" w:line="205" w:lineRule="exact"/>
              <w:ind w:left="107"/>
              <w:jc w:val="both"/>
              <w:rPr>
                <w:b/>
                <w:sz w:val="18"/>
                <w:lang w:val="el-GR"/>
              </w:rPr>
            </w:pPr>
            <w:r w:rsidRPr="005C1C4A">
              <w:rPr>
                <w:b/>
                <w:sz w:val="18"/>
                <w:lang w:val="el-GR"/>
              </w:rPr>
              <w:t>Ανάλυση στον Πληθυσμό με Πρόθεση Θεραπείας</w:t>
            </w:r>
          </w:p>
        </w:tc>
      </w:tr>
      <w:tr w:rsidR="00A56FAA">
        <w:trPr>
          <w:trHeight w:val="272"/>
        </w:trPr>
        <w:tc>
          <w:tcPr>
            <w:tcW w:w="3002" w:type="dxa"/>
          </w:tcPr>
          <w:p w:rsidR="00A56FAA" w:rsidRDefault="005C1C4A" w:rsidP="00046B36">
            <w:pPr>
              <w:pStyle w:val="TableParagraph"/>
              <w:spacing w:before="35"/>
              <w:ind w:left="273"/>
              <w:jc w:val="both"/>
              <w:rPr>
                <w:b/>
                <w:sz w:val="18"/>
              </w:rPr>
            </w:pPr>
            <w:r>
              <w:rPr>
                <w:b/>
                <w:sz w:val="18"/>
              </w:rPr>
              <w:t>Αριθμός ασθενών</w:t>
            </w:r>
          </w:p>
        </w:tc>
        <w:tc>
          <w:tcPr>
            <w:tcW w:w="1949" w:type="dxa"/>
            <w:gridSpan w:val="2"/>
          </w:tcPr>
          <w:p w:rsidR="00A56FAA" w:rsidRDefault="005C1C4A" w:rsidP="00046B36">
            <w:pPr>
              <w:pStyle w:val="TableParagraph"/>
              <w:spacing w:before="67" w:line="186" w:lineRule="exact"/>
              <w:ind w:left="750"/>
              <w:jc w:val="both"/>
              <w:rPr>
                <w:b/>
                <w:sz w:val="18"/>
              </w:rPr>
            </w:pPr>
            <w:r>
              <w:rPr>
                <w:b/>
                <w:sz w:val="18"/>
              </w:rPr>
              <w:t>7.332</w:t>
            </w:r>
          </w:p>
        </w:tc>
        <w:tc>
          <w:tcPr>
            <w:tcW w:w="1959" w:type="dxa"/>
            <w:gridSpan w:val="2"/>
          </w:tcPr>
          <w:p w:rsidR="00A56FAA" w:rsidRDefault="005C1C4A" w:rsidP="00046B36">
            <w:pPr>
              <w:pStyle w:val="TableParagraph"/>
              <w:spacing w:before="67" w:line="186" w:lineRule="exact"/>
              <w:ind w:left="757"/>
              <w:jc w:val="both"/>
              <w:rPr>
                <w:b/>
                <w:sz w:val="18"/>
              </w:rPr>
            </w:pPr>
            <w:r>
              <w:rPr>
                <w:b/>
                <w:sz w:val="18"/>
              </w:rPr>
              <w:t>7.339</w:t>
            </w:r>
          </w:p>
        </w:tc>
        <w:tc>
          <w:tcPr>
            <w:tcW w:w="1498" w:type="dxa"/>
            <w:vMerge w:val="restart"/>
          </w:tcPr>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5C1C4A" w:rsidP="00046B36">
            <w:pPr>
              <w:pStyle w:val="TableParagraph"/>
              <w:spacing w:before="170" w:line="191" w:lineRule="exact"/>
              <w:ind w:left="140"/>
              <w:jc w:val="both"/>
              <w:rPr>
                <w:sz w:val="18"/>
              </w:rPr>
            </w:pPr>
            <w:r>
              <w:rPr>
                <w:sz w:val="18"/>
              </w:rPr>
              <w:t>0,98 (0,89–1,08)</w:t>
            </w:r>
          </w:p>
        </w:tc>
        <w:tc>
          <w:tcPr>
            <w:tcW w:w="881" w:type="dxa"/>
            <w:vMerge w:val="restart"/>
          </w:tcPr>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5C1C4A" w:rsidP="00046B36">
            <w:pPr>
              <w:pStyle w:val="TableParagraph"/>
              <w:spacing w:before="170" w:line="191" w:lineRule="exact"/>
              <w:ind w:left="183"/>
              <w:jc w:val="both"/>
              <w:rPr>
                <w:sz w:val="18"/>
              </w:rPr>
            </w:pPr>
            <w:r>
              <w:rPr>
                <w:sz w:val="18"/>
              </w:rPr>
              <w:t>&lt;0,001</w:t>
            </w:r>
          </w:p>
        </w:tc>
      </w:tr>
      <w:tr w:rsidR="00A56FAA">
        <w:trPr>
          <w:trHeight w:val="1703"/>
        </w:trPr>
        <w:tc>
          <w:tcPr>
            <w:tcW w:w="3002" w:type="dxa"/>
          </w:tcPr>
          <w:p w:rsidR="00A56FAA" w:rsidRPr="005C1C4A" w:rsidRDefault="00A56FAA" w:rsidP="00046B36">
            <w:pPr>
              <w:pStyle w:val="TableParagraph"/>
              <w:jc w:val="both"/>
              <w:rPr>
                <w:b/>
                <w:sz w:val="20"/>
                <w:lang w:val="el-GR"/>
              </w:rPr>
            </w:pPr>
          </w:p>
          <w:p w:rsidR="00A56FAA" w:rsidRPr="005C1C4A" w:rsidRDefault="005C1C4A" w:rsidP="00046B36">
            <w:pPr>
              <w:pStyle w:val="TableParagraph"/>
              <w:spacing w:line="244" w:lineRule="auto"/>
              <w:ind w:left="249"/>
              <w:jc w:val="both"/>
              <w:rPr>
                <w:b/>
                <w:sz w:val="18"/>
                <w:lang w:val="el-GR"/>
              </w:rPr>
            </w:pPr>
            <w:r w:rsidRPr="005C1C4A">
              <w:rPr>
                <w:b/>
                <w:sz w:val="18"/>
                <w:lang w:val="el-GR"/>
              </w:rPr>
              <w:t>Πρωτεύον σύνθετο καταληκτικό σημείο</w:t>
            </w:r>
          </w:p>
          <w:p w:rsidR="00A56FAA" w:rsidRPr="005C1C4A" w:rsidRDefault="005C1C4A" w:rsidP="00046B36">
            <w:pPr>
              <w:pStyle w:val="TableParagraph"/>
              <w:spacing w:line="244" w:lineRule="auto"/>
              <w:ind w:left="453"/>
              <w:jc w:val="both"/>
              <w:rPr>
                <w:sz w:val="18"/>
                <w:lang w:val="el-GR"/>
              </w:rPr>
            </w:pPr>
            <w:r w:rsidRPr="005C1C4A">
              <w:rPr>
                <w:sz w:val="18"/>
                <w:lang w:val="el-GR"/>
              </w:rPr>
              <w:t>(Θάνατος από καρδιαγγειακή νόσο, μη θανατηφόρο έμφραγμα του μυοκαρδίου, μη θανατηφόρο αγγειακό εγκεφαλικό επεισόδιο ή</w:t>
            </w:r>
          </w:p>
          <w:p w:rsidR="00A56FAA" w:rsidRDefault="005C1C4A" w:rsidP="00046B36">
            <w:pPr>
              <w:pStyle w:val="TableParagraph"/>
              <w:spacing w:line="191" w:lineRule="exact"/>
              <w:ind w:left="453"/>
              <w:jc w:val="both"/>
              <w:rPr>
                <w:sz w:val="18"/>
              </w:rPr>
            </w:pPr>
            <w:r>
              <w:rPr>
                <w:sz w:val="18"/>
              </w:rPr>
              <w:t>νοσηλεία για ασταθή στηθάγχη)</w:t>
            </w:r>
          </w:p>
        </w:tc>
        <w:tc>
          <w:tcPr>
            <w:tcW w:w="996" w:type="dxa"/>
          </w:tcPr>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spacing w:before="9"/>
              <w:jc w:val="both"/>
              <w:rPr>
                <w:b/>
                <w:sz w:val="29"/>
              </w:rPr>
            </w:pPr>
          </w:p>
          <w:p w:rsidR="00A56FAA" w:rsidRDefault="005C1C4A" w:rsidP="00046B36">
            <w:pPr>
              <w:pStyle w:val="TableParagraph"/>
              <w:spacing w:line="191" w:lineRule="exact"/>
              <w:ind w:left="101"/>
              <w:jc w:val="both"/>
              <w:rPr>
                <w:sz w:val="18"/>
              </w:rPr>
            </w:pPr>
            <w:r>
              <w:rPr>
                <w:sz w:val="18"/>
              </w:rPr>
              <w:t>839 (11,4)</w:t>
            </w:r>
          </w:p>
        </w:tc>
        <w:tc>
          <w:tcPr>
            <w:tcW w:w="953" w:type="dxa"/>
          </w:tcPr>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spacing w:before="9"/>
              <w:jc w:val="both"/>
              <w:rPr>
                <w:b/>
                <w:sz w:val="29"/>
              </w:rPr>
            </w:pPr>
          </w:p>
          <w:p w:rsidR="00A56FAA" w:rsidRDefault="005C1C4A" w:rsidP="00046B36">
            <w:pPr>
              <w:pStyle w:val="TableParagraph"/>
              <w:spacing w:line="191" w:lineRule="exact"/>
              <w:jc w:val="both"/>
              <w:rPr>
                <w:sz w:val="18"/>
              </w:rPr>
            </w:pPr>
            <w:r>
              <w:rPr>
                <w:sz w:val="18"/>
              </w:rPr>
              <w:t>4,1</w:t>
            </w:r>
          </w:p>
        </w:tc>
        <w:tc>
          <w:tcPr>
            <w:tcW w:w="977" w:type="dxa"/>
          </w:tcPr>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spacing w:before="9"/>
              <w:jc w:val="both"/>
              <w:rPr>
                <w:b/>
                <w:sz w:val="29"/>
              </w:rPr>
            </w:pPr>
          </w:p>
          <w:p w:rsidR="00A56FAA" w:rsidRDefault="005C1C4A" w:rsidP="00046B36">
            <w:pPr>
              <w:pStyle w:val="TableParagraph"/>
              <w:spacing w:line="191" w:lineRule="exact"/>
              <w:ind w:left="95"/>
              <w:jc w:val="both"/>
              <w:rPr>
                <w:sz w:val="18"/>
              </w:rPr>
            </w:pPr>
            <w:r>
              <w:rPr>
                <w:sz w:val="18"/>
              </w:rPr>
              <w:t>851 (11,6)</w:t>
            </w:r>
          </w:p>
        </w:tc>
        <w:tc>
          <w:tcPr>
            <w:tcW w:w="982" w:type="dxa"/>
          </w:tcPr>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spacing w:before="9"/>
              <w:jc w:val="both"/>
              <w:rPr>
                <w:b/>
                <w:sz w:val="29"/>
              </w:rPr>
            </w:pPr>
          </w:p>
          <w:p w:rsidR="00A56FAA" w:rsidRDefault="005C1C4A" w:rsidP="00046B36">
            <w:pPr>
              <w:pStyle w:val="TableParagraph"/>
              <w:spacing w:line="191" w:lineRule="exact"/>
              <w:ind w:left="118"/>
              <w:jc w:val="both"/>
              <w:rPr>
                <w:sz w:val="18"/>
              </w:rPr>
            </w:pPr>
            <w:r>
              <w:rPr>
                <w:sz w:val="18"/>
              </w:rPr>
              <w:t>4,2</w:t>
            </w:r>
          </w:p>
        </w:tc>
        <w:tc>
          <w:tcPr>
            <w:tcW w:w="1498" w:type="dxa"/>
            <w:vMerge/>
            <w:tcBorders>
              <w:top w:val="nil"/>
            </w:tcBorders>
          </w:tcPr>
          <w:p w:rsidR="00A56FAA" w:rsidRDefault="00A56FAA" w:rsidP="00046B36">
            <w:pPr>
              <w:jc w:val="both"/>
              <w:rPr>
                <w:sz w:val="2"/>
                <w:szCs w:val="2"/>
              </w:rPr>
            </w:pPr>
          </w:p>
        </w:tc>
        <w:tc>
          <w:tcPr>
            <w:tcW w:w="881" w:type="dxa"/>
            <w:vMerge/>
            <w:tcBorders>
              <w:top w:val="nil"/>
            </w:tcBorders>
          </w:tcPr>
          <w:p w:rsidR="00A56FAA" w:rsidRDefault="00A56FAA" w:rsidP="00046B36">
            <w:pPr>
              <w:jc w:val="both"/>
              <w:rPr>
                <w:sz w:val="2"/>
                <w:szCs w:val="2"/>
              </w:rPr>
            </w:pPr>
          </w:p>
        </w:tc>
      </w:tr>
      <w:tr w:rsidR="00A56FAA">
        <w:trPr>
          <w:trHeight w:val="1696"/>
        </w:trPr>
        <w:tc>
          <w:tcPr>
            <w:tcW w:w="3002" w:type="dxa"/>
          </w:tcPr>
          <w:p w:rsidR="00A56FAA" w:rsidRPr="005C1C4A" w:rsidRDefault="00A56FAA" w:rsidP="00046B36">
            <w:pPr>
              <w:pStyle w:val="TableParagraph"/>
              <w:spacing w:before="4"/>
              <w:jc w:val="both"/>
              <w:rPr>
                <w:b/>
                <w:sz w:val="19"/>
                <w:lang w:val="el-GR"/>
              </w:rPr>
            </w:pPr>
          </w:p>
          <w:p w:rsidR="00A56FAA" w:rsidRPr="005C1C4A" w:rsidRDefault="005C1C4A" w:rsidP="00046B36">
            <w:pPr>
              <w:pStyle w:val="TableParagraph"/>
              <w:spacing w:line="244" w:lineRule="auto"/>
              <w:ind w:left="249"/>
              <w:jc w:val="both"/>
              <w:rPr>
                <w:b/>
                <w:sz w:val="18"/>
                <w:lang w:val="el-GR"/>
              </w:rPr>
            </w:pPr>
            <w:r w:rsidRPr="005C1C4A">
              <w:rPr>
                <w:b/>
                <w:sz w:val="18"/>
                <w:lang w:val="el-GR"/>
              </w:rPr>
              <w:t>Δευτερεύον σύνθετο καταληκτικό σημείο</w:t>
            </w:r>
          </w:p>
          <w:p w:rsidR="00A56FAA" w:rsidRPr="005C1C4A" w:rsidRDefault="005C1C4A" w:rsidP="00046B36">
            <w:pPr>
              <w:pStyle w:val="TableParagraph"/>
              <w:spacing w:line="244" w:lineRule="auto"/>
              <w:ind w:left="453"/>
              <w:jc w:val="both"/>
              <w:rPr>
                <w:sz w:val="18"/>
                <w:lang w:val="el-GR"/>
              </w:rPr>
            </w:pPr>
            <w:r w:rsidRPr="005C1C4A">
              <w:rPr>
                <w:sz w:val="18"/>
                <w:lang w:val="el-GR"/>
              </w:rPr>
              <w:t>(Θάνατος από καρδιαγγειακή νόσο, μη θανατηφόρο έμφραγμα του μυοκαρδίου ή μη θανατηφόρο αγγειακό</w:t>
            </w:r>
          </w:p>
          <w:p w:rsidR="00A56FAA" w:rsidRDefault="005C1C4A" w:rsidP="00046B36">
            <w:pPr>
              <w:pStyle w:val="TableParagraph"/>
              <w:spacing w:line="191" w:lineRule="exact"/>
              <w:ind w:left="453"/>
              <w:jc w:val="both"/>
              <w:rPr>
                <w:sz w:val="18"/>
              </w:rPr>
            </w:pPr>
            <w:r>
              <w:rPr>
                <w:sz w:val="18"/>
              </w:rPr>
              <w:t>εγκεφαλικό επεισόδιο)</w:t>
            </w:r>
          </w:p>
        </w:tc>
        <w:tc>
          <w:tcPr>
            <w:tcW w:w="996" w:type="dxa"/>
          </w:tcPr>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spacing w:before="1"/>
              <w:jc w:val="both"/>
              <w:rPr>
                <w:b/>
                <w:sz w:val="29"/>
              </w:rPr>
            </w:pPr>
          </w:p>
          <w:p w:rsidR="00A56FAA" w:rsidRDefault="005C1C4A" w:rsidP="00046B36">
            <w:pPr>
              <w:pStyle w:val="TableParagraph"/>
              <w:spacing w:before="1" w:line="191" w:lineRule="exact"/>
              <w:ind w:left="101"/>
              <w:jc w:val="both"/>
              <w:rPr>
                <w:sz w:val="18"/>
              </w:rPr>
            </w:pPr>
            <w:r>
              <w:rPr>
                <w:sz w:val="18"/>
              </w:rPr>
              <w:t>745 (10,2)</w:t>
            </w:r>
          </w:p>
        </w:tc>
        <w:tc>
          <w:tcPr>
            <w:tcW w:w="953" w:type="dxa"/>
          </w:tcPr>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spacing w:before="1"/>
              <w:jc w:val="both"/>
              <w:rPr>
                <w:b/>
                <w:sz w:val="29"/>
              </w:rPr>
            </w:pPr>
          </w:p>
          <w:p w:rsidR="00A56FAA" w:rsidRDefault="005C1C4A" w:rsidP="00046B36">
            <w:pPr>
              <w:pStyle w:val="TableParagraph"/>
              <w:spacing w:before="1" w:line="191" w:lineRule="exact"/>
              <w:jc w:val="both"/>
              <w:rPr>
                <w:sz w:val="18"/>
              </w:rPr>
            </w:pPr>
            <w:r>
              <w:rPr>
                <w:sz w:val="18"/>
              </w:rPr>
              <w:t>3,6</w:t>
            </w:r>
          </w:p>
        </w:tc>
        <w:tc>
          <w:tcPr>
            <w:tcW w:w="977" w:type="dxa"/>
          </w:tcPr>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spacing w:before="1"/>
              <w:jc w:val="both"/>
              <w:rPr>
                <w:b/>
                <w:sz w:val="29"/>
              </w:rPr>
            </w:pPr>
          </w:p>
          <w:p w:rsidR="00A56FAA" w:rsidRDefault="005C1C4A" w:rsidP="00046B36">
            <w:pPr>
              <w:pStyle w:val="TableParagraph"/>
              <w:spacing w:before="1" w:line="191" w:lineRule="exact"/>
              <w:ind w:left="95"/>
              <w:jc w:val="both"/>
              <w:rPr>
                <w:sz w:val="18"/>
              </w:rPr>
            </w:pPr>
            <w:r>
              <w:rPr>
                <w:sz w:val="18"/>
              </w:rPr>
              <w:t>746 (10,2)</w:t>
            </w:r>
          </w:p>
        </w:tc>
        <w:tc>
          <w:tcPr>
            <w:tcW w:w="982" w:type="dxa"/>
          </w:tcPr>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spacing w:before="1"/>
              <w:jc w:val="both"/>
              <w:rPr>
                <w:b/>
                <w:sz w:val="29"/>
              </w:rPr>
            </w:pPr>
          </w:p>
          <w:p w:rsidR="00A56FAA" w:rsidRDefault="005C1C4A" w:rsidP="00046B36">
            <w:pPr>
              <w:pStyle w:val="TableParagraph"/>
              <w:spacing w:before="1" w:line="191" w:lineRule="exact"/>
              <w:ind w:left="118"/>
              <w:jc w:val="both"/>
              <w:rPr>
                <w:sz w:val="18"/>
              </w:rPr>
            </w:pPr>
            <w:r>
              <w:rPr>
                <w:sz w:val="18"/>
              </w:rPr>
              <w:t>3,6</w:t>
            </w:r>
          </w:p>
        </w:tc>
        <w:tc>
          <w:tcPr>
            <w:tcW w:w="1498" w:type="dxa"/>
          </w:tcPr>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spacing w:before="1"/>
              <w:jc w:val="both"/>
              <w:rPr>
                <w:b/>
                <w:sz w:val="29"/>
              </w:rPr>
            </w:pPr>
          </w:p>
          <w:p w:rsidR="00A56FAA" w:rsidRDefault="005C1C4A" w:rsidP="00046B36">
            <w:pPr>
              <w:pStyle w:val="TableParagraph"/>
              <w:spacing w:before="1" w:line="191" w:lineRule="exact"/>
              <w:ind w:left="140"/>
              <w:jc w:val="both"/>
              <w:rPr>
                <w:sz w:val="18"/>
              </w:rPr>
            </w:pPr>
            <w:r>
              <w:rPr>
                <w:sz w:val="18"/>
              </w:rPr>
              <w:t>0,99 (0,89–1,10)</w:t>
            </w:r>
          </w:p>
        </w:tc>
        <w:tc>
          <w:tcPr>
            <w:tcW w:w="881" w:type="dxa"/>
          </w:tcPr>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spacing w:before="1"/>
              <w:jc w:val="both"/>
              <w:rPr>
                <w:b/>
                <w:sz w:val="29"/>
              </w:rPr>
            </w:pPr>
          </w:p>
          <w:p w:rsidR="00A56FAA" w:rsidRDefault="005C1C4A" w:rsidP="00046B36">
            <w:pPr>
              <w:pStyle w:val="TableParagraph"/>
              <w:spacing w:before="1" w:line="191" w:lineRule="exact"/>
              <w:ind w:left="183"/>
              <w:jc w:val="both"/>
              <w:rPr>
                <w:sz w:val="18"/>
              </w:rPr>
            </w:pPr>
            <w:r>
              <w:rPr>
                <w:sz w:val="18"/>
              </w:rPr>
              <w:t>&lt;0,001</w:t>
            </w:r>
          </w:p>
        </w:tc>
      </w:tr>
    </w:tbl>
    <w:p w:rsidR="00A56FAA" w:rsidRDefault="00A56FAA" w:rsidP="00046B36">
      <w:pPr>
        <w:spacing w:line="191" w:lineRule="exact"/>
        <w:jc w:val="both"/>
        <w:rPr>
          <w:sz w:val="18"/>
        </w:rPr>
        <w:sectPr w:rsidR="00A56FAA">
          <w:pgSz w:w="11910" w:h="16840"/>
          <w:pgMar w:top="1040" w:right="1180" w:bottom="900" w:left="1200" w:header="0" w:footer="714"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2"/>
        <w:gridCol w:w="996"/>
        <w:gridCol w:w="953"/>
        <w:gridCol w:w="977"/>
        <w:gridCol w:w="982"/>
        <w:gridCol w:w="1498"/>
        <w:gridCol w:w="881"/>
      </w:tblGrid>
      <w:tr w:rsidR="00A56FAA">
        <w:trPr>
          <w:trHeight w:val="210"/>
        </w:trPr>
        <w:tc>
          <w:tcPr>
            <w:tcW w:w="3002" w:type="dxa"/>
            <w:vMerge w:val="restart"/>
          </w:tcPr>
          <w:p w:rsidR="00A56FAA" w:rsidRDefault="00A56FAA" w:rsidP="00046B36">
            <w:pPr>
              <w:pStyle w:val="TableParagraph"/>
              <w:jc w:val="both"/>
              <w:rPr>
                <w:sz w:val="20"/>
              </w:rPr>
            </w:pPr>
          </w:p>
        </w:tc>
        <w:tc>
          <w:tcPr>
            <w:tcW w:w="1949" w:type="dxa"/>
            <w:gridSpan w:val="2"/>
          </w:tcPr>
          <w:p w:rsidR="00A56FAA" w:rsidRDefault="005C1C4A" w:rsidP="00046B36">
            <w:pPr>
              <w:pStyle w:val="TableParagraph"/>
              <w:spacing w:before="4" w:line="186" w:lineRule="exact"/>
              <w:ind w:left="168"/>
              <w:jc w:val="both"/>
              <w:rPr>
                <w:b/>
                <w:sz w:val="18"/>
              </w:rPr>
            </w:pPr>
            <w:r>
              <w:rPr>
                <w:b/>
                <w:sz w:val="18"/>
              </w:rPr>
              <w:t>Σιταγλιπτίνη 100 mg</w:t>
            </w:r>
          </w:p>
        </w:tc>
        <w:tc>
          <w:tcPr>
            <w:tcW w:w="1959" w:type="dxa"/>
            <w:gridSpan w:val="2"/>
          </w:tcPr>
          <w:p w:rsidR="00A56FAA" w:rsidRDefault="005C1C4A" w:rsidP="00046B36">
            <w:pPr>
              <w:pStyle w:val="TableParagraph"/>
              <w:spacing w:before="4" w:line="186" w:lineRule="exact"/>
              <w:ind w:left="261"/>
              <w:jc w:val="both"/>
              <w:rPr>
                <w:b/>
                <w:sz w:val="18"/>
              </w:rPr>
            </w:pPr>
            <w:r>
              <w:rPr>
                <w:b/>
                <w:sz w:val="18"/>
              </w:rPr>
              <w:t>Εικονικό φάρμακο</w:t>
            </w:r>
          </w:p>
        </w:tc>
        <w:tc>
          <w:tcPr>
            <w:tcW w:w="1498" w:type="dxa"/>
            <w:vMerge w:val="restart"/>
          </w:tcPr>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spacing w:before="2"/>
              <w:jc w:val="both"/>
              <w:rPr>
                <w:b/>
                <w:sz w:val="28"/>
              </w:rPr>
            </w:pPr>
          </w:p>
          <w:p w:rsidR="00A56FAA" w:rsidRDefault="005C1C4A" w:rsidP="00046B36">
            <w:pPr>
              <w:pStyle w:val="TableParagraph"/>
              <w:spacing w:before="1" w:line="244" w:lineRule="auto"/>
              <w:ind w:left="164" w:firstLine="218"/>
              <w:jc w:val="both"/>
              <w:rPr>
                <w:b/>
                <w:sz w:val="18"/>
              </w:rPr>
            </w:pPr>
            <w:r>
              <w:rPr>
                <w:b/>
                <w:sz w:val="18"/>
              </w:rPr>
              <w:t>Αναλογία Κινδύνου (ΗR)</w:t>
            </w:r>
          </w:p>
          <w:p w:rsidR="00A56FAA" w:rsidRDefault="005C1C4A" w:rsidP="00046B36">
            <w:pPr>
              <w:pStyle w:val="TableParagraph"/>
              <w:spacing w:before="41" w:line="186" w:lineRule="exact"/>
              <w:ind w:left="385"/>
              <w:jc w:val="both"/>
              <w:rPr>
                <w:b/>
                <w:sz w:val="18"/>
              </w:rPr>
            </w:pPr>
            <w:r>
              <w:rPr>
                <w:b/>
                <w:sz w:val="18"/>
              </w:rPr>
              <w:t>(95% CI)</w:t>
            </w:r>
          </w:p>
        </w:tc>
        <w:tc>
          <w:tcPr>
            <w:tcW w:w="881" w:type="dxa"/>
            <w:vMerge w:val="restart"/>
          </w:tcPr>
          <w:p w:rsidR="00A56FAA" w:rsidRDefault="00A56FAA" w:rsidP="00046B36">
            <w:pPr>
              <w:pStyle w:val="TableParagraph"/>
              <w:jc w:val="both"/>
              <w:rPr>
                <w:b/>
              </w:rPr>
            </w:pPr>
          </w:p>
          <w:p w:rsidR="00A56FAA" w:rsidRDefault="00A56FAA" w:rsidP="00046B36">
            <w:pPr>
              <w:pStyle w:val="TableParagraph"/>
              <w:jc w:val="both"/>
              <w:rPr>
                <w:b/>
              </w:rPr>
            </w:pPr>
          </w:p>
          <w:p w:rsidR="00A56FAA" w:rsidRDefault="00A56FAA" w:rsidP="00046B36">
            <w:pPr>
              <w:pStyle w:val="TableParagraph"/>
              <w:jc w:val="both"/>
              <w:rPr>
                <w:b/>
              </w:rPr>
            </w:pPr>
          </w:p>
          <w:p w:rsidR="00A56FAA" w:rsidRDefault="00A56FAA" w:rsidP="00046B36">
            <w:pPr>
              <w:pStyle w:val="TableParagraph"/>
              <w:jc w:val="both"/>
              <w:rPr>
                <w:b/>
              </w:rPr>
            </w:pPr>
          </w:p>
          <w:p w:rsidR="00A56FAA" w:rsidRDefault="00A56FAA" w:rsidP="00046B36">
            <w:pPr>
              <w:pStyle w:val="TableParagraph"/>
              <w:jc w:val="both"/>
              <w:rPr>
                <w:b/>
              </w:rPr>
            </w:pPr>
          </w:p>
          <w:p w:rsidR="00A56FAA" w:rsidRDefault="00A56FAA" w:rsidP="00046B36">
            <w:pPr>
              <w:pStyle w:val="TableParagraph"/>
              <w:spacing w:before="1"/>
              <w:jc w:val="both"/>
              <w:rPr>
                <w:b/>
                <w:sz w:val="18"/>
              </w:rPr>
            </w:pPr>
          </w:p>
          <w:p w:rsidR="00A56FAA" w:rsidRDefault="005C1C4A" w:rsidP="00046B36">
            <w:pPr>
              <w:pStyle w:val="TableParagraph"/>
              <w:spacing w:line="191" w:lineRule="exact"/>
              <w:ind w:left="145"/>
              <w:jc w:val="both"/>
              <w:rPr>
                <w:sz w:val="18"/>
              </w:rPr>
            </w:pPr>
            <w:r>
              <w:rPr>
                <w:b/>
                <w:sz w:val="18"/>
              </w:rPr>
              <w:t>Τιμή p</w:t>
            </w:r>
            <w:r>
              <w:rPr>
                <w:sz w:val="18"/>
                <w:vertAlign w:val="superscript"/>
              </w:rPr>
              <w:t>†</w:t>
            </w:r>
          </w:p>
        </w:tc>
      </w:tr>
      <w:tr w:rsidR="00A56FAA" w:rsidRPr="00EC7912">
        <w:trPr>
          <w:trHeight w:val="1458"/>
        </w:trPr>
        <w:tc>
          <w:tcPr>
            <w:tcW w:w="3002" w:type="dxa"/>
            <w:vMerge/>
            <w:tcBorders>
              <w:top w:val="nil"/>
            </w:tcBorders>
          </w:tcPr>
          <w:p w:rsidR="00A56FAA" w:rsidRDefault="00A56FAA" w:rsidP="00046B36">
            <w:pPr>
              <w:jc w:val="both"/>
              <w:rPr>
                <w:sz w:val="2"/>
                <w:szCs w:val="2"/>
              </w:rPr>
            </w:pPr>
          </w:p>
        </w:tc>
        <w:tc>
          <w:tcPr>
            <w:tcW w:w="996" w:type="dxa"/>
          </w:tcPr>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jc w:val="both"/>
              <w:rPr>
                <w:b/>
                <w:sz w:val="20"/>
              </w:rPr>
            </w:pPr>
          </w:p>
          <w:p w:rsidR="00A56FAA" w:rsidRDefault="00A56FAA" w:rsidP="00046B36">
            <w:pPr>
              <w:pStyle w:val="TableParagraph"/>
              <w:spacing w:before="10"/>
              <w:jc w:val="both"/>
              <w:rPr>
                <w:b/>
                <w:sz w:val="28"/>
              </w:rPr>
            </w:pPr>
          </w:p>
          <w:p w:rsidR="00A56FAA" w:rsidRDefault="005C1C4A" w:rsidP="00046B36">
            <w:pPr>
              <w:pStyle w:val="TableParagraph"/>
              <w:spacing w:line="186" w:lineRule="exact"/>
              <w:ind w:left="101"/>
              <w:jc w:val="both"/>
              <w:rPr>
                <w:b/>
                <w:sz w:val="18"/>
              </w:rPr>
            </w:pPr>
            <w:r>
              <w:rPr>
                <w:b/>
                <w:sz w:val="18"/>
              </w:rPr>
              <w:t>N (%)</w:t>
            </w:r>
          </w:p>
        </w:tc>
        <w:tc>
          <w:tcPr>
            <w:tcW w:w="953" w:type="dxa"/>
          </w:tcPr>
          <w:p w:rsidR="00A56FAA" w:rsidRPr="005C1C4A" w:rsidRDefault="00A56FAA" w:rsidP="00046B36">
            <w:pPr>
              <w:pStyle w:val="TableParagraph"/>
              <w:spacing w:before="4"/>
              <w:jc w:val="both"/>
              <w:rPr>
                <w:b/>
                <w:sz w:val="16"/>
                <w:lang w:val="el-GR"/>
              </w:rPr>
            </w:pPr>
          </w:p>
          <w:p w:rsidR="00A56FAA" w:rsidRPr="005C1C4A" w:rsidRDefault="005C1C4A" w:rsidP="00046B36">
            <w:pPr>
              <w:pStyle w:val="TableParagraph"/>
              <w:spacing w:line="210" w:lineRule="atLeast"/>
              <w:ind w:left="110"/>
              <w:jc w:val="both"/>
              <w:rPr>
                <w:sz w:val="18"/>
                <w:lang w:val="el-GR"/>
              </w:rPr>
            </w:pPr>
            <w:r w:rsidRPr="005C1C4A">
              <w:rPr>
                <w:b/>
                <w:sz w:val="18"/>
                <w:lang w:val="el-GR"/>
              </w:rPr>
              <w:t>Συχνότη τα  εμφάνιση ς ανά 100 ασθενείς- έτη</w:t>
            </w:r>
            <w:r w:rsidRPr="005C1C4A">
              <w:rPr>
                <w:sz w:val="18"/>
                <w:lang w:val="el-GR"/>
              </w:rPr>
              <w:t>*</w:t>
            </w:r>
          </w:p>
        </w:tc>
        <w:tc>
          <w:tcPr>
            <w:tcW w:w="977" w:type="dxa"/>
          </w:tcPr>
          <w:p w:rsidR="00A56FAA" w:rsidRPr="005C1C4A" w:rsidRDefault="00A56FAA" w:rsidP="00046B36">
            <w:pPr>
              <w:pStyle w:val="TableParagraph"/>
              <w:jc w:val="both"/>
              <w:rPr>
                <w:b/>
                <w:sz w:val="20"/>
                <w:lang w:val="el-GR"/>
              </w:rPr>
            </w:pPr>
          </w:p>
          <w:p w:rsidR="00A56FAA" w:rsidRPr="005C1C4A" w:rsidRDefault="00A56FAA" w:rsidP="00046B36">
            <w:pPr>
              <w:pStyle w:val="TableParagraph"/>
              <w:jc w:val="both"/>
              <w:rPr>
                <w:b/>
                <w:sz w:val="20"/>
                <w:lang w:val="el-GR"/>
              </w:rPr>
            </w:pPr>
          </w:p>
          <w:p w:rsidR="00A56FAA" w:rsidRPr="005C1C4A" w:rsidRDefault="00A56FAA" w:rsidP="00046B36">
            <w:pPr>
              <w:pStyle w:val="TableParagraph"/>
              <w:jc w:val="both"/>
              <w:rPr>
                <w:b/>
                <w:sz w:val="20"/>
                <w:lang w:val="el-GR"/>
              </w:rPr>
            </w:pPr>
          </w:p>
          <w:p w:rsidR="00A56FAA" w:rsidRPr="005C1C4A" w:rsidRDefault="00A56FAA" w:rsidP="00046B36">
            <w:pPr>
              <w:pStyle w:val="TableParagraph"/>
              <w:jc w:val="both"/>
              <w:rPr>
                <w:b/>
                <w:sz w:val="20"/>
                <w:lang w:val="el-GR"/>
              </w:rPr>
            </w:pPr>
          </w:p>
          <w:p w:rsidR="00A56FAA" w:rsidRPr="005C1C4A" w:rsidRDefault="00A56FAA" w:rsidP="00046B36">
            <w:pPr>
              <w:pStyle w:val="TableParagraph"/>
              <w:spacing w:before="10"/>
              <w:jc w:val="both"/>
              <w:rPr>
                <w:b/>
                <w:sz w:val="28"/>
                <w:lang w:val="el-GR"/>
              </w:rPr>
            </w:pPr>
          </w:p>
          <w:p w:rsidR="00A56FAA" w:rsidRDefault="005C1C4A" w:rsidP="00046B36">
            <w:pPr>
              <w:pStyle w:val="TableParagraph"/>
              <w:spacing w:line="186" w:lineRule="exact"/>
              <w:ind w:left="93"/>
              <w:jc w:val="both"/>
              <w:rPr>
                <w:b/>
                <w:sz w:val="18"/>
              </w:rPr>
            </w:pPr>
            <w:r>
              <w:rPr>
                <w:b/>
                <w:sz w:val="18"/>
              </w:rPr>
              <w:t>N (%)</w:t>
            </w:r>
          </w:p>
        </w:tc>
        <w:tc>
          <w:tcPr>
            <w:tcW w:w="982" w:type="dxa"/>
          </w:tcPr>
          <w:p w:rsidR="00A56FAA" w:rsidRPr="005C1C4A" w:rsidRDefault="00A56FAA" w:rsidP="00046B36">
            <w:pPr>
              <w:pStyle w:val="TableParagraph"/>
              <w:spacing w:before="4"/>
              <w:jc w:val="both"/>
              <w:rPr>
                <w:b/>
                <w:sz w:val="16"/>
                <w:lang w:val="el-GR"/>
              </w:rPr>
            </w:pPr>
          </w:p>
          <w:p w:rsidR="00A56FAA" w:rsidRPr="005C1C4A" w:rsidRDefault="005C1C4A" w:rsidP="00046B36">
            <w:pPr>
              <w:pStyle w:val="TableParagraph"/>
              <w:spacing w:line="210" w:lineRule="atLeast"/>
              <w:ind w:left="122"/>
              <w:jc w:val="both"/>
              <w:rPr>
                <w:sz w:val="18"/>
                <w:lang w:val="el-GR"/>
              </w:rPr>
            </w:pPr>
            <w:r w:rsidRPr="005C1C4A">
              <w:rPr>
                <w:b/>
                <w:sz w:val="18"/>
                <w:lang w:val="el-GR"/>
              </w:rPr>
              <w:t>Συχνότητ α     εμφάνιση ς ανά 100 ασθενείς- έτη</w:t>
            </w:r>
            <w:r w:rsidRPr="005C1C4A">
              <w:rPr>
                <w:sz w:val="18"/>
                <w:lang w:val="el-GR"/>
              </w:rPr>
              <w:t>*</w:t>
            </w:r>
          </w:p>
        </w:tc>
        <w:tc>
          <w:tcPr>
            <w:tcW w:w="1498" w:type="dxa"/>
            <w:vMerge/>
            <w:tcBorders>
              <w:top w:val="nil"/>
            </w:tcBorders>
          </w:tcPr>
          <w:p w:rsidR="00A56FAA" w:rsidRPr="005C1C4A" w:rsidRDefault="00A56FAA" w:rsidP="00046B36">
            <w:pPr>
              <w:jc w:val="both"/>
              <w:rPr>
                <w:sz w:val="2"/>
                <w:szCs w:val="2"/>
                <w:lang w:val="el-GR"/>
              </w:rPr>
            </w:pPr>
          </w:p>
        </w:tc>
        <w:tc>
          <w:tcPr>
            <w:tcW w:w="881" w:type="dxa"/>
            <w:vMerge/>
            <w:tcBorders>
              <w:top w:val="nil"/>
            </w:tcBorders>
          </w:tcPr>
          <w:p w:rsidR="00A56FAA" w:rsidRPr="005C1C4A" w:rsidRDefault="00A56FAA" w:rsidP="00046B36">
            <w:pPr>
              <w:jc w:val="both"/>
              <w:rPr>
                <w:sz w:val="2"/>
                <w:szCs w:val="2"/>
                <w:lang w:val="el-GR"/>
              </w:rPr>
            </w:pPr>
          </w:p>
        </w:tc>
      </w:tr>
      <w:tr w:rsidR="00A56FAA">
        <w:trPr>
          <w:trHeight w:val="273"/>
        </w:trPr>
        <w:tc>
          <w:tcPr>
            <w:tcW w:w="9289" w:type="dxa"/>
            <w:gridSpan w:val="7"/>
          </w:tcPr>
          <w:p w:rsidR="00A56FAA" w:rsidRDefault="005C1C4A" w:rsidP="00046B36">
            <w:pPr>
              <w:pStyle w:val="TableParagraph"/>
              <w:spacing w:before="55" w:line="198" w:lineRule="exact"/>
              <w:ind w:left="107"/>
              <w:jc w:val="both"/>
              <w:rPr>
                <w:b/>
                <w:sz w:val="18"/>
              </w:rPr>
            </w:pPr>
            <w:r>
              <w:rPr>
                <w:b/>
                <w:sz w:val="18"/>
              </w:rPr>
              <w:t>Δευτερεύον Αποτέλεσμα</w:t>
            </w:r>
          </w:p>
        </w:tc>
      </w:tr>
      <w:tr w:rsidR="00A56FAA">
        <w:trPr>
          <w:trHeight w:val="522"/>
        </w:trPr>
        <w:tc>
          <w:tcPr>
            <w:tcW w:w="3002" w:type="dxa"/>
          </w:tcPr>
          <w:p w:rsidR="00A56FAA" w:rsidRDefault="005C1C4A" w:rsidP="00046B36">
            <w:pPr>
              <w:pStyle w:val="TableParagraph"/>
              <w:spacing w:before="50" w:line="244" w:lineRule="auto"/>
              <w:ind w:left="453"/>
              <w:jc w:val="both"/>
              <w:rPr>
                <w:sz w:val="18"/>
              </w:rPr>
            </w:pPr>
            <w:r>
              <w:rPr>
                <w:sz w:val="18"/>
              </w:rPr>
              <w:t>Θάνατος από καρδιαγγειακή νόσο</w:t>
            </w:r>
          </w:p>
        </w:tc>
        <w:tc>
          <w:tcPr>
            <w:tcW w:w="996" w:type="dxa"/>
          </w:tcPr>
          <w:p w:rsidR="00A56FAA" w:rsidRDefault="00A56FAA" w:rsidP="00046B36">
            <w:pPr>
              <w:pStyle w:val="TableParagraph"/>
              <w:spacing w:before="1"/>
              <w:jc w:val="both"/>
              <w:rPr>
                <w:b/>
                <w:sz w:val="27"/>
              </w:rPr>
            </w:pPr>
          </w:p>
          <w:p w:rsidR="00A56FAA" w:rsidRDefault="005C1C4A" w:rsidP="00046B36">
            <w:pPr>
              <w:pStyle w:val="TableParagraph"/>
              <w:spacing w:line="191" w:lineRule="exact"/>
              <w:ind w:left="101"/>
              <w:jc w:val="both"/>
              <w:rPr>
                <w:sz w:val="18"/>
              </w:rPr>
            </w:pPr>
            <w:r>
              <w:rPr>
                <w:sz w:val="18"/>
              </w:rPr>
              <w:t>380 (5,2)</w:t>
            </w:r>
          </w:p>
        </w:tc>
        <w:tc>
          <w:tcPr>
            <w:tcW w:w="953" w:type="dxa"/>
          </w:tcPr>
          <w:p w:rsidR="00A56FAA" w:rsidRDefault="00A56FAA" w:rsidP="00046B36">
            <w:pPr>
              <w:pStyle w:val="TableParagraph"/>
              <w:spacing w:before="1"/>
              <w:jc w:val="both"/>
              <w:rPr>
                <w:b/>
                <w:sz w:val="27"/>
              </w:rPr>
            </w:pPr>
          </w:p>
          <w:p w:rsidR="00A56FAA" w:rsidRDefault="005C1C4A" w:rsidP="00046B36">
            <w:pPr>
              <w:pStyle w:val="TableParagraph"/>
              <w:spacing w:line="191" w:lineRule="exact"/>
              <w:jc w:val="both"/>
              <w:rPr>
                <w:sz w:val="18"/>
              </w:rPr>
            </w:pPr>
            <w:r>
              <w:rPr>
                <w:sz w:val="18"/>
              </w:rPr>
              <w:t>1,7</w:t>
            </w:r>
          </w:p>
        </w:tc>
        <w:tc>
          <w:tcPr>
            <w:tcW w:w="977" w:type="dxa"/>
          </w:tcPr>
          <w:p w:rsidR="00A56FAA" w:rsidRDefault="00A56FAA" w:rsidP="00046B36">
            <w:pPr>
              <w:pStyle w:val="TableParagraph"/>
              <w:spacing w:before="1"/>
              <w:jc w:val="both"/>
              <w:rPr>
                <w:b/>
                <w:sz w:val="27"/>
              </w:rPr>
            </w:pPr>
          </w:p>
          <w:p w:rsidR="00A56FAA" w:rsidRDefault="005C1C4A" w:rsidP="00046B36">
            <w:pPr>
              <w:pStyle w:val="TableParagraph"/>
              <w:spacing w:line="191" w:lineRule="exact"/>
              <w:ind w:left="95"/>
              <w:jc w:val="both"/>
              <w:rPr>
                <w:sz w:val="18"/>
              </w:rPr>
            </w:pPr>
            <w:r>
              <w:rPr>
                <w:sz w:val="18"/>
              </w:rPr>
              <w:t>366 (5,0)</w:t>
            </w:r>
          </w:p>
        </w:tc>
        <w:tc>
          <w:tcPr>
            <w:tcW w:w="982" w:type="dxa"/>
          </w:tcPr>
          <w:p w:rsidR="00A56FAA" w:rsidRDefault="00A56FAA" w:rsidP="00046B36">
            <w:pPr>
              <w:pStyle w:val="TableParagraph"/>
              <w:spacing w:before="1"/>
              <w:jc w:val="both"/>
              <w:rPr>
                <w:b/>
                <w:sz w:val="27"/>
              </w:rPr>
            </w:pPr>
          </w:p>
          <w:p w:rsidR="00A56FAA" w:rsidRDefault="005C1C4A" w:rsidP="00046B36">
            <w:pPr>
              <w:pStyle w:val="TableParagraph"/>
              <w:spacing w:line="191" w:lineRule="exact"/>
              <w:ind w:left="118"/>
              <w:jc w:val="both"/>
              <w:rPr>
                <w:sz w:val="18"/>
              </w:rPr>
            </w:pPr>
            <w:r>
              <w:rPr>
                <w:sz w:val="18"/>
              </w:rPr>
              <w:t>1,7</w:t>
            </w:r>
          </w:p>
        </w:tc>
        <w:tc>
          <w:tcPr>
            <w:tcW w:w="1498" w:type="dxa"/>
          </w:tcPr>
          <w:p w:rsidR="00A56FAA" w:rsidRDefault="00A56FAA" w:rsidP="00046B36">
            <w:pPr>
              <w:pStyle w:val="TableParagraph"/>
              <w:spacing w:before="1"/>
              <w:jc w:val="both"/>
              <w:rPr>
                <w:b/>
                <w:sz w:val="27"/>
              </w:rPr>
            </w:pPr>
          </w:p>
          <w:p w:rsidR="00A56FAA" w:rsidRDefault="005C1C4A" w:rsidP="00046B36">
            <w:pPr>
              <w:pStyle w:val="TableParagraph"/>
              <w:spacing w:line="191" w:lineRule="exact"/>
              <w:jc w:val="both"/>
              <w:rPr>
                <w:sz w:val="18"/>
              </w:rPr>
            </w:pPr>
            <w:r>
              <w:rPr>
                <w:sz w:val="18"/>
              </w:rPr>
              <w:t>1,03 (0,89-1,19)</w:t>
            </w:r>
          </w:p>
        </w:tc>
        <w:tc>
          <w:tcPr>
            <w:tcW w:w="881" w:type="dxa"/>
          </w:tcPr>
          <w:p w:rsidR="00A56FAA" w:rsidRDefault="00A56FAA" w:rsidP="00046B36">
            <w:pPr>
              <w:pStyle w:val="TableParagraph"/>
              <w:spacing w:before="1"/>
              <w:jc w:val="both"/>
              <w:rPr>
                <w:b/>
                <w:sz w:val="27"/>
              </w:rPr>
            </w:pPr>
          </w:p>
          <w:p w:rsidR="00A56FAA" w:rsidRDefault="005C1C4A" w:rsidP="00046B36">
            <w:pPr>
              <w:pStyle w:val="TableParagraph"/>
              <w:spacing w:line="191" w:lineRule="exact"/>
              <w:jc w:val="both"/>
              <w:rPr>
                <w:sz w:val="18"/>
              </w:rPr>
            </w:pPr>
            <w:r>
              <w:rPr>
                <w:sz w:val="18"/>
              </w:rPr>
              <w:t>0,711</w:t>
            </w:r>
          </w:p>
        </w:tc>
      </w:tr>
      <w:tr w:rsidR="00A56FAA">
        <w:trPr>
          <w:trHeight w:val="486"/>
        </w:trPr>
        <w:tc>
          <w:tcPr>
            <w:tcW w:w="3002" w:type="dxa"/>
          </w:tcPr>
          <w:p w:rsidR="00A56FAA" w:rsidRPr="005C1C4A" w:rsidRDefault="005C1C4A" w:rsidP="00046B36">
            <w:pPr>
              <w:pStyle w:val="TableParagraph"/>
              <w:spacing w:before="31" w:line="244" w:lineRule="auto"/>
              <w:ind w:left="453"/>
              <w:jc w:val="both"/>
              <w:rPr>
                <w:sz w:val="18"/>
                <w:lang w:val="el-GR"/>
              </w:rPr>
            </w:pPr>
            <w:r w:rsidRPr="005C1C4A">
              <w:rPr>
                <w:sz w:val="18"/>
                <w:lang w:val="el-GR"/>
              </w:rPr>
              <w:t>Όλα τα εμφράγματα του μυοκαρδίου (θανατηφόρα και μη)</w:t>
            </w:r>
          </w:p>
        </w:tc>
        <w:tc>
          <w:tcPr>
            <w:tcW w:w="996" w:type="dxa"/>
          </w:tcPr>
          <w:p w:rsidR="00A56FAA" w:rsidRPr="005C1C4A" w:rsidRDefault="00A56FAA" w:rsidP="00046B36">
            <w:pPr>
              <w:pStyle w:val="TableParagraph"/>
              <w:spacing w:before="11"/>
              <w:jc w:val="both"/>
              <w:rPr>
                <w:b/>
                <w:sz w:val="23"/>
                <w:lang w:val="el-GR"/>
              </w:rPr>
            </w:pPr>
          </w:p>
          <w:p w:rsidR="00A56FAA" w:rsidRDefault="005C1C4A" w:rsidP="00046B36">
            <w:pPr>
              <w:pStyle w:val="TableParagraph"/>
              <w:spacing w:line="191" w:lineRule="exact"/>
              <w:ind w:left="101"/>
              <w:jc w:val="both"/>
              <w:rPr>
                <w:sz w:val="18"/>
              </w:rPr>
            </w:pPr>
            <w:r>
              <w:rPr>
                <w:sz w:val="18"/>
              </w:rPr>
              <w:t>300 (4,1)</w:t>
            </w:r>
          </w:p>
        </w:tc>
        <w:tc>
          <w:tcPr>
            <w:tcW w:w="953" w:type="dxa"/>
          </w:tcPr>
          <w:p w:rsidR="00A56FAA" w:rsidRDefault="00A56FAA" w:rsidP="00046B36">
            <w:pPr>
              <w:pStyle w:val="TableParagraph"/>
              <w:spacing w:before="11"/>
              <w:jc w:val="both"/>
              <w:rPr>
                <w:b/>
                <w:sz w:val="23"/>
              </w:rPr>
            </w:pPr>
          </w:p>
          <w:p w:rsidR="00A56FAA" w:rsidRDefault="005C1C4A" w:rsidP="00046B36">
            <w:pPr>
              <w:pStyle w:val="TableParagraph"/>
              <w:spacing w:line="191" w:lineRule="exact"/>
              <w:jc w:val="both"/>
              <w:rPr>
                <w:sz w:val="18"/>
              </w:rPr>
            </w:pPr>
            <w:r>
              <w:rPr>
                <w:sz w:val="18"/>
              </w:rPr>
              <w:t>1,4</w:t>
            </w:r>
          </w:p>
        </w:tc>
        <w:tc>
          <w:tcPr>
            <w:tcW w:w="977" w:type="dxa"/>
          </w:tcPr>
          <w:p w:rsidR="00A56FAA" w:rsidRDefault="00A56FAA" w:rsidP="00046B36">
            <w:pPr>
              <w:pStyle w:val="TableParagraph"/>
              <w:spacing w:before="11"/>
              <w:jc w:val="both"/>
              <w:rPr>
                <w:b/>
                <w:sz w:val="23"/>
              </w:rPr>
            </w:pPr>
          </w:p>
          <w:p w:rsidR="00A56FAA" w:rsidRDefault="005C1C4A" w:rsidP="00046B36">
            <w:pPr>
              <w:pStyle w:val="TableParagraph"/>
              <w:spacing w:line="191" w:lineRule="exact"/>
              <w:ind w:left="95"/>
              <w:jc w:val="both"/>
              <w:rPr>
                <w:sz w:val="18"/>
              </w:rPr>
            </w:pPr>
            <w:r>
              <w:rPr>
                <w:sz w:val="18"/>
              </w:rPr>
              <w:t>316 (4,3)</w:t>
            </w:r>
          </w:p>
        </w:tc>
        <w:tc>
          <w:tcPr>
            <w:tcW w:w="982" w:type="dxa"/>
          </w:tcPr>
          <w:p w:rsidR="00A56FAA" w:rsidRDefault="00A56FAA" w:rsidP="00046B36">
            <w:pPr>
              <w:pStyle w:val="TableParagraph"/>
              <w:spacing w:before="11"/>
              <w:jc w:val="both"/>
              <w:rPr>
                <w:b/>
                <w:sz w:val="23"/>
              </w:rPr>
            </w:pPr>
          </w:p>
          <w:p w:rsidR="00A56FAA" w:rsidRDefault="005C1C4A" w:rsidP="00046B36">
            <w:pPr>
              <w:pStyle w:val="TableParagraph"/>
              <w:spacing w:line="191" w:lineRule="exact"/>
              <w:ind w:left="118"/>
              <w:jc w:val="both"/>
              <w:rPr>
                <w:sz w:val="18"/>
              </w:rPr>
            </w:pPr>
            <w:r>
              <w:rPr>
                <w:sz w:val="18"/>
              </w:rPr>
              <w:t>1,5</w:t>
            </w:r>
          </w:p>
        </w:tc>
        <w:tc>
          <w:tcPr>
            <w:tcW w:w="1498" w:type="dxa"/>
          </w:tcPr>
          <w:p w:rsidR="00A56FAA" w:rsidRDefault="00A56FAA" w:rsidP="00046B36">
            <w:pPr>
              <w:pStyle w:val="TableParagraph"/>
              <w:spacing w:before="11"/>
              <w:jc w:val="both"/>
              <w:rPr>
                <w:b/>
                <w:sz w:val="23"/>
              </w:rPr>
            </w:pPr>
          </w:p>
          <w:p w:rsidR="00A56FAA" w:rsidRDefault="005C1C4A" w:rsidP="00046B36">
            <w:pPr>
              <w:pStyle w:val="TableParagraph"/>
              <w:spacing w:line="191" w:lineRule="exact"/>
              <w:jc w:val="both"/>
              <w:rPr>
                <w:sz w:val="18"/>
              </w:rPr>
            </w:pPr>
            <w:r>
              <w:rPr>
                <w:sz w:val="18"/>
              </w:rPr>
              <w:t>0,95 (0,81–1,11)</w:t>
            </w:r>
          </w:p>
        </w:tc>
        <w:tc>
          <w:tcPr>
            <w:tcW w:w="881" w:type="dxa"/>
          </w:tcPr>
          <w:p w:rsidR="00A56FAA" w:rsidRDefault="00A56FAA" w:rsidP="00046B36">
            <w:pPr>
              <w:pStyle w:val="TableParagraph"/>
              <w:spacing w:before="11"/>
              <w:jc w:val="both"/>
              <w:rPr>
                <w:b/>
                <w:sz w:val="23"/>
              </w:rPr>
            </w:pPr>
          </w:p>
          <w:p w:rsidR="00A56FAA" w:rsidRDefault="005C1C4A" w:rsidP="00046B36">
            <w:pPr>
              <w:pStyle w:val="TableParagraph"/>
              <w:spacing w:line="191" w:lineRule="exact"/>
              <w:jc w:val="both"/>
              <w:rPr>
                <w:sz w:val="18"/>
              </w:rPr>
            </w:pPr>
            <w:r>
              <w:rPr>
                <w:sz w:val="18"/>
              </w:rPr>
              <w:t>0,487</w:t>
            </w:r>
          </w:p>
        </w:tc>
      </w:tr>
      <w:tr w:rsidR="00A56FAA">
        <w:trPr>
          <w:trHeight w:val="455"/>
        </w:trPr>
        <w:tc>
          <w:tcPr>
            <w:tcW w:w="3002" w:type="dxa"/>
          </w:tcPr>
          <w:p w:rsidR="00A56FAA" w:rsidRPr="005C1C4A" w:rsidRDefault="005C1C4A" w:rsidP="00046B36">
            <w:pPr>
              <w:pStyle w:val="TableParagraph"/>
              <w:spacing w:before="13" w:line="210" w:lineRule="atLeast"/>
              <w:ind w:left="453"/>
              <w:jc w:val="both"/>
              <w:rPr>
                <w:sz w:val="18"/>
                <w:lang w:val="el-GR"/>
              </w:rPr>
            </w:pPr>
            <w:r w:rsidRPr="005C1C4A">
              <w:rPr>
                <w:sz w:val="18"/>
                <w:lang w:val="el-GR"/>
              </w:rPr>
              <w:t>Όλα τα αγγειακά εγκεφαλικά επεισόδια (θανατηφόρα και μη)</w:t>
            </w:r>
          </w:p>
        </w:tc>
        <w:tc>
          <w:tcPr>
            <w:tcW w:w="996" w:type="dxa"/>
          </w:tcPr>
          <w:p w:rsidR="00A56FAA" w:rsidRPr="005C1C4A" w:rsidRDefault="00A56FAA" w:rsidP="00046B36">
            <w:pPr>
              <w:pStyle w:val="TableParagraph"/>
              <w:spacing w:before="2"/>
              <w:jc w:val="both"/>
              <w:rPr>
                <w:b/>
                <w:sz w:val="21"/>
                <w:lang w:val="el-GR"/>
              </w:rPr>
            </w:pPr>
          </w:p>
          <w:p w:rsidR="00A56FAA" w:rsidRDefault="005C1C4A" w:rsidP="00046B36">
            <w:pPr>
              <w:pStyle w:val="TableParagraph"/>
              <w:spacing w:before="1" w:line="191" w:lineRule="exact"/>
              <w:ind w:left="101"/>
              <w:jc w:val="both"/>
              <w:rPr>
                <w:sz w:val="18"/>
              </w:rPr>
            </w:pPr>
            <w:r>
              <w:rPr>
                <w:sz w:val="18"/>
              </w:rPr>
              <w:t>178 (2,4)</w:t>
            </w:r>
          </w:p>
        </w:tc>
        <w:tc>
          <w:tcPr>
            <w:tcW w:w="953" w:type="dxa"/>
          </w:tcPr>
          <w:p w:rsidR="00A56FAA" w:rsidRDefault="00A56FAA" w:rsidP="00046B36">
            <w:pPr>
              <w:pStyle w:val="TableParagraph"/>
              <w:spacing w:before="2"/>
              <w:jc w:val="both"/>
              <w:rPr>
                <w:b/>
                <w:sz w:val="21"/>
              </w:rPr>
            </w:pPr>
          </w:p>
          <w:p w:rsidR="00A56FAA" w:rsidRDefault="005C1C4A" w:rsidP="00046B36">
            <w:pPr>
              <w:pStyle w:val="TableParagraph"/>
              <w:spacing w:before="1" w:line="191" w:lineRule="exact"/>
              <w:jc w:val="both"/>
              <w:rPr>
                <w:sz w:val="18"/>
              </w:rPr>
            </w:pPr>
            <w:r>
              <w:rPr>
                <w:sz w:val="18"/>
              </w:rPr>
              <w:t>0,8</w:t>
            </w:r>
          </w:p>
        </w:tc>
        <w:tc>
          <w:tcPr>
            <w:tcW w:w="977" w:type="dxa"/>
          </w:tcPr>
          <w:p w:rsidR="00A56FAA" w:rsidRDefault="00A56FAA" w:rsidP="00046B36">
            <w:pPr>
              <w:pStyle w:val="TableParagraph"/>
              <w:spacing w:before="2"/>
              <w:jc w:val="both"/>
              <w:rPr>
                <w:b/>
                <w:sz w:val="21"/>
              </w:rPr>
            </w:pPr>
          </w:p>
          <w:p w:rsidR="00A56FAA" w:rsidRDefault="005C1C4A" w:rsidP="00046B36">
            <w:pPr>
              <w:pStyle w:val="TableParagraph"/>
              <w:spacing w:before="1" w:line="191" w:lineRule="exact"/>
              <w:ind w:left="95"/>
              <w:jc w:val="both"/>
              <w:rPr>
                <w:sz w:val="18"/>
              </w:rPr>
            </w:pPr>
            <w:r>
              <w:rPr>
                <w:sz w:val="18"/>
              </w:rPr>
              <w:t>183 (2,5)</w:t>
            </w:r>
          </w:p>
        </w:tc>
        <w:tc>
          <w:tcPr>
            <w:tcW w:w="982" w:type="dxa"/>
          </w:tcPr>
          <w:p w:rsidR="00A56FAA" w:rsidRDefault="00A56FAA" w:rsidP="00046B36">
            <w:pPr>
              <w:pStyle w:val="TableParagraph"/>
              <w:spacing w:before="2"/>
              <w:jc w:val="both"/>
              <w:rPr>
                <w:b/>
                <w:sz w:val="21"/>
              </w:rPr>
            </w:pPr>
          </w:p>
          <w:p w:rsidR="00A56FAA" w:rsidRDefault="005C1C4A" w:rsidP="00046B36">
            <w:pPr>
              <w:pStyle w:val="TableParagraph"/>
              <w:spacing w:before="1" w:line="191" w:lineRule="exact"/>
              <w:ind w:left="118"/>
              <w:jc w:val="both"/>
              <w:rPr>
                <w:sz w:val="18"/>
              </w:rPr>
            </w:pPr>
            <w:r>
              <w:rPr>
                <w:sz w:val="18"/>
              </w:rPr>
              <w:t>0,9</w:t>
            </w:r>
          </w:p>
        </w:tc>
        <w:tc>
          <w:tcPr>
            <w:tcW w:w="1498" w:type="dxa"/>
          </w:tcPr>
          <w:p w:rsidR="00A56FAA" w:rsidRDefault="00A56FAA" w:rsidP="00046B36">
            <w:pPr>
              <w:pStyle w:val="TableParagraph"/>
              <w:spacing w:before="2"/>
              <w:jc w:val="both"/>
              <w:rPr>
                <w:b/>
                <w:sz w:val="21"/>
              </w:rPr>
            </w:pPr>
          </w:p>
          <w:p w:rsidR="00A56FAA" w:rsidRDefault="005C1C4A" w:rsidP="00046B36">
            <w:pPr>
              <w:pStyle w:val="TableParagraph"/>
              <w:spacing w:before="1" w:line="191" w:lineRule="exact"/>
              <w:jc w:val="both"/>
              <w:rPr>
                <w:sz w:val="18"/>
              </w:rPr>
            </w:pPr>
            <w:r>
              <w:rPr>
                <w:sz w:val="18"/>
              </w:rPr>
              <w:t>0,97 (0,79–1,19)</w:t>
            </w:r>
          </w:p>
        </w:tc>
        <w:tc>
          <w:tcPr>
            <w:tcW w:w="881" w:type="dxa"/>
          </w:tcPr>
          <w:p w:rsidR="00A56FAA" w:rsidRDefault="00A56FAA" w:rsidP="00046B36">
            <w:pPr>
              <w:pStyle w:val="TableParagraph"/>
              <w:spacing w:before="2"/>
              <w:jc w:val="both"/>
              <w:rPr>
                <w:b/>
                <w:sz w:val="21"/>
              </w:rPr>
            </w:pPr>
          </w:p>
          <w:p w:rsidR="00A56FAA" w:rsidRDefault="005C1C4A" w:rsidP="00046B36">
            <w:pPr>
              <w:pStyle w:val="TableParagraph"/>
              <w:spacing w:before="1" w:line="191" w:lineRule="exact"/>
              <w:jc w:val="both"/>
              <w:rPr>
                <w:sz w:val="18"/>
              </w:rPr>
            </w:pPr>
            <w:r>
              <w:rPr>
                <w:sz w:val="18"/>
              </w:rPr>
              <w:t>0,760</w:t>
            </w:r>
          </w:p>
        </w:tc>
      </w:tr>
      <w:tr w:rsidR="00A56FAA">
        <w:trPr>
          <w:trHeight w:val="405"/>
        </w:trPr>
        <w:tc>
          <w:tcPr>
            <w:tcW w:w="3002" w:type="dxa"/>
          </w:tcPr>
          <w:p w:rsidR="00A56FAA" w:rsidRDefault="005C1C4A" w:rsidP="00046B36">
            <w:pPr>
              <w:pStyle w:val="TableParagraph"/>
              <w:spacing w:before="95"/>
              <w:jc w:val="both"/>
              <w:rPr>
                <w:sz w:val="18"/>
              </w:rPr>
            </w:pPr>
            <w:r>
              <w:rPr>
                <w:sz w:val="18"/>
              </w:rPr>
              <w:t>Νοσηλεία για ασταθή στηθάγχη</w:t>
            </w:r>
          </w:p>
        </w:tc>
        <w:tc>
          <w:tcPr>
            <w:tcW w:w="996" w:type="dxa"/>
          </w:tcPr>
          <w:p w:rsidR="00A56FAA" w:rsidRDefault="00A56FAA" w:rsidP="00046B36">
            <w:pPr>
              <w:pStyle w:val="TableParagraph"/>
              <w:spacing w:before="10"/>
              <w:jc w:val="both"/>
              <w:rPr>
                <w:b/>
                <w:sz w:val="16"/>
              </w:rPr>
            </w:pPr>
          </w:p>
          <w:p w:rsidR="00A56FAA" w:rsidRDefault="005C1C4A" w:rsidP="00046B36">
            <w:pPr>
              <w:pStyle w:val="TableParagraph"/>
              <w:spacing w:line="191" w:lineRule="exact"/>
              <w:ind w:left="101"/>
              <w:jc w:val="both"/>
              <w:rPr>
                <w:sz w:val="18"/>
              </w:rPr>
            </w:pPr>
            <w:r>
              <w:rPr>
                <w:sz w:val="18"/>
              </w:rPr>
              <w:t>116 (1,6)</w:t>
            </w:r>
          </w:p>
        </w:tc>
        <w:tc>
          <w:tcPr>
            <w:tcW w:w="953" w:type="dxa"/>
          </w:tcPr>
          <w:p w:rsidR="00A56FAA" w:rsidRDefault="00A56FAA" w:rsidP="00046B36">
            <w:pPr>
              <w:pStyle w:val="TableParagraph"/>
              <w:spacing w:before="10"/>
              <w:jc w:val="both"/>
              <w:rPr>
                <w:b/>
                <w:sz w:val="16"/>
              </w:rPr>
            </w:pPr>
          </w:p>
          <w:p w:rsidR="00A56FAA" w:rsidRDefault="005C1C4A" w:rsidP="00046B36">
            <w:pPr>
              <w:pStyle w:val="TableParagraph"/>
              <w:spacing w:line="191" w:lineRule="exact"/>
              <w:jc w:val="both"/>
              <w:rPr>
                <w:sz w:val="18"/>
              </w:rPr>
            </w:pPr>
            <w:r>
              <w:rPr>
                <w:sz w:val="18"/>
              </w:rPr>
              <w:t>0,5</w:t>
            </w:r>
          </w:p>
        </w:tc>
        <w:tc>
          <w:tcPr>
            <w:tcW w:w="977" w:type="dxa"/>
          </w:tcPr>
          <w:p w:rsidR="00A56FAA" w:rsidRDefault="00A56FAA" w:rsidP="00046B36">
            <w:pPr>
              <w:pStyle w:val="TableParagraph"/>
              <w:spacing w:before="10"/>
              <w:jc w:val="both"/>
              <w:rPr>
                <w:b/>
                <w:sz w:val="16"/>
              </w:rPr>
            </w:pPr>
          </w:p>
          <w:p w:rsidR="00A56FAA" w:rsidRDefault="005C1C4A" w:rsidP="00046B36">
            <w:pPr>
              <w:pStyle w:val="TableParagraph"/>
              <w:spacing w:line="191" w:lineRule="exact"/>
              <w:ind w:left="95"/>
              <w:jc w:val="both"/>
              <w:rPr>
                <w:sz w:val="18"/>
              </w:rPr>
            </w:pPr>
            <w:r>
              <w:rPr>
                <w:sz w:val="18"/>
              </w:rPr>
              <w:t>129 (1,8)</w:t>
            </w:r>
          </w:p>
        </w:tc>
        <w:tc>
          <w:tcPr>
            <w:tcW w:w="982" w:type="dxa"/>
          </w:tcPr>
          <w:p w:rsidR="00A56FAA" w:rsidRDefault="00A56FAA" w:rsidP="00046B36">
            <w:pPr>
              <w:pStyle w:val="TableParagraph"/>
              <w:spacing w:before="10"/>
              <w:jc w:val="both"/>
              <w:rPr>
                <w:b/>
                <w:sz w:val="16"/>
              </w:rPr>
            </w:pPr>
          </w:p>
          <w:p w:rsidR="00A56FAA" w:rsidRDefault="005C1C4A" w:rsidP="00046B36">
            <w:pPr>
              <w:pStyle w:val="TableParagraph"/>
              <w:spacing w:line="191" w:lineRule="exact"/>
              <w:ind w:left="118"/>
              <w:jc w:val="both"/>
              <w:rPr>
                <w:sz w:val="18"/>
              </w:rPr>
            </w:pPr>
            <w:r>
              <w:rPr>
                <w:sz w:val="18"/>
              </w:rPr>
              <w:t>0,6</w:t>
            </w:r>
          </w:p>
        </w:tc>
        <w:tc>
          <w:tcPr>
            <w:tcW w:w="1498" w:type="dxa"/>
          </w:tcPr>
          <w:p w:rsidR="00A56FAA" w:rsidRDefault="00A56FAA" w:rsidP="00046B36">
            <w:pPr>
              <w:pStyle w:val="TableParagraph"/>
              <w:spacing w:before="10"/>
              <w:jc w:val="both"/>
              <w:rPr>
                <w:b/>
                <w:sz w:val="16"/>
              </w:rPr>
            </w:pPr>
          </w:p>
          <w:p w:rsidR="00A56FAA" w:rsidRDefault="005C1C4A" w:rsidP="00046B36">
            <w:pPr>
              <w:pStyle w:val="TableParagraph"/>
              <w:spacing w:line="191" w:lineRule="exact"/>
              <w:jc w:val="both"/>
              <w:rPr>
                <w:sz w:val="18"/>
              </w:rPr>
            </w:pPr>
            <w:r>
              <w:rPr>
                <w:sz w:val="18"/>
              </w:rPr>
              <w:t>0,90 (0,70–1,16)</w:t>
            </w:r>
          </w:p>
        </w:tc>
        <w:tc>
          <w:tcPr>
            <w:tcW w:w="881" w:type="dxa"/>
          </w:tcPr>
          <w:p w:rsidR="00A56FAA" w:rsidRDefault="00A56FAA" w:rsidP="00046B36">
            <w:pPr>
              <w:pStyle w:val="TableParagraph"/>
              <w:spacing w:before="10"/>
              <w:jc w:val="both"/>
              <w:rPr>
                <w:b/>
                <w:sz w:val="16"/>
              </w:rPr>
            </w:pPr>
          </w:p>
          <w:p w:rsidR="00A56FAA" w:rsidRDefault="005C1C4A" w:rsidP="00046B36">
            <w:pPr>
              <w:pStyle w:val="TableParagraph"/>
              <w:spacing w:line="191" w:lineRule="exact"/>
              <w:jc w:val="both"/>
              <w:rPr>
                <w:sz w:val="18"/>
              </w:rPr>
            </w:pPr>
            <w:r>
              <w:rPr>
                <w:sz w:val="18"/>
              </w:rPr>
              <w:t>0,419</w:t>
            </w:r>
          </w:p>
        </w:tc>
      </w:tr>
      <w:tr w:rsidR="00A56FAA">
        <w:trPr>
          <w:trHeight w:val="273"/>
        </w:trPr>
        <w:tc>
          <w:tcPr>
            <w:tcW w:w="3002" w:type="dxa"/>
          </w:tcPr>
          <w:p w:rsidR="00A56FAA" w:rsidRDefault="005C1C4A" w:rsidP="00046B36">
            <w:pPr>
              <w:pStyle w:val="TableParagraph"/>
              <w:spacing w:before="31"/>
              <w:jc w:val="both"/>
              <w:rPr>
                <w:sz w:val="18"/>
              </w:rPr>
            </w:pPr>
            <w:r>
              <w:rPr>
                <w:sz w:val="18"/>
              </w:rPr>
              <w:t>Θάνατος από οποιοδήποτε αίτιο</w:t>
            </w:r>
          </w:p>
        </w:tc>
        <w:tc>
          <w:tcPr>
            <w:tcW w:w="996" w:type="dxa"/>
          </w:tcPr>
          <w:p w:rsidR="00A56FAA" w:rsidRDefault="005C1C4A" w:rsidP="00046B36">
            <w:pPr>
              <w:pStyle w:val="TableParagraph"/>
              <w:spacing w:before="62" w:line="191" w:lineRule="exact"/>
              <w:ind w:left="101"/>
              <w:jc w:val="both"/>
              <w:rPr>
                <w:sz w:val="18"/>
              </w:rPr>
            </w:pPr>
            <w:r>
              <w:rPr>
                <w:sz w:val="18"/>
              </w:rPr>
              <w:t>547 (7,5)</w:t>
            </w:r>
          </w:p>
        </w:tc>
        <w:tc>
          <w:tcPr>
            <w:tcW w:w="953" w:type="dxa"/>
          </w:tcPr>
          <w:p w:rsidR="00A56FAA" w:rsidRDefault="005C1C4A" w:rsidP="00046B36">
            <w:pPr>
              <w:pStyle w:val="TableParagraph"/>
              <w:spacing w:before="62" w:line="191" w:lineRule="exact"/>
              <w:jc w:val="both"/>
              <w:rPr>
                <w:sz w:val="18"/>
              </w:rPr>
            </w:pPr>
            <w:r>
              <w:rPr>
                <w:sz w:val="18"/>
              </w:rPr>
              <w:t>2,5</w:t>
            </w:r>
          </w:p>
        </w:tc>
        <w:tc>
          <w:tcPr>
            <w:tcW w:w="977" w:type="dxa"/>
          </w:tcPr>
          <w:p w:rsidR="00A56FAA" w:rsidRDefault="005C1C4A" w:rsidP="00046B36">
            <w:pPr>
              <w:pStyle w:val="TableParagraph"/>
              <w:spacing w:before="62" w:line="191" w:lineRule="exact"/>
              <w:ind w:left="95"/>
              <w:jc w:val="both"/>
              <w:rPr>
                <w:sz w:val="18"/>
              </w:rPr>
            </w:pPr>
            <w:r>
              <w:rPr>
                <w:sz w:val="18"/>
              </w:rPr>
              <w:t>537 (7,3)</w:t>
            </w:r>
          </w:p>
        </w:tc>
        <w:tc>
          <w:tcPr>
            <w:tcW w:w="982" w:type="dxa"/>
          </w:tcPr>
          <w:p w:rsidR="00A56FAA" w:rsidRDefault="005C1C4A" w:rsidP="00046B36">
            <w:pPr>
              <w:pStyle w:val="TableParagraph"/>
              <w:spacing w:before="62" w:line="191" w:lineRule="exact"/>
              <w:ind w:left="118"/>
              <w:jc w:val="both"/>
              <w:rPr>
                <w:sz w:val="18"/>
              </w:rPr>
            </w:pPr>
            <w:r>
              <w:rPr>
                <w:sz w:val="18"/>
              </w:rPr>
              <w:t>2,5</w:t>
            </w:r>
          </w:p>
        </w:tc>
        <w:tc>
          <w:tcPr>
            <w:tcW w:w="1498" w:type="dxa"/>
          </w:tcPr>
          <w:p w:rsidR="00A56FAA" w:rsidRDefault="005C1C4A" w:rsidP="00046B36">
            <w:pPr>
              <w:pStyle w:val="TableParagraph"/>
              <w:spacing w:before="62" w:line="191" w:lineRule="exact"/>
              <w:jc w:val="both"/>
              <w:rPr>
                <w:sz w:val="18"/>
              </w:rPr>
            </w:pPr>
            <w:r>
              <w:rPr>
                <w:sz w:val="18"/>
              </w:rPr>
              <w:t>1,01 (0,90–1,14)</w:t>
            </w:r>
          </w:p>
        </w:tc>
        <w:tc>
          <w:tcPr>
            <w:tcW w:w="881" w:type="dxa"/>
          </w:tcPr>
          <w:p w:rsidR="00A56FAA" w:rsidRDefault="005C1C4A" w:rsidP="00046B36">
            <w:pPr>
              <w:pStyle w:val="TableParagraph"/>
              <w:spacing w:before="62" w:line="191" w:lineRule="exact"/>
              <w:jc w:val="both"/>
              <w:rPr>
                <w:sz w:val="18"/>
              </w:rPr>
            </w:pPr>
            <w:r>
              <w:rPr>
                <w:sz w:val="18"/>
              </w:rPr>
              <w:t>0,875</w:t>
            </w:r>
          </w:p>
        </w:tc>
      </w:tr>
      <w:tr w:rsidR="00A56FAA">
        <w:trPr>
          <w:trHeight w:val="575"/>
        </w:trPr>
        <w:tc>
          <w:tcPr>
            <w:tcW w:w="3002" w:type="dxa"/>
          </w:tcPr>
          <w:p w:rsidR="00A56FAA" w:rsidRDefault="005C1C4A" w:rsidP="00046B36">
            <w:pPr>
              <w:pStyle w:val="TableParagraph"/>
              <w:spacing w:before="76" w:line="244" w:lineRule="auto"/>
              <w:ind w:left="453"/>
              <w:jc w:val="both"/>
              <w:rPr>
                <w:sz w:val="18"/>
              </w:rPr>
            </w:pPr>
            <w:r>
              <w:rPr>
                <w:sz w:val="18"/>
              </w:rPr>
              <w:t>Νοσηλεία για καρδιακή ανεπάρκεια</w:t>
            </w:r>
            <w:r>
              <w:rPr>
                <w:sz w:val="18"/>
                <w:vertAlign w:val="superscript"/>
              </w:rPr>
              <w:t>‡</w:t>
            </w:r>
          </w:p>
        </w:tc>
        <w:tc>
          <w:tcPr>
            <w:tcW w:w="996" w:type="dxa"/>
          </w:tcPr>
          <w:p w:rsidR="00A56FAA" w:rsidRDefault="00A56FAA" w:rsidP="00046B36">
            <w:pPr>
              <w:pStyle w:val="TableParagraph"/>
              <w:jc w:val="both"/>
              <w:rPr>
                <w:b/>
                <w:sz w:val="20"/>
              </w:rPr>
            </w:pPr>
          </w:p>
          <w:p w:rsidR="00A56FAA" w:rsidRDefault="005C1C4A" w:rsidP="00046B36">
            <w:pPr>
              <w:pStyle w:val="TableParagraph"/>
              <w:spacing w:before="134" w:line="191" w:lineRule="exact"/>
              <w:ind w:left="101"/>
              <w:jc w:val="both"/>
              <w:rPr>
                <w:sz w:val="18"/>
              </w:rPr>
            </w:pPr>
            <w:r>
              <w:rPr>
                <w:sz w:val="18"/>
              </w:rPr>
              <w:t>228 (3,1)</w:t>
            </w:r>
          </w:p>
        </w:tc>
        <w:tc>
          <w:tcPr>
            <w:tcW w:w="953" w:type="dxa"/>
          </w:tcPr>
          <w:p w:rsidR="00A56FAA" w:rsidRDefault="00A56FAA" w:rsidP="00046B36">
            <w:pPr>
              <w:pStyle w:val="TableParagraph"/>
              <w:jc w:val="both"/>
              <w:rPr>
                <w:b/>
                <w:sz w:val="20"/>
              </w:rPr>
            </w:pPr>
          </w:p>
          <w:p w:rsidR="00A56FAA" w:rsidRDefault="005C1C4A" w:rsidP="00046B36">
            <w:pPr>
              <w:pStyle w:val="TableParagraph"/>
              <w:spacing w:before="134" w:line="191" w:lineRule="exact"/>
              <w:jc w:val="both"/>
              <w:rPr>
                <w:sz w:val="18"/>
              </w:rPr>
            </w:pPr>
            <w:r>
              <w:rPr>
                <w:sz w:val="18"/>
              </w:rPr>
              <w:t>1,1</w:t>
            </w:r>
          </w:p>
        </w:tc>
        <w:tc>
          <w:tcPr>
            <w:tcW w:w="977" w:type="dxa"/>
          </w:tcPr>
          <w:p w:rsidR="00A56FAA" w:rsidRDefault="00A56FAA" w:rsidP="00046B36">
            <w:pPr>
              <w:pStyle w:val="TableParagraph"/>
              <w:jc w:val="both"/>
              <w:rPr>
                <w:b/>
                <w:sz w:val="20"/>
              </w:rPr>
            </w:pPr>
          </w:p>
          <w:p w:rsidR="00A56FAA" w:rsidRDefault="005C1C4A" w:rsidP="00046B36">
            <w:pPr>
              <w:pStyle w:val="TableParagraph"/>
              <w:spacing w:before="134" w:line="191" w:lineRule="exact"/>
              <w:ind w:left="95"/>
              <w:jc w:val="both"/>
              <w:rPr>
                <w:sz w:val="18"/>
              </w:rPr>
            </w:pPr>
            <w:r>
              <w:rPr>
                <w:sz w:val="18"/>
              </w:rPr>
              <w:t>229 (3,1)</w:t>
            </w:r>
          </w:p>
        </w:tc>
        <w:tc>
          <w:tcPr>
            <w:tcW w:w="982" w:type="dxa"/>
          </w:tcPr>
          <w:p w:rsidR="00A56FAA" w:rsidRDefault="00A56FAA" w:rsidP="00046B36">
            <w:pPr>
              <w:pStyle w:val="TableParagraph"/>
              <w:jc w:val="both"/>
              <w:rPr>
                <w:b/>
                <w:sz w:val="20"/>
              </w:rPr>
            </w:pPr>
          </w:p>
          <w:p w:rsidR="00A56FAA" w:rsidRDefault="005C1C4A" w:rsidP="00046B36">
            <w:pPr>
              <w:pStyle w:val="TableParagraph"/>
              <w:spacing w:before="134" w:line="191" w:lineRule="exact"/>
              <w:ind w:left="118"/>
              <w:jc w:val="both"/>
              <w:rPr>
                <w:sz w:val="18"/>
              </w:rPr>
            </w:pPr>
            <w:r>
              <w:rPr>
                <w:sz w:val="18"/>
              </w:rPr>
              <w:t>1,1</w:t>
            </w:r>
          </w:p>
        </w:tc>
        <w:tc>
          <w:tcPr>
            <w:tcW w:w="1498" w:type="dxa"/>
          </w:tcPr>
          <w:p w:rsidR="00A56FAA" w:rsidRDefault="00A56FAA" w:rsidP="00046B36">
            <w:pPr>
              <w:pStyle w:val="TableParagraph"/>
              <w:jc w:val="both"/>
              <w:rPr>
                <w:b/>
                <w:sz w:val="20"/>
              </w:rPr>
            </w:pPr>
          </w:p>
          <w:p w:rsidR="00A56FAA" w:rsidRDefault="005C1C4A" w:rsidP="00046B36">
            <w:pPr>
              <w:pStyle w:val="TableParagraph"/>
              <w:spacing w:before="134" w:line="191" w:lineRule="exact"/>
              <w:jc w:val="both"/>
              <w:rPr>
                <w:sz w:val="18"/>
              </w:rPr>
            </w:pPr>
            <w:r>
              <w:rPr>
                <w:sz w:val="18"/>
              </w:rPr>
              <w:t>1,00 (0,83–1,20)</w:t>
            </w:r>
          </w:p>
        </w:tc>
        <w:tc>
          <w:tcPr>
            <w:tcW w:w="881" w:type="dxa"/>
          </w:tcPr>
          <w:p w:rsidR="00A56FAA" w:rsidRDefault="00A56FAA" w:rsidP="00046B36">
            <w:pPr>
              <w:pStyle w:val="TableParagraph"/>
              <w:jc w:val="both"/>
              <w:rPr>
                <w:b/>
                <w:sz w:val="20"/>
              </w:rPr>
            </w:pPr>
          </w:p>
          <w:p w:rsidR="00A56FAA" w:rsidRDefault="005C1C4A" w:rsidP="00046B36">
            <w:pPr>
              <w:pStyle w:val="TableParagraph"/>
              <w:spacing w:before="134" w:line="191" w:lineRule="exact"/>
              <w:jc w:val="both"/>
              <w:rPr>
                <w:sz w:val="18"/>
              </w:rPr>
            </w:pPr>
            <w:r>
              <w:rPr>
                <w:sz w:val="18"/>
              </w:rPr>
              <w:t>0,983</w:t>
            </w:r>
          </w:p>
        </w:tc>
      </w:tr>
    </w:tbl>
    <w:p w:rsidR="00A56FAA" w:rsidRPr="005C1C4A" w:rsidRDefault="005C1C4A" w:rsidP="00046B36">
      <w:pPr>
        <w:spacing w:line="244" w:lineRule="auto"/>
        <w:ind w:left="309" w:hanging="92"/>
        <w:jc w:val="both"/>
        <w:rPr>
          <w:sz w:val="18"/>
          <w:lang w:val="el-GR"/>
        </w:rPr>
      </w:pPr>
      <w:r w:rsidRPr="005C1C4A">
        <w:rPr>
          <w:sz w:val="18"/>
          <w:lang w:val="el-GR"/>
        </w:rPr>
        <w:t>* Η συχνότητα εμφάνισης ανά 100 ασθενείς-έτη υπολογίζεται ως 100 × (συνολικός αριθμός ασθενών με ≥ 1 συμβάντα κατά τη διάρκεια της επιλέξιμης περιόδου έκθεσης ανά συνολικό αριθμό ασθενών-ετών της παρακολούθησης).</w:t>
      </w:r>
    </w:p>
    <w:p w:rsidR="00A56FAA" w:rsidRPr="005C1C4A" w:rsidRDefault="005C1C4A" w:rsidP="00046B36">
      <w:pPr>
        <w:spacing w:line="207" w:lineRule="exact"/>
        <w:ind w:left="218"/>
        <w:jc w:val="both"/>
        <w:rPr>
          <w:sz w:val="18"/>
          <w:lang w:val="el-GR"/>
        </w:rPr>
      </w:pPr>
      <w:r w:rsidRPr="005C1C4A">
        <w:rPr>
          <w:position w:val="8"/>
          <w:sz w:val="12"/>
          <w:lang w:val="el-GR"/>
        </w:rPr>
        <w:t xml:space="preserve">† </w:t>
      </w:r>
      <w:r w:rsidRPr="005C1C4A">
        <w:rPr>
          <w:sz w:val="18"/>
          <w:lang w:val="el-GR"/>
        </w:rPr>
        <w:t xml:space="preserve">Με βάση στρωματοποιημένο μοντέλο </w:t>
      </w:r>
      <w:r>
        <w:rPr>
          <w:sz w:val="18"/>
        </w:rPr>
        <w:t>Cox</w:t>
      </w:r>
      <w:r w:rsidRPr="005C1C4A">
        <w:rPr>
          <w:sz w:val="18"/>
          <w:lang w:val="el-GR"/>
        </w:rPr>
        <w:t xml:space="preserve"> ανά περιοχή. Για τα σύνθετα καταληκτικά σημεία, οι τιμές </w:t>
      </w:r>
      <w:r>
        <w:rPr>
          <w:sz w:val="18"/>
        </w:rPr>
        <w:t>p</w:t>
      </w:r>
      <w:r w:rsidRPr="005C1C4A">
        <w:rPr>
          <w:sz w:val="18"/>
          <w:lang w:val="el-GR"/>
        </w:rPr>
        <w:t xml:space="preserve"> αντιστοιχούν σε</w:t>
      </w:r>
    </w:p>
    <w:p w:rsidR="00A56FAA" w:rsidRPr="005C1C4A" w:rsidRDefault="005C1C4A" w:rsidP="00046B36">
      <w:pPr>
        <w:spacing w:before="3" w:line="244" w:lineRule="auto"/>
        <w:ind w:left="309"/>
        <w:jc w:val="both"/>
        <w:rPr>
          <w:sz w:val="18"/>
          <w:lang w:val="el-GR"/>
        </w:rPr>
      </w:pPr>
      <w:r w:rsidRPr="005C1C4A">
        <w:rPr>
          <w:sz w:val="18"/>
          <w:lang w:val="el-GR"/>
        </w:rPr>
        <w:t xml:space="preserve">μια δοκιμασία μη κατωτερότητας που έχει στόχο να αποδείξει ότι η αναλογία κινδύνου είναι μικρότερη από 1,3. Για όλα τα άλλα καταληκτικά σημεία, οι τιμές </w:t>
      </w:r>
      <w:r>
        <w:rPr>
          <w:sz w:val="18"/>
        </w:rPr>
        <w:t>p</w:t>
      </w:r>
      <w:r w:rsidRPr="005C1C4A">
        <w:rPr>
          <w:sz w:val="18"/>
          <w:lang w:val="el-GR"/>
        </w:rPr>
        <w:t xml:space="preserve"> αντιστοιχούν σε μια δοκιμασία των διαφορών στις αναλογίες κινδύνου.</w:t>
      </w:r>
    </w:p>
    <w:p w:rsidR="00A56FAA" w:rsidRPr="005C1C4A" w:rsidRDefault="005C1C4A" w:rsidP="00046B36">
      <w:pPr>
        <w:spacing w:line="207" w:lineRule="exact"/>
        <w:ind w:left="218"/>
        <w:jc w:val="both"/>
        <w:rPr>
          <w:sz w:val="18"/>
          <w:lang w:val="el-GR"/>
        </w:rPr>
      </w:pPr>
      <w:r w:rsidRPr="005C1C4A">
        <w:rPr>
          <w:position w:val="8"/>
          <w:sz w:val="12"/>
          <w:lang w:val="el-GR"/>
        </w:rPr>
        <w:t xml:space="preserve">‡ </w:t>
      </w:r>
      <w:r w:rsidRPr="005C1C4A">
        <w:rPr>
          <w:sz w:val="18"/>
          <w:lang w:val="el-GR"/>
        </w:rPr>
        <w:t>Η ανάλυση της νοσηλείας για καρδιακή ανεπάρκεια προσαρμόστηκε με βάση το ιστορικό καρδιακής ανεπάρκειας κατά την</w:t>
      </w:r>
    </w:p>
    <w:p w:rsidR="00A56FAA" w:rsidRPr="005C1C4A" w:rsidRDefault="005C1C4A" w:rsidP="00046B36">
      <w:pPr>
        <w:spacing w:before="4"/>
        <w:ind w:left="360"/>
        <w:jc w:val="both"/>
        <w:rPr>
          <w:sz w:val="18"/>
          <w:lang w:val="el-GR"/>
        </w:rPr>
      </w:pPr>
      <w:r w:rsidRPr="005C1C4A">
        <w:rPr>
          <w:sz w:val="18"/>
          <w:lang w:val="el-GR"/>
        </w:rPr>
        <w:t>έναρξη.</w:t>
      </w:r>
    </w:p>
    <w:p w:rsidR="00A56FAA" w:rsidRPr="005C1C4A" w:rsidRDefault="00A56FAA" w:rsidP="00046B36">
      <w:pPr>
        <w:pStyle w:val="a3"/>
        <w:jc w:val="both"/>
        <w:rPr>
          <w:sz w:val="23"/>
          <w:lang w:val="el-GR"/>
        </w:rPr>
      </w:pPr>
    </w:p>
    <w:p w:rsidR="00A56FAA" w:rsidRPr="005C1C4A" w:rsidRDefault="005C1C4A" w:rsidP="00046B36">
      <w:pPr>
        <w:pStyle w:val="a3"/>
        <w:ind w:left="218"/>
        <w:jc w:val="both"/>
        <w:rPr>
          <w:lang w:val="el-GR"/>
        </w:rPr>
      </w:pPr>
      <w:r w:rsidRPr="005C1C4A">
        <w:rPr>
          <w:u w:val="single"/>
          <w:lang w:val="el-GR"/>
        </w:rPr>
        <w:t>Παιδιατρικός πληθυσμός</w:t>
      </w:r>
    </w:p>
    <w:p w:rsidR="00A56FAA" w:rsidRPr="005C1C4A" w:rsidRDefault="005C1C4A" w:rsidP="00046B36">
      <w:pPr>
        <w:pStyle w:val="a3"/>
        <w:spacing w:before="7" w:line="244" w:lineRule="auto"/>
        <w:ind w:left="218"/>
        <w:jc w:val="both"/>
        <w:rPr>
          <w:lang w:val="el-GR"/>
        </w:rPr>
      </w:pPr>
      <w:r w:rsidRPr="005C1C4A">
        <w:rPr>
          <w:lang w:val="el-GR"/>
        </w:rPr>
        <w:t xml:space="preserve">Διεξήχθη μία διπλά τυφλή μελέτη διάρκειας 54 εβδομάδων ώστε να εκτιμηθεί η αποτελεσματικότητα και η ασφάλεια της σιταγλιπτίνης 100 </w:t>
      </w:r>
      <w:r>
        <w:t>mg</w:t>
      </w:r>
      <w:r w:rsidRPr="005C1C4A">
        <w:rPr>
          <w:lang w:val="el-GR"/>
        </w:rPr>
        <w:t xml:space="preserve"> μία φορά την ημέρα σε παιδιατρικούς ασθενείς (10 έως 17 ετών) με σακχαρώδη διαβήτη τύπου 2 οι οποίοι δεν ήταν σε αντιυπεργλυκαιμική θεραπεία για τουλάχιστον 12 εβδομάδες (με </w:t>
      </w:r>
      <w:r>
        <w:t>HbA</w:t>
      </w:r>
      <w:r w:rsidRPr="005C1C4A">
        <w:rPr>
          <w:lang w:val="el-GR"/>
        </w:rPr>
        <w:t>1</w:t>
      </w:r>
      <w:r>
        <w:t>c</w:t>
      </w:r>
      <w:r w:rsidRPr="005C1C4A">
        <w:rPr>
          <w:lang w:val="el-GR"/>
        </w:rPr>
        <w:t xml:space="preserve"> 6,5% έως 10%) ή ήταν σε σταθερή δόση ινσουλίνης για τουλάχιστον 12 εβδομάδες (με </w:t>
      </w:r>
      <w:r>
        <w:t>HbA</w:t>
      </w:r>
      <w:r w:rsidRPr="005C1C4A">
        <w:rPr>
          <w:lang w:val="el-GR"/>
        </w:rPr>
        <w:t>1</w:t>
      </w:r>
      <w:r>
        <w:t>c</w:t>
      </w:r>
      <w:r w:rsidRPr="005C1C4A">
        <w:rPr>
          <w:lang w:val="el-GR"/>
        </w:rPr>
        <w:t xml:space="preserve"> 7% έως 10%). Οι ασθενείς τυχαιοποιήθηκαν σε σιταγλιπτίνη 100 </w:t>
      </w:r>
      <w:r>
        <w:t>mg</w:t>
      </w:r>
      <w:r w:rsidRPr="005C1C4A">
        <w:rPr>
          <w:lang w:val="el-GR"/>
        </w:rPr>
        <w:t xml:space="preserve"> μία φορά την ημέρα ή σε εικονικό φάρμακο για 20 εβδομάδες.</w:t>
      </w:r>
    </w:p>
    <w:p w:rsidR="00A56FAA" w:rsidRPr="005C1C4A" w:rsidRDefault="00A56FAA" w:rsidP="00046B36">
      <w:pPr>
        <w:pStyle w:val="a3"/>
        <w:spacing w:before="1"/>
        <w:jc w:val="both"/>
        <w:rPr>
          <w:sz w:val="23"/>
          <w:lang w:val="el-GR"/>
        </w:rPr>
      </w:pPr>
    </w:p>
    <w:p w:rsidR="00A56FAA" w:rsidRDefault="005C1C4A" w:rsidP="00046B36">
      <w:pPr>
        <w:pStyle w:val="a3"/>
        <w:spacing w:line="244" w:lineRule="auto"/>
        <w:ind w:left="218"/>
        <w:jc w:val="both"/>
      </w:pPr>
      <w:r w:rsidRPr="005C1C4A">
        <w:rPr>
          <w:lang w:val="el-GR"/>
        </w:rPr>
        <w:t xml:space="preserve">Η μέση αρχική τιμή </w:t>
      </w:r>
      <w:r>
        <w:t>HbA</w:t>
      </w:r>
      <w:r w:rsidRPr="005C1C4A">
        <w:rPr>
          <w:lang w:val="el-GR"/>
        </w:rPr>
        <w:t>1</w:t>
      </w:r>
      <w:r>
        <w:t>c</w:t>
      </w:r>
      <w:r w:rsidRPr="005C1C4A">
        <w:rPr>
          <w:lang w:val="el-GR"/>
        </w:rPr>
        <w:t xml:space="preserve"> ήταν 7,5%. Η θεραπεία με σιταγλιπτίνη 100 </w:t>
      </w:r>
      <w:r>
        <w:t>mg</w:t>
      </w:r>
      <w:r w:rsidRPr="005C1C4A">
        <w:rPr>
          <w:lang w:val="el-GR"/>
        </w:rPr>
        <w:t xml:space="preserve"> δεν παρείχε σημαντική βελτίωση στην </w:t>
      </w:r>
      <w:r>
        <w:t>HbA</w:t>
      </w:r>
      <w:r w:rsidRPr="005C1C4A">
        <w:rPr>
          <w:lang w:val="el-GR"/>
        </w:rPr>
        <w:t>1</w:t>
      </w:r>
      <w:r>
        <w:t>c</w:t>
      </w:r>
      <w:r w:rsidRPr="005C1C4A">
        <w:rPr>
          <w:lang w:val="el-GR"/>
        </w:rPr>
        <w:t xml:space="preserve"> στις 20 εβδομάδες. Η μείωση της </w:t>
      </w:r>
      <w:r>
        <w:t>HbA</w:t>
      </w:r>
      <w:r w:rsidRPr="005C1C4A">
        <w:rPr>
          <w:lang w:val="el-GR"/>
        </w:rPr>
        <w:t>1</w:t>
      </w:r>
      <w:r>
        <w:t>c</w:t>
      </w:r>
      <w:r w:rsidRPr="005C1C4A">
        <w:rPr>
          <w:lang w:val="el-GR"/>
        </w:rPr>
        <w:t xml:space="preserve"> σε ασθενείς που έλαβαν σιταγλιπτίνη (</w:t>
      </w:r>
      <w:r>
        <w:t>N</w:t>
      </w:r>
      <w:r w:rsidRPr="005C1C4A">
        <w:rPr>
          <w:lang w:val="el-GR"/>
        </w:rPr>
        <w:t>=95) ήταν 0,0% σε σύγκριση με 0,2% σε ασθενείς που έλαβαν εικονικό φάρμακο (</w:t>
      </w:r>
      <w:r>
        <w:t>N</w:t>
      </w:r>
      <w:r w:rsidRPr="005C1C4A">
        <w:rPr>
          <w:lang w:val="el-GR"/>
        </w:rPr>
        <w:t xml:space="preserve">=95), μία διαφορά -0,2% (95% </w:t>
      </w:r>
      <w:r>
        <w:t>CI</w:t>
      </w:r>
      <w:r w:rsidRPr="005C1C4A">
        <w:rPr>
          <w:lang w:val="el-GR"/>
        </w:rPr>
        <w:t xml:space="preserve">: -0,7, 0,3). </w:t>
      </w:r>
      <w:proofErr w:type="gramStart"/>
      <w:r>
        <w:t>Βλέπε παράγραφο 4.2.</w:t>
      </w:r>
      <w:proofErr w:type="gramEnd"/>
    </w:p>
    <w:p w:rsidR="00A56FAA" w:rsidRDefault="00A56FAA" w:rsidP="00046B36">
      <w:pPr>
        <w:pStyle w:val="a3"/>
        <w:spacing w:before="4"/>
        <w:jc w:val="both"/>
        <w:rPr>
          <w:sz w:val="23"/>
        </w:rPr>
      </w:pPr>
    </w:p>
    <w:p w:rsidR="00A56FAA" w:rsidRDefault="005C1C4A" w:rsidP="00046B36">
      <w:pPr>
        <w:pStyle w:val="1"/>
        <w:numPr>
          <w:ilvl w:val="1"/>
          <w:numId w:val="14"/>
        </w:numPr>
        <w:tabs>
          <w:tab w:val="left" w:pos="784"/>
          <w:tab w:val="left" w:pos="785"/>
        </w:tabs>
        <w:jc w:val="both"/>
      </w:pPr>
      <w:r>
        <w:t>Φαρμακοκινητικές</w:t>
      </w:r>
      <w:r>
        <w:rPr>
          <w:spacing w:val="-1"/>
        </w:rPr>
        <w:t xml:space="preserve"> </w:t>
      </w:r>
      <w:r>
        <w:t>ιδιότητες</w:t>
      </w:r>
    </w:p>
    <w:p w:rsidR="00A56FAA" w:rsidRDefault="00A56FAA" w:rsidP="00046B36">
      <w:pPr>
        <w:pStyle w:val="a3"/>
        <w:spacing w:before="8"/>
        <w:jc w:val="both"/>
        <w:rPr>
          <w:b/>
        </w:rPr>
      </w:pPr>
    </w:p>
    <w:p w:rsidR="00A56FAA" w:rsidRDefault="005C1C4A" w:rsidP="00046B36">
      <w:pPr>
        <w:pStyle w:val="a3"/>
        <w:ind w:left="218"/>
        <w:jc w:val="both"/>
      </w:pPr>
      <w:r>
        <w:rPr>
          <w:u w:val="single"/>
        </w:rPr>
        <w:t>Απορρόφηση</w:t>
      </w:r>
    </w:p>
    <w:p w:rsidR="00A56FAA" w:rsidRPr="005C1C4A" w:rsidRDefault="005C1C4A" w:rsidP="00046B36">
      <w:pPr>
        <w:pStyle w:val="a3"/>
        <w:spacing w:before="6" w:line="244" w:lineRule="auto"/>
        <w:ind w:left="218"/>
        <w:jc w:val="both"/>
        <w:rPr>
          <w:lang w:val="el-GR"/>
        </w:rPr>
      </w:pPr>
      <w:r w:rsidRPr="005C1C4A">
        <w:rPr>
          <w:lang w:val="el-GR"/>
        </w:rPr>
        <w:t xml:space="preserve">Κατόπιν χορήγησης από το στόμα μίας δόσης 100 </w:t>
      </w:r>
      <w:r>
        <w:t>mg</w:t>
      </w:r>
      <w:r w:rsidRPr="005C1C4A">
        <w:rPr>
          <w:lang w:val="el-GR"/>
        </w:rPr>
        <w:t xml:space="preserve"> σε υγιή άτομα, η σιταγλιπτίνη απορροφήθηκε ταχέως, με μέγιστες συγκεντρώσεις στο πλάσμα (μέση </w:t>
      </w:r>
      <w:r>
        <w:t>T</w:t>
      </w:r>
      <w:r>
        <w:rPr>
          <w:vertAlign w:val="subscript"/>
        </w:rPr>
        <w:t>max</w:t>
      </w:r>
      <w:r w:rsidRPr="005C1C4A">
        <w:rPr>
          <w:lang w:val="el-GR"/>
        </w:rPr>
        <w:t xml:space="preserve"> ) που παρουσιάσθηκαν 1 έως 4 ώρες μετά την δόση. Η μέση </w:t>
      </w:r>
      <w:r>
        <w:t>AUC</w:t>
      </w:r>
      <w:r w:rsidRPr="005C1C4A">
        <w:rPr>
          <w:lang w:val="el-GR"/>
        </w:rPr>
        <w:t xml:space="preserve"> της σιταγλιπτίνης στο πλάσμα ήταν 8,52 μ</w:t>
      </w:r>
      <w:r>
        <w:t>M</w:t>
      </w:r>
      <w:r>
        <w:rPr>
          <w:rFonts w:ascii="Symbol" w:hAnsi="Symbol"/>
        </w:rPr>
        <w:t></w:t>
      </w:r>
      <w:r>
        <w:t>hr</w:t>
      </w:r>
      <w:r w:rsidRPr="005C1C4A">
        <w:rPr>
          <w:lang w:val="el-GR"/>
        </w:rPr>
        <w:t xml:space="preserve">, και η </w:t>
      </w:r>
      <w:r>
        <w:t>C</w:t>
      </w:r>
      <w:r>
        <w:rPr>
          <w:vertAlign w:val="subscript"/>
        </w:rPr>
        <w:t>max</w:t>
      </w:r>
      <w:r w:rsidRPr="005C1C4A">
        <w:rPr>
          <w:lang w:val="el-GR"/>
        </w:rPr>
        <w:t xml:space="preserve"> ήταν 950 </w:t>
      </w:r>
      <w:r>
        <w:t>nM</w:t>
      </w:r>
      <w:r w:rsidRPr="005C1C4A">
        <w:rPr>
          <w:lang w:val="el-GR"/>
        </w:rPr>
        <w:t xml:space="preserve">. Η απόλυτη βιοδιαθεσιμότητα της σιταγλιπτίνης είναι περίπου 87 %. Εφόσον η συγχορήγηση της σιταγλιπτίνης με γεύμα υψηλών λιπαρών δεν είχε επίδραση στην φαρμακοκινητική, το </w:t>
      </w:r>
      <w:r w:rsidR="00B20484">
        <w:t>SINVIA</w:t>
      </w:r>
      <w:r w:rsidRPr="005C1C4A">
        <w:rPr>
          <w:lang w:val="el-GR"/>
        </w:rPr>
        <w:t xml:space="preserve">  μπορεί να χορηγηθεί με ή χωρίς</w:t>
      </w:r>
      <w:r w:rsidRPr="005C1C4A">
        <w:rPr>
          <w:spacing w:val="1"/>
          <w:lang w:val="el-GR"/>
        </w:rPr>
        <w:t xml:space="preserve"> </w:t>
      </w:r>
      <w:r w:rsidRPr="005C1C4A">
        <w:rPr>
          <w:lang w:val="el-GR"/>
        </w:rPr>
        <w:t>τροφή.</w:t>
      </w:r>
    </w:p>
    <w:p w:rsidR="00A56FAA" w:rsidRPr="005C1C4A" w:rsidRDefault="00A56FAA" w:rsidP="00046B36">
      <w:pPr>
        <w:pStyle w:val="a3"/>
        <w:spacing w:before="11"/>
        <w:jc w:val="both"/>
        <w:rPr>
          <w:lang w:val="el-GR"/>
        </w:rPr>
      </w:pPr>
    </w:p>
    <w:p w:rsidR="00A56FAA" w:rsidRPr="005C1C4A" w:rsidRDefault="005C1C4A" w:rsidP="00046B36">
      <w:pPr>
        <w:pStyle w:val="a3"/>
        <w:spacing w:line="244" w:lineRule="auto"/>
        <w:ind w:left="218"/>
        <w:jc w:val="both"/>
        <w:rPr>
          <w:lang w:val="el-GR"/>
        </w:rPr>
      </w:pPr>
      <w:r w:rsidRPr="005C1C4A">
        <w:rPr>
          <w:lang w:val="el-GR"/>
        </w:rPr>
        <w:t xml:space="preserve">Οι συγκεντρώσεις </w:t>
      </w:r>
      <w:r>
        <w:t>AUC</w:t>
      </w:r>
      <w:r w:rsidRPr="005C1C4A">
        <w:rPr>
          <w:lang w:val="el-GR"/>
        </w:rPr>
        <w:t xml:space="preserve"> της σιταγλιπτίνης στο πλάσμα αυξήθηκαν κατά δοσοεξαρτώμενο τρόπο. Δοσοεξαρτώμενη αναλογία δεν τεκμηριώθηκε για την </w:t>
      </w:r>
      <w:r>
        <w:t>C</w:t>
      </w:r>
      <w:r>
        <w:rPr>
          <w:vertAlign w:val="subscript"/>
        </w:rPr>
        <w:t>max</w:t>
      </w:r>
      <w:r w:rsidRPr="005C1C4A">
        <w:rPr>
          <w:lang w:val="el-GR"/>
        </w:rPr>
        <w:t xml:space="preserve"> και </w:t>
      </w:r>
      <w:r>
        <w:t>C</w:t>
      </w:r>
      <w:r w:rsidRPr="005C1C4A">
        <w:rPr>
          <w:vertAlign w:val="subscript"/>
          <w:lang w:val="el-GR"/>
        </w:rPr>
        <w:t>24</w:t>
      </w:r>
      <w:r>
        <w:rPr>
          <w:vertAlign w:val="subscript"/>
        </w:rPr>
        <w:t>hr</w:t>
      </w:r>
      <w:r w:rsidRPr="005C1C4A">
        <w:rPr>
          <w:lang w:val="el-GR"/>
        </w:rPr>
        <w:t xml:space="preserve"> (η </w:t>
      </w:r>
      <w:r>
        <w:t>C</w:t>
      </w:r>
      <w:r>
        <w:rPr>
          <w:vertAlign w:val="subscript"/>
        </w:rPr>
        <w:t>max</w:t>
      </w:r>
      <w:r w:rsidRPr="005C1C4A">
        <w:rPr>
          <w:lang w:val="el-GR"/>
        </w:rPr>
        <w:t xml:space="preserve"> αυξήθηκε περισσότερο από ότι κατά τον δοσοεξαρτώμενο τρόπο και η </w:t>
      </w:r>
      <w:r>
        <w:t>C</w:t>
      </w:r>
      <w:r w:rsidRPr="005C1C4A">
        <w:rPr>
          <w:vertAlign w:val="subscript"/>
          <w:lang w:val="el-GR"/>
        </w:rPr>
        <w:t>24</w:t>
      </w:r>
      <w:r>
        <w:rPr>
          <w:vertAlign w:val="subscript"/>
        </w:rPr>
        <w:t>hr</w:t>
      </w:r>
      <w:r w:rsidRPr="005C1C4A">
        <w:rPr>
          <w:lang w:val="el-GR"/>
        </w:rPr>
        <w:t xml:space="preserve"> αυξήθηκε κατά λιγότερο από ό,τι κατά τον δοσοεξαρτώμενο τρόπο).</w:t>
      </w:r>
    </w:p>
    <w:p w:rsidR="00A56FAA" w:rsidRPr="005C1C4A" w:rsidRDefault="00A56FAA" w:rsidP="00046B36">
      <w:pPr>
        <w:pStyle w:val="a3"/>
        <w:spacing w:before="11"/>
        <w:jc w:val="both"/>
        <w:rPr>
          <w:lang w:val="el-GR"/>
        </w:rPr>
      </w:pPr>
    </w:p>
    <w:p w:rsidR="00A56FAA" w:rsidRPr="005C1C4A" w:rsidRDefault="005C1C4A" w:rsidP="00046B36">
      <w:pPr>
        <w:pStyle w:val="a3"/>
        <w:ind w:left="218"/>
        <w:jc w:val="both"/>
        <w:rPr>
          <w:lang w:val="el-GR"/>
        </w:rPr>
      </w:pPr>
      <w:r w:rsidRPr="005C1C4A">
        <w:rPr>
          <w:u w:val="single"/>
          <w:lang w:val="el-GR"/>
        </w:rPr>
        <w:t>Κατανομή</w:t>
      </w:r>
    </w:p>
    <w:p w:rsidR="00A56FAA" w:rsidRPr="005C1C4A" w:rsidRDefault="005C1C4A" w:rsidP="00046B36">
      <w:pPr>
        <w:pStyle w:val="a3"/>
        <w:spacing w:before="6"/>
        <w:ind w:left="218"/>
        <w:jc w:val="both"/>
        <w:rPr>
          <w:lang w:val="el-GR"/>
        </w:rPr>
      </w:pPr>
      <w:r w:rsidRPr="005C1C4A">
        <w:rPr>
          <w:lang w:val="el-GR"/>
        </w:rPr>
        <w:t>Ο μέσος όγκος κατανομής σε σταθερή κατάσταση μετά από χορήγηση ενδοφλέβιας εφάπαξ δόσης</w:t>
      </w:r>
    </w:p>
    <w:p w:rsidR="00A56FAA" w:rsidRPr="005C1C4A" w:rsidRDefault="00A56FAA" w:rsidP="00046B36">
      <w:pPr>
        <w:jc w:val="both"/>
        <w:rPr>
          <w:lang w:val="el-GR"/>
        </w:rPr>
        <w:sectPr w:rsidR="00A56FAA" w:rsidRPr="005C1C4A">
          <w:pgSz w:w="11910" w:h="16840"/>
          <w:pgMar w:top="1120" w:right="1180" w:bottom="900" w:left="1200" w:header="0" w:footer="714" w:gutter="0"/>
          <w:cols w:space="720"/>
        </w:sectPr>
      </w:pPr>
    </w:p>
    <w:p w:rsidR="00A56FAA" w:rsidRPr="005C1C4A" w:rsidRDefault="005C1C4A" w:rsidP="00046B36">
      <w:pPr>
        <w:pStyle w:val="a3"/>
        <w:spacing w:before="80" w:line="244" w:lineRule="auto"/>
        <w:ind w:left="218"/>
        <w:jc w:val="both"/>
        <w:rPr>
          <w:lang w:val="el-GR"/>
        </w:rPr>
      </w:pPr>
      <w:r w:rsidRPr="005C1C4A">
        <w:rPr>
          <w:lang w:val="el-GR"/>
        </w:rPr>
        <w:lastRenderedPageBreak/>
        <w:t xml:space="preserve">100 </w:t>
      </w:r>
      <w:r>
        <w:t>mg</w:t>
      </w:r>
      <w:r w:rsidRPr="005C1C4A">
        <w:rPr>
          <w:lang w:val="el-GR"/>
        </w:rPr>
        <w:t xml:space="preserve"> σιταγλιπτίνης σε υγιή άτομα, είναι περίπου 198 λίτρα. Το κλάσμα της σιταγλιπτίνης που συνδέεται ανάστροφα με τις πρωτεΐνες του πλάσματος είναι χαμηλό (38 %).</w:t>
      </w:r>
    </w:p>
    <w:p w:rsidR="00A56FAA" w:rsidRPr="005C1C4A" w:rsidRDefault="00A56FAA" w:rsidP="00046B36">
      <w:pPr>
        <w:pStyle w:val="a3"/>
        <w:spacing w:before="8"/>
        <w:jc w:val="both"/>
        <w:rPr>
          <w:lang w:val="el-GR"/>
        </w:rPr>
      </w:pPr>
    </w:p>
    <w:p w:rsidR="00A56FAA" w:rsidRPr="005C1C4A" w:rsidRDefault="005C1C4A" w:rsidP="00046B36">
      <w:pPr>
        <w:pStyle w:val="a3"/>
        <w:ind w:left="218"/>
        <w:jc w:val="both"/>
        <w:rPr>
          <w:lang w:val="el-GR"/>
        </w:rPr>
      </w:pPr>
      <w:r w:rsidRPr="005C1C4A">
        <w:rPr>
          <w:u w:val="single"/>
          <w:lang w:val="el-GR"/>
        </w:rPr>
        <w:t>Βιομετασχηματισμός</w:t>
      </w:r>
    </w:p>
    <w:p w:rsidR="00A56FAA" w:rsidRPr="005C1C4A" w:rsidRDefault="005C1C4A" w:rsidP="00046B36">
      <w:pPr>
        <w:pStyle w:val="a3"/>
        <w:spacing w:before="7" w:line="244" w:lineRule="auto"/>
        <w:ind w:left="218"/>
        <w:jc w:val="both"/>
        <w:rPr>
          <w:lang w:val="el-GR"/>
        </w:rPr>
      </w:pPr>
      <w:r w:rsidRPr="005C1C4A">
        <w:rPr>
          <w:lang w:val="el-GR"/>
        </w:rPr>
        <w:t>Η σιταγλιπτίνη αποβάλλεται πρωταρχικά αμετάβλητη στα ούρα, και ο μεταβολισμός αποτελεί μια δευτερεύουσα οδό. Περίπου το 79 % της σιταγλιπτίνης απεκκρίνεται αμετάβλητη στα ούρα.</w:t>
      </w:r>
    </w:p>
    <w:p w:rsidR="00A56FAA" w:rsidRPr="005C1C4A" w:rsidRDefault="00A56FAA" w:rsidP="00046B36">
      <w:pPr>
        <w:pStyle w:val="a3"/>
        <w:spacing w:before="8"/>
        <w:jc w:val="both"/>
        <w:rPr>
          <w:lang w:val="el-GR"/>
        </w:rPr>
      </w:pPr>
    </w:p>
    <w:p w:rsidR="00A56FAA" w:rsidRPr="005C1C4A" w:rsidRDefault="005C1C4A" w:rsidP="00046B36">
      <w:pPr>
        <w:pStyle w:val="a3"/>
        <w:spacing w:line="244" w:lineRule="auto"/>
        <w:ind w:left="218"/>
        <w:jc w:val="both"/>
        <w:rPr>
          <w:lang w:val="el-GR"/>
        </w:rPr>
      </w:pPr>
      <w:r w:rsidRPr="005C1C4A">
        <w:rPr>
          <w:lang w:val="el-GR"/>
        </w:rPr>
        <w:t>Μετά από δόση [</w:t>
      </w:r>
      <w:r w:rsidRPr="005C1C4A">
        <w:rPr>
          <w:vertAlign w:val="superscript"/>
          <w:lang w:val="el-GR"/>
        </w:rPr>
        <w:t>14</w:t>
      </w:r>
      <w:r>
        <w:t>C</w:t>
      </w:r>
      <w:r w:rsidRPr="005C1C4A">
        <w:rPr>
          <w:lang w:val="el-GR"/>
        </w:rPr>
        <w:t xml:space="preserve">]σιταγλιπτίνης από το στόμα, περίπου 16 % της ραδιενέργειας απεκκρίθηκε ως μεταβολίτες της σιταγλιπτίνης. Ανιχνεύθηκαν ίχνη έξι μεταβολιτών που δεν αναμένονται να ενισχύσουν την ανασταλτική δράση της σιταγλιπτίνης επί της </w:t>
      </w:r>
      <w:r>
        <w:t>DPP</w:t>
      </w:r>
      <w:r w:rsidRPr="005C1C4A">
        <w:rPr>
          <w:lang w:val="el-GR"/>
        </w:rPr>
        <w:t xml:space="preserve">-4. </w:t>
      </w:r>
      <w:r w:rsidRPr="005C1C4A">
        <w:rPr>
          <w:i/>
          <w:lang w:val="el-GR"/>
        </w:rPr>
        <w:t>Ι</w:t>
      </w:r>
      <w:r>
        <w:rPr>
          <w:i/>
        </w:rPr>
        <w:t>n</w:t>
      </w:r>
      <w:r w:rsidRPr="005C1C4A">
        <w:rPr>
          <w:i/>
          <w:lang w:val="el-GR"/>
        </w:rPr>
        <w:t xml:space="preserve"> </w:t>
      </w:r>
      <w:r>
        <w:rPr>
          <w:i/>
        </w:rPr>
        <w:t>vitro</w:t>
      </w:r>
      <w:r w:rsidRPr="005C1C4A">
        <w:rPr>
          <w:i/>
          <w:lang w:val="el-GR"/>
        </w:rPr>
        <w:t xml:space="preserve"> </w:t>
      </w:r>
      <w:r w:rsidRPr="005C1C4A">
        <w:rPr>
          <w:lang w:val="el-GR"/>
        </w:rPr>
        <w:t xml:space="preserve">μελέτες έδειξαν ότι το πρωταρχικό ένζυμο που ευθύνεται για τον περιορισμένο μεταβολισμό της σιταγλιπτίνης ήταν το </w:t>
      </w:r>
      <w:r>
        <w:t>CYP</w:t>
      </w:r>
      <w:r w:rsidRPr="005C1C4A">
        <w:rPr>
          <w:lang w:val="el-GR"/>
        </w:rPr>
        <w:t>3</w:t>
      </w:r>
      <w:r>
        <w:t>A</w:t>
      </w:r>
      <w:r w:rsidRPr="005C1C4A">
        <w:rPr>
          <w:lang w:val="el-GR"/>
        </w:rPr>
        <w:t xml:space="preserve">4 με συμβολή του </w:t>
      </w:r>
      <w:r>
        <w:t>CYP</w:t>
      </w:r>
      <w:r w:rsidRPr="005C1C4A">
        <w:rPr>
          <w:lang w:val="el-GR"/>
        </w:rPr>
        <w:t>2</w:t>
      </w:r>
      <w:r>
        <w:t>C</w:t>
      </w:r>
      <w:r w:rsidRPr="005C1C4A">
        <w:rPr>
          <w:lang w:val="el-GR"/>
        </w:rPr>
        <w:t>8.</w:t>
      </w:r>
    </w:p>
    <w:p w:rsidR="00A56FAA" w:rsidRPr="005C1C4A" w:rsidRDefault="00A56FAA" w:rsidP="00046B36">
      <w:pPr>
        <w:pStyle w:val="a3"/>
        <w:spacing w:before="1"/>
        <w:jc w:val="both"/>
        <w:rPr>
          <w:sz w:val="23"/>
          <w:lang w:val="el-GR"/>
        </w:rPr>
      </w:pPr>
    </w:p>
    <w:p w:rsidR="00A56FAA" w:rsidRPr="005C1C4A" w:rsidRDefault="005C1C4A" w:rsidP="00046B36">
      <w:pPr>
        <w:pStyle w:val="a3"/>
        <w:spacing w:line="244" w:lineRule="auto"/>
        <w:ind w:left="218"/>
        <w:jc w:val="both"/>
        <w:rPr>
          <w:lang w:val="el-GR"/>
        </w:rPr>
      </w:pPr>
      <w:r w:rsidRPr="005C1C4A">
        <w:rPr>
          <w:lang w:val="el-GR"/>
        </w:rPr>
        <w:t xml:space="preserve">Στοιχεία </w:t>
      </w:r>
      <w:r>
        <w:rPr>
          <w:i/>
        </w:rPr>
        <w:t>in</w:t>
      </w:r>
      <w:r w:rsidRPr="005C1C4A">
        <w:rPr>
          <w:i/>
          <w:lang w:val="el-GR"/>
        </w:rPr>
        <w:t xml:space="preserve"> </w:t>
      </w:r>
      <w:r>
        <w:rPr>
          <w:i/>
        </w:rPr>
        <w:t>vitro</w:t>
      </w:r>
      <w:r w:rsidRPr="005C1C4A">
        <w:rPr>
          <w:i/>
          <w:lang w:val="el-GR"/>
        </w:rPr>
        <w:t xml:space="preserve"> </w:t>
      </w:r>
      <w:r w:rsidRPr="005C1C4A">
        <w:rPr>
          <w:lang w:val="el-GR"/>
        </w:rPr>
        <w:t xml:space="preserve">έδειξαν οτι η σιταγλιπτίνη δεν είναι αναστολέας των ισοενζύμων του </w:t>
      </w:r>
      <w:r>
        <w:t>CYP</w:t>
      </w:r>
      <w:r w:rsidRPr="005C1C4A">
        <w:rPr>
          <w:lang w:val="el-GR"/>
        </w:rPr>
        <w:t xml:space="preserve">, </w:t>
      </w:r>
      <w:r>
        <w:t>CYP</w:t>
      </w:r>
      <w:r w:rsidRPr="005C1C4A">
        <w:rPr>
          <w:lang w:val="el-GR"/>
        </w:rPr>
        <w:t>3</w:t>
      </w:r>
      <w:r>
        <w:t>A</w:t>
      </w:r>
      <w:r w:rsidRPr="005C1C4A">
        <w:rPr>
          <w:lang w:val="el-GR"/>
        </w:rPr>
        <w:t>4, 2</w:t>
      </w:r>
      <w:r>
        <w:t>C</w:t>
      </w:r>
      <w:r w:rsidRPr="005C1C4A">
        <w:rPr>
          <w:lang w:val="el-GR"/>
        </w:rPr>
        <w:t>8, 2</w:t>
      </w:r>
      <w:r>
        <w:t>C</w:t>
      </w:r>
      <w:r w:rsidRPr="005C1C4A">
        <w:rPr>
          <w:lang w:val="el-GR"/>
        </w:rPr>
        <w:t>9, 2</w:t>
      </w:r>
      <w:r>
        <w:t>D</w:t>
      </w:r>
      <w:r w:rsidRPr="005C1C4A">
        <w:rPr>
          <w:lang w:val="el-GR"/>
        </w:rPr>
        <w:t>6, 1</w:t>
      </w:r>
      <w:r>
        <w:t>A</w:t>
      </w:r>
      <w:r w:rsidRPr="005C1C4A">
        <w:rPr>
          <w:lang w:val="el-GR"/>
        </w:rPr>
        <w:t>2, 2</w:t>
      </w:r>
      <w:r>
        <w:t>C</w:t>
      </w:r>
      <w:r w:rsidRPr="005C1C4A">
        <w:rPr>
          <w:lang w:val="el-GR"/>
        </w:rPr>
        <w:t>19 ή 2</w:t>
      </w:r>
      <w:r>
        <w:t>B</w:t>
      </w:r>
      <w:r w:rsidRPr="005C1C4A">
        <w:rPr>
          <w:lang w:val="el-GR"/>
        </w:rPr>
        <w:t xml:space="preserve">6, και δεν είναι επαγωγέας του </w:t>
      </w:r>
      <w:r>
        <w:t>CYP</w:t>
      </w:r>
      <w:r w:rsidRPr="005C1C4A">
        <w:rPr>
          <w:lang w:val="el-GR"/>
        </w:rPr>
        <w:t>3</w:t>
      </w:r>
      <w:r>
        <w:t>A</w:t>
      </w:r>
      <w:r w:rsidRPr="005C1C4A">
        <w:rPr>
          <w:lang w:val="el-GR"/>
        </w:rPr>
        <w:t>4 και του</w:t>
      </w:r>
      <w:r w:rsidRPr="005C1C4A">
        <w:rPr>
          <w:spacing w:val="-13"/>
          <w:lang w:val="el-GR"/>
        </w:rPr>
        <w:t xml:space="preserve"> </w:t>
      </w:r>
      <w:r>
        <w:t>CYP</w:t>
      </w:r>
      <w:r w:rsidRPr="005C1C4A">
        <w:rPr>
          <w:lang w:val="el-GR"/>
        </w:rPr>
        <w:t>1</w:t>
      </w:r>
      <w:r>
        <w:t>A</w:t>
      </w:r>
      <w:r w:rsidRPr="005C1C4A">
        <w:rPr>
          <w:lang w:val="el-GR"/>
        </w:rPr>
        <w:t>2.</w:t>
      </w:r>
    </w:p>
    <w:p w:rsidR="00A56FAA" w:rsidRPr="005C1C4A" w:rsidRDefault="00A56FAA" w:rsidP="00046B36">
      <w:pPr>
        <w:pStyle w:val="a3"/>
        <w:spacing w:before="8"/>
        <w:jc w:val="both"/>
        <w:rPr>
          <w:lang w:val="el-GR"/>
        </w:rPr>
      </w:pPr>
    </w:p>
    <w:p w:rsidR="00A56FAA" w:rsidRPr="005C1C4A" w:rsidRDefault="005C1C4A" w:rsidP="00046B36">
      <w:pPr>
        <w:pStyle w:val="a3"/>
        <w:ind w:left="218"/>
        <w:jc w:val="both"/>
        <w:rPr>
          <w:lang w:val="el-GR"/>
        </w:rPr>
      </w:pPr>
      <w:r w:rsidRPr="005C1C4A">
        <w:rPr>
          <w:u w:val="single"/>
          <w:lang w:val="el-GR"/>
        </w:rPr>
        <w:t>Αποβολή</w:t>
      </w:r>
    </w:p>
    <w:p w:rsidR="00A56FAA" w:rsidRPr="005C1C4A" w:rsidRDefault="005C1C4A" w:rsidP="00046B36">
      <w:pPr>
        <w:pStyle w:val="a3"/>
        <w:spacing w:before="7" w:line="244" w:lineRule="auto"/>
        <w:ind w:left="218"/>
        <w:jc w:val="both"/>
        <w:rPr>
          <w:lang w:val="el-GR"/>
        </w:rPr>
      </w:pPr>
      <w:r w:rsidRPr="005C1C4A">
        <w:rPr>
          <w:lang w:val="el-GR"/>
        </w:rPr>
        <w:t>Μετά από χορήγηση δόσης [</w:t>
      </w:r>
      <w:r w:rsidRPr="005C1C4A">
        <w:rPr>
          <w:vertAlign w:val="superscript"/>
          <w:lang w:val="el-GR"/>
        </w:rPr>
        <w:t>14</w:t>
      </w:r>
      <w:r>
        <w:t>C</w:t>
      </w:r>
      <w:r w:rsidRPr="005C1C4A">
        <w:rPr>
          <w:lang w:val="el-GR"/>
        </w:rPr>
        <w:t xml:space="preserve">]σιταγλιπτίνης από το στόμα σε υγιή άτομα, περίπου το 100 % της χορηγούμενης ραδιενέργειας απομακρύνθηκε στα κόπρανα (13 %) ή στα ούρα (87 %) εντός μιας εβδομάδας από τη χορήγηση. Ο φαινόμενος τελικός χρόνος ημίσειας ζωής </w:t>
      </w:r>
      <w:r>
        <w:t>t</w:t>
      </w:r>
      <w:r w:rsidRPr="005C1C4A">
        <w:rPr>
          <w:vertAlign w:val="subscript"/>
          <w:lang w:val="el-GR"/>
        </w:rPr>
        <w:t>1/2</w:t>
      </w:r>
      <w:r w:rsidRPr="005C1C4A">
        <w:rPr>
          <w:lang w:val="el-GR"/>
        </w:rPr>
        <w:t xml:space="preserve"> μετά από δόση σιταγλιπτίνης από το στόμα 100 </w:t>
      </w:r>
      <w:r>
        <w:t>mg</w:t>
      </w:r>
      <w:r w:rsidRPr="005C1C4A">
        <w:rPr>
          <w:lang w:val="el-GR"/>
        </w:rPr>
        <w:t xml:space="preserve"> ήταν περίπου 12,4 ώρες. Η σιταγλιπτίνη συσσωρεύεται μόνο ελάχιστα με τις πολλαπλές δόσεις. Η νεφρική κάθαρση ήταν περίπου 350 </w:t>
      </w:r>
      <w:r>
        <w:t>ml</w:t>
      </w:r>
      <w:r w:rsidRPr="005C1C4A">
        <w:rPr>
          <w:lang w:val="el-GR"/>
        </w:rPr>
        <w:t>/</w:t>
      </w:r>
      <w:r>
        <w:t>min</w:t>
      </w:r>
      <w:r w:rsidRPr="005C1C4A">
        <w:rPr>
          <w:lang w:val="el-GR"/>
        </w:rPr>
        <w:t>.</w:t>
      </w:r>
    </w:p>
    <w:p w:rsidR="00A56FAA" w:rsidRPr="005C1C4A" w:rsidRDefault="00A56FAA" w:rsidP="00046B36">
      <w:pPr>
        <w:pStyle w:val="a3"/>
        <w:jc w:val="both"/>
        <w:rPr>
          <w:sz w:val="23"/>
          <w:lang w:val="el-GR"/>
        </w:rPr>
      </w:pPr>
    </w:p>
    <w:p w:rsidR="00A56FAA" w:rsidRPr="005C1C4A" w:rsidRDefault="005C1C4A" w:rsidP="00046B36">
      <w:pPr>
        <w:pStyle w:val="a3"/>
        <w:spacing w:line="244" w:lineRule="auto"/>
        <w:ind w:left="218"/>
        <w:jc w:val="both"/>
        <w:rPr>
          <w:lang w:val="el-GR"/>
        </w:rPr>
      </w:pPr>
      <w:r w:rsidRPr="005C1C4A">
        <w:rPr>
          <w:lang w:val="el-GR"/>
        </w:rPr>
        <w:t>Η αποβολή της σιταγλιπτίνης γίνεται πρωταρχικά μέσω νεφρικής απέκκρισης και περιλαμβάνει ενεργή σωληναριακή έκκριση. Η σιταγλιπτίνη είναι υπόστρωμα για τον μεταφορέα-3 ανθρώπινων οργανικών ανιόντων (</w:t>
      </w:r>
      <w:r>
        <w:t>hOAT</w:t>
      </w:r>
      <w:r w:rsidRPr="005C1C4A">
        <w:rPr>
          <w:lang w:val="el-GR"/>
        </w:rPr>
        <w:t xml:space="preserve">-3), που μπορεί να εμπλέκεται στην νεφρική απέκκριση της σιταγλιπτίνης. Η κλινική συσχέτιση του </w:t>
      </w:r>
      <w:r>
        <w:t>hOAT</w:t>
      </w:r>
      <w:r w:rsidRPr="005C1C4A">
        <w:rPr>
          <w:lang w:val="el-GR"/>
        </w:rPr>
        <w:t xml:space="preserve">-3 στην μεταφορά της σιταγλιπτίνης δεν έχει τεκμηριωθεί. Η σιταγλιπτίνη είναι επίσης υπόστρωμα της </w:t>
      </w:r>
      <w:r>
        <w:t>p</w:t>
      </w:r>
      <w:r w:rsidRPr="005C1C4A">
        <w:rPr>
          <w:lang w:val="el-GR"/>
        </w:rPr>
        <w:t xml:space="preserve">-γλυκοπρωτεΐνης, η οποία μπορεί να εμπλέκεται διευκολύνοντας τη νεφρική απέκκριση της σιταγλιπτίνης. Ωστόσο, η κυκλοσπορίνη, ένας αναστολέας της </w:t>
      </w:r>
      <w:r>
        <w:t>p</w:t>
      </w:r>
      <w:r w:rsidRPr="005C1C4A">
        <w:rPr>
          <w:lang w:val="el-GR"/>
        </w:rPr>
        <w:t xml:space="preserve">-γλυκοπρωτεΐνης, δεν μείωσε την νεφρική κάθαρση της σιταγλιπτίνης. Η σιταγλιπτίνη δεν είναι υπόστρωμα του </w:t>
      </w:r>
      <w:r>
        <w:t>OCT</w:t>
      </w:r>
      <w:r w:rsidRPr="005C1C4A">
        <w:rPr>
          <w:lang w:val="el-GR"/>
        </w:rPr>
        <w:t xml:space="preserve">2 ή του </w:t>
      </w:r>
      <w:r>
        <w:t>OAT</w:t>
      </w:r>
      <w:r w:rsidRPr="005C1C4A">
        <w:rPr>
          <w:lang w:val="el-GR"/>
        </w:rPr>
        <w:t xml:space="preserve">1 ή των μεταφορέων </w:t>
      </w:r>
      <w:r>
        <w:t>PEPT</w:t>
      </w:r>
      <w:r w:rsidRPr="005C1C4A">
        <w:rPr>
          <w:lang w:val="el-GR"/>
        </w:rPr>
        <w:t xml:space="preserve">1/2. </w:t>
      </w:r>
      <w:r>
        <w:rPr>
          <w:i/>
        </w:rPr>
        <w:t>In</w:t>
      </w:r>
      <w:r w:rsidRPr="005C1C4A">
        <w:rPr>
          <w:i/>
          <w:lang w:val="el-GR"/>
        </w:rPr>
        <w:t xml:space="preserve"> </w:t>
      </w:r>
      <w:r>
        <w:rPr>
          <w:i/>
        </w:rPr>
        <w:t>vitro</w:t>
      </w:r>
      <w:r w:rsidRPr="005C1C4A">
        <w:rPr>
          <w:lang w:val="el-GR"/>
        </w:rPr>
        <w:t xml:space="preserve">, η σιταγλιπτίνη δεν ανέστειλε το </w:t>
      </w:r>
      <w:r>
        <w:t>OAT</w:t>
      </w:r>
      <w:r w:rsidRPr="005C1C4A">
        <w:rPr>
          <w:lang w:val="el-GR"/>
        </w:rPr>
        <w:t>3 (</w:t>
      </w:r>
      <w:r>
        <w:t>IC</w:t>
      </w:r>
      <w:r w:rsidRPr="005C1C4A">
        <w:rPr>
          <w:lang w:val="el-GR"/>
        </w:rPr>
        <w:t xml:space="preserve">50=160 μΜ) ή τη μεταφορά μέσω </w:t>
      </w:r>
      <w:r>
        <w:t>p</w:t>
      </w:r>
      <w:r w:rsidRPr="005C1C4A">
        <w:rPr>
          <w:lang w:val="el-GR"/>
        </w:rPr>
        <w:t xml:space="preserve">-γλυκοπρωτεΐνης (έως 250 μΜ) σε θεραπευτικές συγκεντρώσεις του πλάσματος. Σε μία κλινική μελέτη η σιταγλιπτίνη είχε μικρή επίδραση στις συγκεντρώσεις διγοξίνης στο πλάσμα που δεικνύει οτι η σιταγλιπτίνη μπορεί να είναι ήπιος αναστολέας της </w:t>
      </w:r>
      <w:r>
        <w:t>p</w:t>
      </w:r>
      <w:r w:rsidRPr="005C1C4A">
        <w:rPr>
          <w:lang w:val="el-GR"/>
        </w:rPr>
        <w:t>-γλυκοπρωτεΐνης.</w:t>
      </w:r>
    </w:p>
    <w:p w:rsidR="00A56FAA" w:rsidRPr="005C1C4A" w:rsidRDefault="00A56FAA" w:rsidP="00046B36">
      <w:pPr>
        <w:pStyle w:val="a3"/>
        <w:spacing w:before="9"/>
        <w:jc w:val="both"/>
        <w:rPr>
          <w:sz w:val="23"/>
          <w:lang w:val="el-GR"/>
        </w:rPr>
      </w:pPr>
    </w:p>
    <w:p w:rsidR="00A56FAA" w:rsidRPr="005C1C4A" w:rsidRDefault="005C1C4A" w:rsidP="00046B36">
      <w:pPr>
        <w:pStyle w:val="a3"/>
        <w:ind w:left="218"/>
        <w:jc w:val="both"/>
        <w:rPr>
          <w:lang w:val="el-GR"/>
        </w:rPr>
      </w:pPr>
      <w:r w:rsidRPr="005C1C4A">
        <w:rPr>
          <w:u w:val="single"/>
          <w:lang w:val="el-GR"/>
        </w:rPr>
        <w:t>Χαρακτηριστικά σε ασθενείς</w:t>
      </w:r>
    </w:p>
    <w:p w:rsidR="00A56FAA" w:rsidRPr="005C1C4A" w:rsidRDefault="005C1C4A" w:rsidP="00046B36">
      <w:pPr>
        <w:pStyle w:val="a3"/>
        <w:spacing w:before="6" w:line="244" w:lineRule="auto"/>
        <w:ind w:left="218"/>
        <w:jc w:val="both"/>
        <w:rPr>
          <w:lang w:val="el-GR"/>
        </w:rPr>
      </w:pPr>
      <w:r w:rsidRPr="005C1C4A">
        <w:rPr>
          <w:lang w:val="el-GR"/>
        </w:rPr>
        <w:t>Η φαρμακοκινητική της σιταγλιπτίνης των υγιών ατόμων ήταν γενικά παρόμοια με αυτή των ασθενών με διαβήτη τύπου 2.</w:t>
      </w:r>
    </w:p>
    <w:p w:rsidR="00A56FAA" w:rsidRPr="005C1C4A" w:rsidRDefault="00A56FAA" w:rsidP="00046B36">
      <w:pPr>
        <w:pStyle w:val="a3"/>
        <w:spacing w:before="8"/>
        <w:jc w:val="both"/>
        <w:rPr>
          <w:lang w:val="el-GR"/>
        </w:rPr>
      </w:pPr>
    </w:p>
    <w:p w:rsidR="00A56FAA" w:rsidRPr="005C1C4A" w:rsidRDefault="005C1C4A" w:rsidP="00046B36">
      <w:pPr>
        <w:ind w:left="218"/>
        <w:jc w:val="both"/>
        <w:rPr>
          <w:i/>
          <w:lang w:val="el-GR"/>
        </w:rPr>
      </w:pPr>
      <w:r w:rsidRPr="005C1C4A">
        <w:rPr>
          <w:i/>
          <w:lang w:val="el-GR"/>
        </w:rPr>
        <w:t>Νεφρική δυσλειτουργία</w:t>
      </w:r>
    </w:p>
    <w:p w:rsidR="00A56FAA" w:rsidRPr="005C1C4A" w:rsidRDefault="005C1C4A" w:rsidP="00046B36">
      <w:pPr>
        <w:pStyle w:val="a3"/>
        <w:spacing w:before="7" w:line="244" w:lineRule="auto"/>
        <w:ind w:left="218"/>
        <w:jc w:val="both"/>
        <w:rPr>
          <w:lang w:val="el-GR"/>
        </w:rPr>
      </w:pPr>
      <w:r w:rsidRPr="005C1C4A">
        <w:rPr>
          <w:lang w:val="el-GR"/>
        </w:rPr>
        <w:t xml:space="preserve">Διενεργήθηκε μία ανοιχτή μελέτη εφάπαξ δόσης για να αξιολογηθεί η φαρμακοκινητική μίας μειωμένης δόσης της σιταγλιπτίνης (50 </w:t>
      </w:r>
      <w:r>
        <w:t>mg</w:t>
      </w:r>
      <w:r w:rsidRPr="005C1C4A">
        <w:rPr>
          <w:lang w:val="el-GR"/>
        </w:rPr>
        <w:t xml:space="preserve">) σε ασθενείς με χρόνια νεφρική δυσλειτουργία διαφόρων βαθμών σε σύγκριση με φυσιολογικούς υγιείς μάρτυρες. Η </w:t>
      </w:r>
      <w:r w:rsidR="003C2FCF">
        <w:rPr>
          <w:lang w:val="el-GR"/>
        </w:rPr>
        <w:t>μελέτη περιελάμβανε ασθενείς με</w:t>
      </w:r>
      <w:r w:rsidR="003C2FCF" w:rsidRPr="00234A2A">
        <w:rPr>
          <w:lang w:val="el-GR"/>
        </w:rPr>
        <w:t xml:space="preserve"> </w:t>
      </w:r>
      <w:r w:rsidR="003C2FCF">
        <w:rPr>
          <w:lang w:val="el-GR"/>
        </w:rPr>
        <w:t>νεφρική δυσλειτουργία που κατηγοριοποιείται βάσει της κάθαρσης κρεατινίνης ως ήπια (</w:t>
      </w:r>
      <w:r w:rsidR="003C2FCF" w:rsidRPr="000C31CA">
        <w:rPr>
          <w:iCs/>
          <w:noProof/>
          <w:lang w:val="es-ES_tradnl"/>
        </w:rPr>
        <w:t>50 to &lt; 80 ml/min</w:t>
      </w:r>
      <w:r w:rsidR="003C2FCF">
        <w:rPr>
          <w:iCs/>
          <w:noProof/>
          <w:lang w:val="el-GR"/>
        </w:rPr>
        <w:t xml:space="preserve">), </w:t>
      </w:r>
      <w:r w:rsidRPr="005C1C4A">
        <w:rPr>
          <w:lang w:val="el-GR"/>
        </w:rPr>
        <w:t xml:space="preserve">μέτρια </w:t>
      </w:r>
      <w:r w:rsidR="003C2FCF">
        <w:rPr>
          <w:iCs/>
          <w:noProof/>
          <w:lang w:val="el-GR"/>
        </w:rPr>
        <w:t>(</w:t>
      </w:r>
      <w:r w:rsidR="003C2FCF" w:rsidRPr="000C31CA">
        <w:rPr>
          <w:iCs/>
          <w:noProof/>
          <w:lang w:val="es-ES_tradnl"/>
        </w:rPr>
        <w:t>30 to &lt; 50 ml/min</w:t>
      </w:r>
      <w:r w:rsidR="003C2FCF">
        <w:rPr>
          <w:iCs/>
          <w:noProof/>
          <w:lang w:val="el-GR"/>
        </w:rPr>
        <w:t>) και σοβαρή (</w:t>
      </w:r>
      <w:r w:rsidR="003C2FCF" w:rsidRPr="000C31CA">
        <w:rPr>
          <w:iCs/>
          <w:noProof/>
          <w:lang w:val="es-ES_tradnl"/>
        </w:rPr>
        <w:t>&lt; 30 ml/min</w:t>
      </w:r>
      <w:r w:rsidR="003C2FCF">
        <w:rPr>
          <w:iCs/>
          <w:noProof/>
          <w:lang w:val="el-GR"/>
        </w:rPr>
        <w:t>)</w:t>
      </w:r>
      <w:r w:rsidR="00C97AEE">
        <w:rPr>
          <w:lang w:val="el-GR"/>
        </w:rPr>
        <w:t>, καθώς και ασθενείς</w:t>
      </w:r>
      <w:r w:rsidR="00C97AEE" w:rsidRPr="00C97AEE">
        <w:rPr>
          <w:lang w:val="el-GR"/>
        </w:rPr>
        <w:t xml:space="preserve"> </w:t>
      </w:r>
      <w:r w:rsidR="00C97AEE" w:rsidRPr="005C1C4A">
        <w:rPr>
          <w:lang w:val="el-GR"/>
        </w:rPr>
        <w:t xml:space="preserve">με </w:t>
      </w:r>
      <w:r w:rsidR="00C97AEE">
        <w:rPr>
          <w:lang w:val="el-GR"/>
        </w:rPr>
        <w:t>νεφρική νόσο τελικού σταδίου</w:t>
      </w:r>
      <w:r w:rsidRPr="005C1C4A">
        <w:rPr>
          <w:lang w:val="el-GR"/>
        </w:rPr>
        <w:t xml:space="preserve"> </w:t>
      </w:r>
      <w:r w:rsidR="00C97AEE">
        <w:rPr>
          <w:lang w:val="el-GR"/>
        </w:rPr>
        <w:t>(</w:t>
      </w:r>
      <w:r w:rsidRPr="005C1C4A">
        <w:rPr>
          <w:lang w:val="el-GR"/>
        </w:rPr>
        <w:t>ΝΝΤΣ</w:t>
      </w:r>
      <w:r w:rsidR="00C97AEE">
        <w:rPr>
          <w:lang w:val="el-GR"/>
        </w:rPr>
        <w:t>)</w:t>
      </w:r>
      <w:r w:rsidRPr="005C1C4A">
        <w:rPr>
          <w:lang w:val="el-GR"/>
        </w:rPr>
        <w:t xml:space="preserve"> υπό αιμοκάθαρση.</w:t>
      </w:r>
    </w:p>
    <w:p w:rsidR="00A56FAA" w:rsidRPr="005C1C4A" w:rsidRDefault="005C1C4A" w:rsidP="00046B36">
      <w:pPr>
        <w:pStyle w:val="a3"/>
        <w:spacing w:before="4" w:line="244" w:lineRule="auto"/>
        <w:ind w:left="218"/>
        <w:jc w:val="both"/>
        <w:rPr>
          <w:lang w:val="el-GR"/>
        </w:rPr>
      </w:pPr>
      <w:r w:rsidRPr="005C1C4A">
        <w:rPr>
          <w:lang w:val="el-GR"/>
        </w:rPr>
        <w:t>Επιπροσθέτως, οι επιδράσεις της νεφρικής δυσλειτουργίας στη φαρμακοκινητική της σιταγλιπτίνης σε ασθενείς με διαβήτη τύπου 2 και ήπια, μέτρια ή σοβαρή νεφρική δυσλειτουργία (συμπεριλαμβανομένης της ΝΝΤΣ) αξιολογήθηκαν χρησιμοποιώντας φαρμακοκινητική ανάλυση πληθυσμού.</w:t>
      </w:r>
    </w:p>
    <w:p w:rsidR="00A56FAA" w:rsidRPr="005C1C4A" w:rsidRDefault="00A56FAA" w:rsidP="00046B36">
      <w:pPr>
        <w:pStyle w:val="a3"/>
        <w:jc w:val="both"/>
        <w:rPr>
          <w:sz w:val="23"/>
          <w:lang w:val="el-GR"/>
        </w:rPr>
      </w:pPr>
    </w:p>
    <w:p w:rsidR="00A56FAA" w:rsidRPr="005C1C4A" w:rsidRDefault="005C1C4A" w:rsidP="00046B36">
      <w:pPr>
        <w:pStyle w:val="a3"/>
        <w:spacing w:line="244" w:lineRule="auto"/>
        <w:ind w:left="218"/>
        <w:jc w:val="both"/>
        <w:rPr>
          <w:lang w:val="el-GR"/>
        </w:rPr>
      </w:pPr>
      <w:r w:rsidRPr="005C1C4A">
        <w:rPr>
          <w:lang w:val="el-GR"/>
        </w:rPr>
        <w:t xml:space="preserve">Σε σύγκριση με φυσιολογικά, υγιή άτομα ελέγχου, η </w:t>
      </w:r>
      <w:r>
        <w:t>AUC</w:t>
      </w:r>
      <w:r w:rsidRPr="005C1C4A">
        <w:rPr>
          <w:lang w:val="el-GR"/>
        </w:rPr>
        <w:t xml:space="preserve"> της σιταγλιπτίνης στο πλάσμα αυξήθηκε κατά περίπου 1,2 φορές και 1,6 φορές σε ασθενείς με ήπια νεφρική δυσλειτουργία (</w:t>
      </w:r>
      <w:r>
        <w:t>GFR</w:t>
      </w:r>
      <w:r w:rsidRPr="005C1C4A">
        <w:rPr>
          <w:lang w:val="el-GR"/>
        </w:rPr>
        <w:t xml:space="preserve"> ≥ 60 έως</w:t>
      </w:r>
    </w:p>
    <w:p w:rsidR="00A56FAA" w:rsidRPr="005C1C4A" w:rsidRDefault="005C1C4A" w:rsidP="00046B36">
      <w:pPr>
        <w:pStyle w:val="a3"/>
        <w:spacing w:before="2" w:line="244" w:lineRule="auto"/>
        <w:ind w:left="218"/>
        <w:jc w:val="both"/>
        <w:rPr>
          <w:lang w:val="el-GR"/>
        </w:rPr>
      </w:pPr>
      <w:r w:rsidRPr="005C1C4A">
        <w:rPr>
          <w:lang w:val="el-GR"/>
        </w:rPr>
        <w:t xml:space="preserve">&lt; 90 </w:t>
      </w:r>
      <w:r>
        <w:t>ml</w:t>
      </w:r>
      <w:r w:rsidRPr="005C1C4A">
        <w:rPr>
          <w:lang w:val="el-GR"/>
        </w:rPr>
        <w:t>/</w:t>
      </w:r>
      <w:r>
        <w:t>min</w:t>
      </w:r>
      <w:r w:rsidRPr="005C1C4A">
        <w:rPr>
          <w:lang w:val="el-GR"/>
        </w:rPr>
        <w:t>) και σε ασθενείς με μέτρια νεφρική δυσλειτουργία (</w:t>
      </w:r>
      <w:r>
        <w:t>GFR</w:t>
      </w:r>
      <w:r w:rsidRPr="005C1C4A">
        <w:rPr>
          <w:lang w:val="el-GR"/>
        </w:rPr>
        <w:t xml:space="preserve"> ≥ 45 έως &lt; 60 </w:t>
      </w:r>
      <w:r>
        <w:t>ml</w:t>
      </w:r>
      <w:r w:rsidRPr="005C1C4A">
        <w:rPr>
          <w:lang w:val="el-GR"/>
        </w:rPr>
        <w:t>/</w:t>
      </w:r>
      <w:r>
        <w:t>min</w:t>
      </w:r>
      <w:r w:rsidRPr="005C1C4A">
        <w:rPr>
          <w:lang w:val="el-GR"/>
        </w:rPr>
        <w:t>), αντιστοίχως. Επειδή αυξήσεις αυτού του μεγέθους δεν είναι κλινικά σημαντικές, η αναπροσαρμογή της δοσολογίας σε αυτούς τους ασθενείς δεν είναι απαραίτητη.</w:t>
      </w:r>
    </w:p>
    <w:p w:rsidR="00A56FAA" w:rsidRPr="005C1C4A" w:rsidRDefault="00A56FAA" w:rsidP="00046B36">
      <w:pPr>
        <w:spacing w:line="244" w:lineRule="auto"/>
        <w:jc w:val="both"/>
        <w:rPr>
          <w:lang w:val="el-GR"/>
        </w:rPr>
        <w:sectPr w:rsidR="00A56FAA" w:rsidRPr="005C1C4A">
          <w:pgSz w:w="11910" w:h="16840"/>
          <w:pgMar w:top="1040" w:right="1180" w:bottom="900" w:left="1200" w:header="0" w:footer="714" w:gutter="0"/>
          <w:cols w:space="720"/>
        </w:sectPr>
      </w:pPr>
    </w:p>
    <w:p w:rsidR="00A56FAA" w:rsidRPr="005C1C4A" w:rsidRDefault="005C1C4A" w:rsidP="00046B36">
      <w:pPr>
        <w:pStyle w:val="a3"/>
        <w:spacing w:before="80" w:line="244" w:lineRule="auto"/>
        <w:ind w:left="218"/>
        <w:jc w:val="both"/>
        <w:rPr>
          <w:lang w:val="el-GR"/>
        </w:rPr>
      </w:pPr>
      <w:r w:rsidRPr="005C1C4A">
        <w:rPr>
          <w:lang w:val="el-GR"/>
        </w:rPr>
        <w:lastRenderedPageBreak/>
        <w:t xml:space="preserve">Η </w:t>
      </w:r>
      <w:r>
        <w:t>AUC</w:t>
      </w:r>
      <w:r w:rsidRPr="005C1C4A">
        <w:rPr>
          <w:lang w:val="el-GR"/>
        </w:rPr>
        <w:t xml:space="preserve"> της σιταγλιπτίνης στο πλάσμα αυξήθηκε κατά περίπου 2 φορές σε ασθενείς με μέτρια  νεφρική δυσλειτουργία (</w:t>
      </w:r>
      <w:r>
        <w:t>GFR</w:t>
      </w:r>
      <w:r w:rsidRPr="005C1C4A">
        <w:rPr>
          <w:lang w:val="el-GR"/>
        </w:rPr>
        <w:t xml:space="preserve"> ≥ 30 έως &lt; 45 </w:t>
      </w:r>
      <w:r>
        <w:t>ml</w:t>
      </w:r>
      <w:r w:rsidRPr="005C1C4A">
        <w:rPr>
          <w:lang w:val="el-GR"/>
        </w:rPr>
        <w:t>/</w:t>
      </w:r>
      <w:r>
        <w:t>min</w:t>
      </w:r>
      <w:r w:rsidRPr="005C1C4A">
        <w:rPr>
          <w:lang w:val="el-GR"/>
        </w:rPr>
        <w:t>) και κατά περίπου 4 φορές σε ασθενείς με  σοβαρή νεφρική δυσλειτουργία (</w:t>
      </w:r>
      <w:r>
        <w:t>GFR</w:t>
      </w:r>
      <w:r w:rsidRPr="005C1C4A">
        <w:rPr>
          <w:lang w:val="el-GR"/>
        </w:rPr>
        <w:t xml:space="preserve"> &lt; 30 </w:t>
      </w:r>
      <w:r>
        <w:t>ml</w:t>
      </w:r>
      <w:r w:rsidRPr="005C1C4A">
        <w:rPr>
          <w:lang w:val="el-GR"/>
        </w:rPr>
        <w:t>/</w:t>
      </w:r>
      <w:r>
        <w:t>min</w:t>
      </w:r>
      <w:r w:rsidRPr="005C1C4A">
        <w:rPr>
          <w:lang w:val="el-GR"/>
        </w:rPr>
        <w:t xml:space="preserve">), συμπεριλαμβανομένων ασθενών με νεφρική  νόσο τελικού σταδίου σε αιμοδιύλιση. Η σιταγλιπτίνη απομακρύνθηκε μετρίως με την αιμοδιύλιση (13,5 % για 3 έως 4 ώρες αιμοδιύλισης με έναρξη 4 ώρες μετά τη δόση). Προκειμένου να επιτευχθούν συγκεντρώσεις σιταγλιπτίνης στο πλάσμα παρόμοιες με αυτές των ασθενών με φυσιολογική νεφρική λειτουργία, συνιστώνται μικρότερες δόσεις σε ασθενείς με </w:t>
      </w:r>
      <w:r>
        <w:t>GFR</w:t>
      </w:r>
      <w:r w:rsidRPr="005C1C4A">
        <w:rPr>
          <w:lang w:val="el-GR"/>
        </w:rPr>
        <w:t xml:space="preserve"> &lt; 45 </w:t>
      </w:r>
      <w:r>
        <w:t>ml</w:t>
      </w:r>
      <w:r w:rsidRPr="005C1C4A">
        <w:rPr>
          <w:lang w:val="el-GR"/>
        </w:rPr>
        <w:t>/</w:t>
      </w:r>
      <w:r>
        <w:t>min</w:t>
      </w:r>
      <w:r w:rsidRPr="005C1C4A">
        <w:rPr>
          <w:lang w:val="el-GR"/>
        </w:rPr>
        <w:t xml:space="preserve"> (βλ. παράγραφο</w:t>
      </w:r>
      <w:r w:rsidRPr="005C1C4A">
        <w:rPr>
          <w:spacing w:val="15"/>
          <w:lang w:val="el-GR"/>
        </w:rPr>
        <w:t xml:space="preserve"> </w:t>
      </w:r>
      <w:r w:rsidRPr="005C1C4A">
        <w:rPr>
          <w:lang w:val="el-GR"/>
        </w:rPr>
        <w:t>4.2).</w:t>
      </w:r>
    </w:p>
    <w:p w:rsidR="00A56FAA" w:rsidRPr="005C1C4A" w:rsidRDefault="00A56FAA" w:rsidP="00046B36">
      <w:pPr>
        <w:pStyle w:val="a3"/>
        <w:spacing w:before="3"/>
        <w:jc w:val="both"/>
        <w:rPr>
          <w:sz w:val="23"/>
          <w:lang w:val="el-GR"/>
        </w:rPr>
      </w:pPr>
    </w:p>
    <w:p w:rsidR="00A56FAA" w:rsidRPr="005C1C4A" w:rsidRDefault="005C1C4A" w:rsidP="00046B36">
      <w:pPr>
        <w:ind w:left="218"/>
        <w:jc w:val="both"/>
        <w:rPr>
          <w:lang w:val="el-GR"/>
        </w:rPr>
      </w:pPr>
      <w:r w:rsidRPr="005C1C4A">
        <w:rPr>
          <w:i/>
          <w:lang w:val="el-GR"/>
        </w:rPr>
        <w:t>Ηπατική δυσλειτουργία</w:t>
      </w:r>
      <w:r w:rsidRPr="005C1C4A">
        <w:rPr>
          <w:lang w:val="el-GR"/>
        </w:rPr>
        <w:t>,</w:t>
      </w:r>
    </w:p>
    <w:p w:rsidR="00A56FAA" w:rsidRPr="005C1C4A" w:rsidRDefault="005C1C4A" w:rsidP="00046B36">
      <w:pPr>
        <w:pStyle w:val="a3"/>
        <w:spacing w:before="6" w:line="244" w:lineRule="auto"/>
        <w:ind w:left="218"/>
        <w:jc w:val="both"/>
        <w:rPr>
          <w:lang w:val="el-GR"/>
        </w:rPr>
      </w:pPr>
      <w:r w:rsidRPr="005C1C4A">
        <w:rPr>
          <w:lang w:val="el-GR"/>
        </w:rPr>
        <w:t xml:space="preserve">Δεν απαιτείται προσαρμογή της δόσης του </w:t>
      </w:r>
      <w:r w:rsidR="00B20484">
        <w:t>SINVIA</w:t>
      </w:r>
      <w:r w:rsidRPr="005C1C4A">
        <w:rPr>
          <w:lang w:val="el-GR"/>
        </w:rPr>
        <w:t xml:space="preserve"> στους ασθενείς με ήπια ή μέτρια ηπατική δυσλειτουργία, (</w:t>
      </w:r>
      <w:r>
        <w:t>Child</w:t>
      </w:r>
      <w:r w:rsidRPr="005C1C4A">
        <w:rPr>
          <w:lang w:val="el-GR"/>
        </w:rPr>
        <w:t>-</w:t>
      </w:r>
      <w:r>
        <w:t>Pugh</w:t>
      </w:r>
      <w:r w:rsidRPr="005C1C4A">
        <w:rPr>
          <w:lang w:val="el-GR"/>
        </w:rPr>
        <w:t xml:space="preserve"> </w:t>
      </w:r>
      <w:r>
        <w:t>score</w:t>
      </w:r>
      <w:r w:rsidRPr="005C1C4A">
        <w:rPr>
          <w:lang w:val="el-GR"/>
        </w:rPr>
        <w:t xml:space="preserve"> </w:t>
      </w:r>
      <w:r>
        <w:rPr>
          <w:rFonts w:ascii="Symbol" w:hAnsi="Symbol"/>
        </w:rPr>
        <w:t></w:t>
      </w:r>
      <w:r w:rsidRPr="005C1C4A">
        <w:rPr>
          <w:lang w:val="el-GR"/>
        </w:rPr>
        <w:t xml:space="preserve"> 9). Δεν υπάρχει κλινική εμπειρία σε ασθενείς με σοβαρή ηπατική δυσλειτουργία, (</w:t>
      </w:r>
      <w:r>
        <w:t>Child</w:t>
      </w:r>
      <w:r w:rsidRPr="005C1C4A">
        <w:rPr>
          <w:lang w:val="el-GR"/>
        </w:rPr>
        <w:t>-</w:t>
      </w:r>
      <w:r>
        <w:t>Pugh</w:t>
      </w:r>
      <w:r w:rsidRPr="005C1C4A">
        <w:rPr>
          <w:lang w:val="el-GR"/>
        </w:rPr>
        <w:t xml:space="preserve"> </w:t>
      </w:r>
      <w:r>
        <w:t>score</w:t>
      </w:r>
      <w:r w:rsidRPr="005C1C4A">
        <w:rPr>
          <w:lang w:val="el-GR"/>
        </w:rPr>
        <w:t xml:space="preserve"> &gt; 9). Παρόλα αυτά, για το λόγο ότι η σιταγλιπτίνη αποβάλλεται πρωταρχικά από τους νεφρούς, η σοβαρή ηπατική δυσλειτουργία, δεν αναμένεται να επηρεάσει την φαρμακοκινητική της σιταγλιπτίνης.</w:t>
      </w:r>
    </w:p>
    <w:p w:rsidR="00A56FAA" w:rsidRPr="005C1C4A" w:rsidRDefault="00A56FAA" w:rsidP="00046B36">
      <w:pPr>
        <w:pStyle w:val="a3"/>
        <w:spacing w:before="9"/>
        <w:jc w:val="both"/>
        <w:rPr>
          <w:lang w:val="el-GR"/>
        </w:rPr>
      </w:pPr>
    </w:p>
    <w:p w:rsidR="00A56FAA" w:rsidRPr="005C1C4A" w:rsidRDefault="005C1C4A" w:rsidP="00046B36">
      <w:pPr>
        <w:spacing w:before="1"/>
        <w:ind w:left="218"/>
        <w:jc w:val="both"/>
        <w:rPr>
          <w:i/>
          <w:lang w:val="el-GR"/>
        </w:rPr>
      </w:pPr>
      <w:r w:rsidRPr="005C1C4A">
        <w:rPr>
          <w:i/>
          <w:lang w:val="el-GR"/>
        </w:rPr>
        <w:t>Ηλικιωμένοι</w:t>
      </w:r>
    </w:p>
    <w:p w:rsidR="00A56FAA" w:rsidRPr="005C1C4A" w:rsidRDefault="005C1C4A" w:rsidP="00046B36">
      <w:pPr>
        <w:pStyle w:val="a3"/>
        <w:spacing w:before="6" w:line="244" w:lineRule="auto"/>
        <w:ind w:left="218"/>
        <w:jc w:val="both"/>
        <w:rPr>
          <w:lang w:val="el-GR"/>
        </w:rPr>
      </w:pPr>
      <w:r w:rsidRPr="005C1C4A">
        <w:rPr>
          <w:lang w:val="el-GR"/>
        </w:rPr>
        <w:t>Δεν απαιτείται προσαρμογή της δόσης με βάση την ηλικία. Η ηλικία δεν επηρέασε κλινικά σημαντικά την φαρμακοκινητική της σιταγλιπτίνης, σύμφωνα με δεδομένα από φαρμακοκινητική ανάλυση σε πληθυσμό μελετών φάσης Ι και φάσης ΙΙ. Ηλικιωμένα άτομα (65 έως 80 ετών) εμφάνισαν περίπου 19</w:t>
      </w:r>
    </w:p>
    <w:p w:rsidR="00A56FAA" w:rsidRPr="005C1C4A" w:rsidRDefault="005C1C4A" w:rsidP="00046B36">
      <w:pPr>
        <w:pStyle w:val="a3"/>
        <w:spacing w:before="3"/>
        <w:ind w:left="218"/>
        <w:jc w:val="both"/>
        <w:rPr>
          <w:lang w:val="el-GR"/>
        </w:rPr>
      </w:pPr>
      <w:r w:rsidRPr="005C1C4A">
        <w:rPr>
          <w:lang w:val="el-GR"/>
        </w:rPr>
        <w:t>% υψηλότερες συγκεντρώσεις της σιταγλιπτίνης στο πλάσμα, σε σύγκριση με νεότερους ασθενείς.</w:t>
      </w:r>
    </w:p>
    <w:p w:rsidR="00A56FAA" w:rsidRPr="005C1C4A" w:rsidRDefault="00A56FAA" w:rsidP="00046B36">
      <w:pPr>
        <w:pStyle w:val="a3"/>
        <w:spacing w:before="1"/>
        <w:jc w:val="both"/>
        <w:rPr>
          <w:sz w:val="23"/>
          <w:lang w:val="el-GR"/>
        </w:rPr>
      </w:pPr>
    </w:p>
    <w:p w:rsidR="00A56FAA" w:rsidRPr="005C1C4A" w:rsidRDefault="005C1C4A" w:rsidP="00046B36">
      <w:pPr>
        <w:ind w:left="218"/>
        <w:jc w:val="both"/>
        <w:rPr>
          <w:i/>
          <w:lang w:val="el-GR"/>
        </w:rPr>
      </w:pPr>
      <w:r w:rsidRPr="005C1C4A">
        <w:rPr>
          <w:i/>
          <w:lang w:val="el-GR"/>
        </w:rPr>
        <w:t>Παιδιατρικός πληθυσμός</w:t>
      </w:r>
    </w:p>
    <w:p w:rsidR="00A56FAA" w:rsidRPr="005C1C4A" w:rsidRDefault="005C1C4A" w:rsidP="00046B36">
      <w:pPr>
        <w:pStyle w:val="a3"/>
        <w:spacing w:before="6" w:line="244" w:lineRule="auto"/>
        <w:ind w:left="218"/>
        <w:jc w:val="both"/>
        <w:rPr>
          <w:lang w:val="el-GR"/>
        </w:rPr>
      </w:pPr>
      <w:r w:rsidRPr="005C1C4A">
        <w:rPr>
          <w:lang w:val="el-GR"/>
        </w:rPr>
        <w:t xml:space="preserve">Η φαρμακοκινητική της σιταγλιπτίνης (εφάπαξ δόση των 50 </w:t>
      </w:r>
      <w:r>
        <w:t>mg</w:t>
      </w:r>
      <w:r w:rsidRPr="005C1C4A">
        <w:rPr>
          <w:lang w:val="el-GR"/>
        </w:rPr>
        <w:t xml:space="preserve">, 100 </w:t>
      </w:r>
      <w:r>
        <w:t>mg</w:t>
      </w:r>
      <w:r w:rsidRPr="005C1C4A">
        <w:rPr>
          <w:lang w:val="el-GR"/>
        </w:rPr>
        <w:t xml:space="preserve"> ή 200 </w:t>
      </w:r>
      <w:r>
        <w:t>mg</w:t>
      </w:r>
      <w:r w:rsidRPr="005C1C4A">
        <w:rPr>
          <w:lang w:val="el-GR"/>
        </w:rPr>
        <w:t xml:space="preserve">) διερευνήθηκε σε παιδιατρικούς ασθενείς (ηλικίας 10 έως 17 ετών) με διαβήτη τύπου 2. Σε αυτό τον πληθυσμό, η προσαρμοσμένη δόση συγκέντρωσης της </w:t>
      </w:r>
      <w:r>
        <w:t>AUC</w:t>
      </w:r>
      <w:r w:rsidRPr="005C1C4A">
        <w:rPr>
          <w:lang w:val="el-GR"/>
        </w:rPr>
        <w:t xml:space="preserve"> της σιταγλιπτίνης στο πλάσμα ήταν περίπου 18% χαμηλότερη σε σύγκριση με τους ενήλικες ασθενείς με διαβήτη τύπου 2 για μία δόση 100 </w:t>
      </w:r>
      <w:r>
        <w:t>mg</w:t>
      </w:r>
      <w:r w:rsidRPr="005C1C4A">
        <w:rPr>
          <w:lang w:val="el-GR"/>
        </w:rPr>
        <w:t xml:space="preserve">. Αυτή η διαφορά δεν θεωρείται κλινικά σημαντική σε σύγκριση με τους ενήλικες ασθενείς με βάση την επίπεδη </w:t>
      </w:r>
      <w:r>
        <w:t>PK</w:t>
      </w:r>
      <w:r w:rsidRPr="005C1C4A">
        <w:rPr>
          <w:lang w:val="el-GR"/>
        </w:rPr>
        <w:t>/</w:t>
      </w:r>
      <w:r>
        <w:t>PD</w:t>
      </w:r>
      <w:r w:rsidRPr="005C1C4A">
        <w:rPr>
          <w:lang w:val="el-GR"/>
        </w:rPr>
        <w:t xml:space="preserve"> σχέση μεταξύ της δόσης των 50 </w:t>
      </w:r>
      <w:r>
        <w:t>mg</w:t>
      </w:r>
      <w:r w:rsidRPr="005C1C4A">
        <w:rPr>
          <w:lang w:val="el-GR"/>
        </w:rPr>
        <w:t xml:space="preserve"> και των 100 </w:t>
      </w:r>
      <w:r>
        <w:t>mg</w:t>
      </w:r>
      <w:r w:rsidRPr="005C1C4A">
        <w:rPr>
          <w:lang w:val="el-GR"/>
        </w:rPr>
        <w:t>. Δεν έχουν πραγματοποιηθεί μελέτες με σιταγλιπτίνη σε παιδιατρικούς ασθενείς ηλικίας μικρότερης των &lt;10 ετών.</w:t>
      </w:r>
    </w:p>
    <w:p w:rsidR="00A56FAA" w:rsidRPr="005C1C4A" w:rsidRDefault="00A56FAA" w:rsidP="00046B36">
      <w:pPr>
        <w:pStyle w:val="a3"/>
        <w:spacing w:before="3"/>
        <w:jc w:val="both"/>
        <w:rPr>
          <w:sz w:val="23"/>
          <w:lang w:val="el-GR"/>
        </w:rPr>
      </w:pPr>
    </w:p>
    <w:p w:rsidR="00A56FAA" w:rsidRPr="005C1C4A" w:rsidRDefault="005C1C4A" w:rsidP="00046B36">
      <w:pPr>
        <w:ind w:left="218"/>
        <w:jc w:val="both"/>
        <w:rPr>
          <w:i/>
          <w:lang w:val="el-GR"/>
        </w:rPr>
      </w:pPr>
      <w:r w:rsidRPr="005C1C4A">
        <w:rPr>
          <w:i/>
          <w:lang w:val="el-GR"/>
        </w:rPr>
        <w:t>Άλλα χαρακτηριστικά ασθενών</w:t>
      </w:r>
    </w:p>
    <w:p w:rsidR="00A56FAA" w:rsidRPr="005C1C4A" w:rsidRDefault="005C1C4A" w:rsidP="00046B36">
      <w:pPr>
        <w:pStyle w:val="a3"/>
        <w:spacing w:before="6" w:line="244" w:lineRule="auto"/>
        <w:ind w:left="218"/>
        <w:jc w:val="both"/>
        <w:rPr>
          <w:lang w:val="el-GR"/>
        </w:rPr>
      </w:pPr>
      <w:r w:rsidRPr="005C1C4A">
        <w:rPr>
          <w:lang w:val="el-GR"/>
        </w:rPr>
        <w:t>Δεν απαιτείται προσαρμογή της δόσης με βάση το φύλο, τη φυλή ή το δείκτη μάζας σώματος (ΒΜΙ). Αυτά τα χαρακτηριστικά δεν έχουν κλινικά σημαντική επίδραση στην φαρμακοκινητική της σιταγλιπτίνης σύμφωνα με φαρμακοκινητικά δεδομένα μιας μικτής ανάλυσης μελέτης φάσης Ι και δεδομένα από φαρμακοκινητική ανάλυση σε πληθυσμό μελετών φάσης Ι και φάσης ΙΙ.</w:t>
      </w:r>
    </w:p>
    <w:p w:rsidR="00A56FAA" w:rsidRPr="005C1C4A" w:rsidRDefault="00A56FAA" w:rsidP="00046B36">
      <w:pPr>
        <w:pStyle w:val="a3"/>
        <w:spacing w:before="4"/>
        <w:jc w:val="both"/>
        <w:rPr>
          <w:sz w:val="23"/>
          <w:lang w:val="el-GR"/>
        </w:rPr>
      </w:pPr>
    </w:p>
    <w:p w:rsidR="00A56FAA" w:rsidRDefault="005C1C4A" w:rsidP="00046B36">
      <w:pPr>
        <w:pStyle w:val="1"/>
        <w:numPr>
          <w:ilvl w:val="1"/>
          <w:numId w:val="14"/>
        </w:numPr>
        <w:tabs>
          <w:tab w:val="left" w:pos="784"/>
          <w:tab w:val="left" w:pos="785"/>
        </w:tabs>
        <w:spacing w:before="1"/>
        <w:jc w:val="both"/>
      </w:pPr>
      <w:r>
        <w:t>Προκλινικά δεδομένα για την</w:t>
      </w:r>
      <w:r>
        <w:rPr>
          <w:spacing w:val="-5"/>
        </w:rPr>
        <w:t xml:space="preserve"> </w:t>
      </w:r>
      <w:r>
        <w:t>ασφάλεια</w:t>
      </w:r>
    </w:p>
    <w:p w:rsidR="00A56FAA" w:rsidRDefault="00A56FAA" w:rsidP="00046B36">
      <w:pPr>
        <w:pStyle w:val="a3"/>
        <w:spacing w:before="7"/>
        <w:jc w:val="both"/>
        <w:rPr>
          <w:b/>
        </w:rPr>
      </w:pPr>
    </w:p>
    <w:p w:rsidR="00A56FAA" w:rsidRPr="005C1C4A" w:rsidRDefault="005C1C4A" w:rsidP="00046B36">
      <w:pPr>
        <w:pStyle w:val="a3"/>
        <w:spacing w:line="244" w:lineRule="auto"/>
        <w:ind w:left="218"/>
        <w:jc w:val="both"/>
        <w:rPr>
          <w:lang w:val="el-GR"/>
        </w:rPr>
      </w:pPr>
      <w:r w:rsidRPr="005C1C4A">
        <w:rPr>
          <w:lang w:val="el-GR"/>
        </w:rPr>
        <w:t>Νεφρική και ηπατική τοξικότητα παρατηρήθηκε σε τρωκτικά με συστηματική έκθεση 58 φορές υψηλότερη από το επίπεδο έκθεσης στον άνθρωπο, ενώ το όριο μη επίδρασης βρέθηκε στις 19 φορές πάνω από το επίπεδο έκθεσης του ανθρώπου. Ανωμαλίες των κοπτήρων οδόντων παρατηρήθηκαν σε αρουραίους σε επίπεδα έκθεσης 67 φορές πάνω από το επίπεδο κλινικής έκθεσης. Το όριο μη επίδρασης γι’ αυτό το εύρημα ήταν 58 φορές υψηλότερο, βασισμένο στη μελέτη αρουραίων 14 εβδομάδων. Η σχέση αυτών των ευρημάτων με τους ανθρώπους είναι άγνωστη. Παροδικά φυσικά σημεία σχετιζόμενα με τη θεραπεία, μερικά από τα οποία συνιστούν νευρική τοξικότητα, όπως αναπνοή με ανοικτό στόμα, σιελόρροια, λευκωπός αφρώδης έμετος, αταξία, τρόμος, μειωμένη δραστηριότητα και/ή κυρτή στάση παρατηρήθηκαν σε σκύλους σε επίπεδα έκθεσης περίπου 23 φορές υψηλότερα από το επίπεδο κλινικής έκθεσης. Επιπρόσθετα, πολύ ελαφρά έως ελαφρά εκφύλιση των σκελετικών μυών παρατηρήθηκε επίσης ιστολογικά σε δόσεις οι οποίες προκάλεσαν συστηματική έκθεση σε επίπεδα 23 φορές υψηλότερα από το επίπεδο της ανθρώπινης έκθεσης. Το όριο μη επίδρασης γι αυτά τα ευρήματα βρέθηκε σε έκθεση 6 φορές υψηλότερη από το επίπεδο της κλινικής έκθεσης.</w:t>
      </w:r>
    </w:p>
    <w:p w:rsidR="00A56FAA" w:rsidRPr="005C1C4A" w:rsidRDefault="00A56FAA" w:rsidP="00046B36">
      <w:pPr>
        <w:pStyle w:val="a3"/>
        <w:jc w:val="both"/>
        <w:rPr>
          <w:sz w:val="24"/>
          <w:lang w:val="el-GR"/>
        </w:rPr>
      </w:pPr>
    </w:p>
    <w:p w:rsidR="00A56FAA" w:rsidRPr="005C1C4A" w:rsidRDefault="005C1C4A" w:rsidP="00046B36">
      <w:pPr>
        <w:pStyle w:val="a3"/>
        <w:spacing w:line="244" w:lineRule="auto"/>
        <w:ind w:left="218"/>
        <w:jc w:val="both"/>
        <w:rPr>
          <w:lang w:val="el-GR"/>
        </w:rPr>
      </w:pPr>
      <w:r w:rsidRPr="005C1C4A">
        <w:rPr>
          <w:lang w:val="el-GR"/>
        </w:rPr>
        <w:t>Η σιταγλιπτίνη δεν έχει δειχθεί να είναι γενοτοξική σε προκλινικές μελέτες. Η σιταγλιπτίνη δεν ήταν καρκινογόνος σε ποντίκια. Σε αρουραίους, υπήρξε αυξημένη παρουσία ηπατικών αδενωμάτων και καρκινωμάτων σε επίπεδα συστηματικής έκθεσης 58 φορές του επιπέδου της ανθρώπινης έκθεσης.</w:t>
      </w:r>
    </w:p>
    <w:p w:rsidR="00A56FAA" w:rsidRPr="005C1C4A" w:rsidRDefault="00A56FAA" w:rsidP="00046B36">
      <w:pPr>
        <w:spacing w:line="244" w:lineRule="auto"/>
        <w:jc w:val="both"/>
        <w:rPr>
          <w:lang w:val="el-GR"/>
        </w:rPr>
        <w:sectPr w:rsidR="00A56FAA" w:rsidRPr="005C1C4A">
          <w:pgSz w:w="11910" w:h="16840"/>
          <w:pgMar w:top="1040" w:right="1180" w:bottom="900" w:left="1200" w:header="0" w:footer="714" w:gutter="0"/>
          <w:cols w:space="720"/>
        </w:sectPr>
      </w:pPr>
    </w:p>
    <w:p w:rsidR="00A56FAA" w:rsidRPr="005C1C4A" w:rsidRDefault="005C1C4A" w:rsidP="00046B36">
      <w:pPr>
        <w:pStyle w:val="a3"/>
        <w:spacing w:before="80" w:line="244" w:lineRule="auto"/>
        <w:ind w:left="218"/>
        <w:jc w:val="both"/>
        <w:rPr>
          <w:lang w:val="el-GR"/>
        </w:rPr>
      </w:pPr>
      <w:r w:rsidRPr="005C1C4A">
        <w:rPr>
          <w:lang w:val="el-GR"/>
        </w:rPr>
        <w:lastRenderedPageBreak/>
        <w:t>Από τη στιγμή που η ηπατοτοξικότητα έχει φανεί να σχετίζεται με επαγωγή της ηπατικής νεοπλασίας σε αρουραίους, αυτή η αυξημένη συχνότητα εμφάνισης ηπατικών όγκων σε αρουραίους ήταν δευτερογενής της χρόνιας ηπατικής τοξικότητας σε αυτήν την υψηλή δόση. Εξαιτίας του υψηλού ορίου ασφάλειας (19 φορές υψηλότερα από το επίπεδο μη επίδρασης), αυτές οι νεοπλασματικές αλλοιώσεις δεν θεωρείται οτι σχετίζονται με αντίστοιχη κατάσταση σε ανθρώπους.</w:t>
      </w:r>
    </w:p>
    <w:p w:rsidR="00A56FAA" w:rsidRPr="005C1C4A" w:rsidRDefault="00A56FAA" w:rsidP="00046B36">
      <w:pPr>
        <w:pStyle w:val="a3"/>
        <w:jc w:val="both"/>
        <w:rPr>
          <w:sz w:val="23"/>
          <w:lang w:val="el-GR"/>
        </w:rPr>
      </w:pPr>
    </w:p>
    <w:p w:rsidR="00A56FAA" w:rsidRPr="005C1C4A" w:rsidRDefault="005C1C4A" w:rsidP="00046B36">
      <w:pPr>
        <w:pStyle w:val="a3"/>
        <w:spacing w:line="244" w:lineRule="auto"/>
        <w:ind w:left="218"/>
        <w:jc w:val="both"/>
        <w:rPr>
          <w:lang w:val="el-GR"/>
        </w:rPr>
      </w:pPr>
      <w:r w:rsidRPr="005C1C4A">
        <w:rPr>
          <w:lang w:val="el-GR"/>
        </w:rPr>
        <w:t>Δεν παρατηρήθηκαν ανεπιθύμητες ενέργειες επί της γονιμότητας αρσενικών και θηλυκών αρουραίων που ελάμβαναν σιταγλιπτίνη προ ή κατά τη διάρκεια συνεύρεσης.</w:t>
      </w:r>
    </w:p>
    <w:p w:rsidR="00A56FAA" w:rsidRPr="005C1C4A" w:rsidRDefault="00A56FAA" w:rsidP="00046B36">
      <w:pPr>
        <w:pStyle w:val="a3"/>
        <w:spacing w:before="9"/>
        <w:jc w:val="both"/>
        <w:rPr>
          <w:lang w:val="el-GR"/>
        </w:rPr>
      </w:pPr>
    </w:p>
    <w:p w:rsidR="00A56FAA" w:rsidRPr="005C1C4A" w:rsidRDefault="005C1C4A" w:rsidP="00046B36">
      <w:pPr>
        <w:pStyle w:val="a3"/>
        <w:spacing w:line="244" w:lineRule="auto"/>
        <w:ind w:left="218"/>
        <w:jc w:val="both"/>
        <w:rPr>
          <w:lang w:val="el-GR"/>
        </w:rPr>
      </w:pPr>
      <w:r w:rsidRPr="005C1C4A">
        <w:rPr>
          <w:lang w:val="el-GR"/>
        </w:rPr>
        <w:t>Σε μία προ-/μεταγεννητική μελέτη ανάπτυξης που πραγματοποιήθηκε σε αρουραίους, δεν παρουσιάσθηκαν ανεπιθύμητες ενέργειες με τη σιταγλιπτίνη.</w:t>
      </w:r>
    </w:p>
    <w:p w:rsidR="00A56FAA" w:rsidRPr="005C1C4A" w:rsidRDefault="00A56FAA" w:rsidP="00046B36">
      <w:pPr>
        <w:pStyle w:val="a3"/>
        <w:spacing w:before="8"/>
        <w:jc w:val="both"/>
        <w:rPr>
          <w:lang w:val="el-GR"/>
        </w:rPr>
      </w:pPr>
    </w:p>
    <w:p w:rsidR="00A56FAA" w:rsidRPr="005C1C4A" w:rsidRDefault="005C1C4A" w:rsidP="00046B36">
      <w:pPr>
        <w:pStyle w:val="a3"/>
        <w:spacing w:before="1" w:line="244" w:lineRule="auto"/>
        <w:ind w:left="218"/>
        <w:jc w:val="both"/>
        <w:rPr>
          <w:lang w:val="el-GR"/>
        </w:rPr>
      </w:pPr>
      <w:r w:rsidRPr="005C1C4A">
        <w:rPr>
          <w:lang w:val="el-GR"/>
        </w:rPr>
        <w:t>Μελέτες τοξικότητας της αναπαραγωγικής ικανότητας έδειξαν μία ελαφρά σχετιζόμενη με τη θεραπεία αυξημένη συχνότητα εμφάνισης δυσμορφιών των πλευρών του εμβρύου (απούσες, υποπλαστικές και κυματοειδείς πλευρές) σε απόγονους αρουραίων σε επίπεδα συστηματικής έκθεσης 29 φορές πάνω από τα επίπεδα της έκθεσης στον άνθρωπο. Τοξικότητα στην έγκυο σε μελέτη κονίκλων παρουσιάσθηκε σε επίπεδα 29 φορές υψηλότερα από τα επίπεδα της έκθεσης στον άνθρωπο. Εξαιτίας των υψηλών ορίων ασφάλειας, αυτά τα ευρήματα δεν υποδηλώνουν σχετιζόμενο κίνδυνο για την ανθρώπινη αναπαραγωγική ικανότητα. Η σιταγλιπτίνη απεκκρίνεται σε σημαντικές ποσότητες στο γάλα θηλαζόντων αρουραίων (σχέση γάλακτος/πλάσμα:</w:t>
      </w:r>
      <w:r w:rsidRPr="005C1C4A">
        <w:rPr>
          <w:spacing w:val="3"/>
          <w:lang w:val="el-GR"/>
        </w:rPr>
        <w:t xml:space="preserve"> </w:t>
      </w:r>
      <w:r w:rsidRPr="005C1C4A">
        <w:rPr>
          <w:lang w:val="el-GR"/>
        </w:rPr>
        <w:t>4:1).</w:t>
      </w:r>
    </w:p>
    <w:p w:rsidR="00A56FAA" w:rsidRPr="005C1C4A" w:rsidRDefault="00A56FAA" w:rsidP="00046B36">
      <w:pPr>
        <w:pStyle w:val="a3"/>
        <w:jc w:val="both"/>
        <w:rPr>
          <w:sz w:val="24"/>
          <w:lang w:val="el-GR"/>
        </w:rPr>
      </w:pPr>
    </w:p>
    <w:p w:rsidR="00A56FAA" w:rsidRPr="005C1C4A" w:rsidRDefault="00A56FAA" w:rsidP="00046B36">
      <w:pPr>
        <w:pStyle w:val="a3"/>
        <w:spacing w:before="3"/>
        <w:jc w:val="both"/>
        <w:rPr>
          <w:lang w:val="el-GR"/>
        </w:rPr>
      </w:pPr>
    </w:p>
    <w:p w:rsidR="00A56FAA" w:rsidRDefault="005C1C4A" w:rsidP="00046B36">
      <w:pPr>
        <w:pStyle w:val="1"/>
        <w:numPr>
          <w:ilvl w:val="0"/>
          <w:numId w:val="17"/>
        </w:numPr>
        <w:tabs>
          <w:tab w:val="left" w:pos="784"/>
          <w:tab w:val="left" w:pos="785"/>
        </w:tabs>
        <w:jc w:val="both"/>
      </w:pPr>
      <w:r>
        <w:t>ΦΑΡΜΑΚΕΥΤΙΚΕΣ ΠΛΗΡΟΦΟΡΙΕΣ</w:t>
      </w:r>
    </w:p>
    <w:p w:rsidR="00A56FAA" w:rsidRDefault="00A56FAA" w:rsidP="00046B36">
      <w:pPr>
        <w:pStyle w:val="a3"/>
        <w:spacing w:before="1"/>
        <w:jc w:val="both"/>
        <w:rPr>
          <w:b/>
          <w:sz w:val="23"/>
        </w:rPr>
      </w:pPr>
    </w:p>
    <w:p w:rsidR="00A56FAA" w:rsidRDefault="005C1C4A" w:rsidP="00046B36">
      <w:pPr>
        <w:pStyle w:val="a4"/>
        <w:numPr>
          <w:ilvl w:val="1"/>
          <w:numId w:val="17"/>
        </w:numPr>
        <w:tabs>
          <w:tab w:val="left" w:pos="784"/>
          <w:tab w:val="left" w:pos="785"/>
        </w:tabs>
        <w:jc w:val="both"/>
        <w:rPr>
          <w:b/>
        </w:rPr>
      </w:pPr>
      <w:r>
        <w:rPr>
          <w:b/>
        </w:rPr>
        <w:t>Κατάλογος</w:t>
      </w:r>
      <w:r>
        <w:rPr>
          <w:b/>
          <w:spacing w:val="-1"/>
        </w:rPr>
        <w:t xml:space="preserve"> </w:t>
      </w:r>
      <w:r>
        <w:rPr>
          <w:b/>
        </w:rPr>
        <w:t>εκδόχων</w:t>
      </w:r>
    </w:p>
    <w:p w:rsidR="00A56FAA" w:rsidRDefault="00A56FAA" w:rsidP="00046B36">
      <w:pPr>
        <w:pStyle w:val="a3"/>
        <w:spacing w:before="7"/>
        <w:jc w:val="both"/>
        <w:rPr>
          <w:b/>
        </w:rPr>
      </w:pPr>
    </w:p>
    <w:p w:rsidR="00A56FAA" w:rsidRDefault="005C1C4A" w:rsidP="00046B36">
      <w:pPr>
        <w:pStyle w:val="a3"/>
        <w:spacing w:before="1"/>
        <w:ind w:left="218"/>
        <w:jc w:val="both"/>
      </w:pPr>
      <w:r>
        <w:rPr>
          <w:u w:val="single"/>
        </w:rPr>
        <w:t>Πυρήνας δισκίου:</w:t>
      </w:r>
    </w:p>
    <w:p w:rsidR="00425938" w:rsidRDefault="00425938" w:rsidP="00046B36">
      <w:pPr>
        <w:pStyle w:val="a3"/>
        <w:spacing w:before="6" w:line="244" w:lineRule="auto"/>
        <w:ind w:left="218"/>
        <w:jc w:val="both"/>
        <w:rPr>
          <w:lang w:val="el-GR"/>
        </w:rPr>
      </w:pPr>
      <w:r>
        <w:rPr>
          <w:lang w:val="el-GR"/>
        </w:rPr>
        <w:t>Όξινο φωσφορικό ασβέστιο</w:t>
      </w:r>
    </w:p>
    <w:p w:rsidR="00A56FAA" w:rsidRDefault="00425938" w:rsidP="00046B36">
      <w:pPr>
        <w:pStyle w:val="a3"/>
        <w:spacing w:before="6"/>
        <w:ind w:left="218"/>
        <w:jc w:val="both"/>
      </w:pPr>
      <w:r>
        <w:rPr>
          <w:lang w:val="el-GR"/>
        </w:rPr>
        <w:t>Μ</w:t>
      </w:r>
      <w:r w:rsidR="005C1C4A">
        <w:t>ικροκρυσταλλική κυτταρίνη (E460)</w:t>
      </w:r>
    </w:p>
    <w:p w:rsidR="00425938" w:rsidRDefault="00425938" w:rsidP="00046B36">
      <w:pPr>
        <w:pStyle w:val="a3"/>
        <w:spacing w:before="6" w:line="244" w:lineRule="auto"/>
        <w:ind w:left="218"/>
        <w:jc w:val="both"/>
        <w:rPr>
          <w:lang w:val="el-GR"/>
        </w:rPr>
      </w:pPr>
      <w:r>
        <w:rPr>
          <w:lang w:val="el-GR"/>
        </w:rPr>
        <w:t>Κ</w:t>
      </w:r>
      <w:r w:rsidR="005C1C4A" w:rsidRPr="005C1C4A">
        <w:rPr>
          <w:lang w:val="el-GR"/>
        </w:rPr>
        <w:t>αρμελλόζη να</w:t>
      </w:r>
      <w:r>
        <w:rPr>
          <w:lang w:val="el-GR"/>
        </w:rPr>
        <w:t xml:space="preserve">τριούχος διασταυρούμενη (Ε468) </w:t>
      </w:r>
    </w:p>
    <w:p w:rsidR="00425938" w:rsidRDefault="00425938" w:rsidP="00046B36">
      <w:pPr>
        <w:pStyle w:val="a3"/>
        <w:spacing w:before="6" w:line="244" w:lineRule="auto"/>
        <w:ind w:left="218"/>
        <w:jc w:val="both"/>
        <w:rPr>
          <w:lang w:val="el-GR"/>
        </w:rPr>
      </w:pPr>
      <w:r>
        <w:rPr>
          <w:lang w:val="el-GR"/>
        </w:rPr>
        <w:t>Κολλοειδές πυρίτιο, άνυδρο</w:t>
      </w:r>
    </w:p>
    <w:p w:rsidR="00425938" w:rsidRPr="005C1C4A" w:rsidRDefault="00425938" w:rsidP="00046B36">
      <w:pPr>
        <w:pStyle w:val="a3"/>
        <w:spacing w:before="4"/>
        <w:ind w:left="218"/>
        <w:jc w:val="both"/>
        <w:rPr>
          <w:lang w:val="el-GR"/>
        </w:rPr>
      </w:pPr>
      <w:r>
        <w:rPr>
          <w:lang w:val="el-GR"/>
        </w:rPr>
        <w:t>Ν</w:t>
      </w:r>
      <w:r w:rsidRPr="005C1C4A">
        <w:rPr>
          <w:lang w:val="el-GR"/>
        </w:rPr>
        <w:t>άτριο</w:t>
      </w:r>
      <w:r w:rsidRPr="005C1C4A">
        <w:rPr>
          <w:spacing w:val="8"/>
          <w:lang w:val="el-GR"/>
        </w:rPr>
        <w:t xml:space="preserve"> </w:t>
      </w:r>
      <w:r w:rsidRPr="005C1C4A">
        <w:rPr>
          <w:lang w:val="el-GR"/>
        </w:rPr>
        <w:t>στεατυλοφουμαρικό</w:t>
      </w:r>
    </w:p>
    <w:p w:rsidR="00A56FAA" w:rsidRPr="005C1C4A" w:rsidRDefault="00425938" w:rsidP="00046B36">
      <w:pPr>
        <w:pStyle w:val="a3"/>
        <w:spacing w:before="6" w:line="244" w:lineRule="auto"/>
        <w:ind w:left="218"/>
        <w:jc w:val="both"/>
        <w:rPr>
          <w:lang w:val="el-GR"/>
        </w:rPr>
      </w:pPr>
      <w:r>
        <w:rPr>
          <w:lang w:val="el-GR"/>
        </w:rPr>
        <w:t>Μ</w:t>
      </w:r>
      <w:r w:rsidR="005C1C4A" w:rsidRPr="005C1C4A">
        <w:rPr>
          <w:lang w:val="el-GR"/>
        </w:rPr>
        <w:t>αγνήσιο στεατικό (</w:t>
      </w:r>
      <w:r w:rsidR="005C1C4A">
        <w:t>E</w:t>
      </w:r>
      <w:r w:rsidR="005C1C4A" w:rsidRPr="005C1C4A">
        <w:rPr>
          <w:lang w:val="el-GR"/>
        </w:rPr>
        <w:t>470</w:t>
      </w:r>
      <w:r w:rsidR="005C1C4A">
        <w:t>b</w:t>
      </w:r>
      <w:r w:rsidR="005C1C4A" w:rsidRPr="005C1C4A">
        <w:rPr>
          <w:lang w:val="el-GR"/>
        </w:rPr>
        <w:t>)</w:t>
      </w:r>
    </w:p>
    <w:p w:rsidR="00A56FAA" w:rsidRPr="005C1C4A" w:rsidRDefault="00A56FAA" w:rsidP="00046B36">
      <w:pPr>
        <w:pStyle w:val="a3"/>
        <w:jc w:val="both"/>
        <w:rPr>
          <w:sz w:val="23"/>
          <w:lang w:val="el-GR"/>
        </w:rPr>
      </w:pPr>
    </w:p>
    <w:p w:rsidR="00A56FAA" w:rsidRPr="005C1C4A" w:rsidRDefault="005C1C4A" w:rsidP="00046B36">
      <w:pPr>
        <w:pStyle w:val="a3"/>
        <w:spacing w:before="1"/>
        <w:ind w:left="218"/>
        <w:jc w:val="both"/>
        <w:rPr>
          <w:lang w:val="el-GR"/>
        </w:rPr>
      </w:pPr>
      <w:r w:rsidRPr="005C1C4A">
        <w:rPr>
          <w:u w:val="single"/>
          <w:lang w:val="el-GR"/>
        </w:rPr>
        <w:t>Επικάλυψη με λεπτό υμένιο:</w:t>
      </w:r>
    </w:p>
    <w:p w:rsidR="00425938" w:rsidRDefault="00425938" w:rsidP="00046B36">
      <w:pPr>
        <w:pStyle w:val="a3"/>
        <w:spacing w:before="6" w:line="244" w:lineRule="auto"/>
        <w:ind w:left="218"/>
        <w:jc w:val="both"/>
        <w:rPr>
          <w:lang w:val="el-GR"/>
        </w:rPr>
      </w:pPr>
      <w:r>
        <w:rPr>
          <w:lang w:val="el-GR"/>
        </w:rPr>
        <w:t>Π</w:t>
      </w:r>
      <w:r w:rsidR="005C1C4A" w:rsidRPr="005C1C4A">
        <w:rPr>
          <w:lang w:val="el-GR"/>
        </w:rPr>
        <w:t>ολυβινυλαλκοόλη</w:t>
      </w:r>
      <w:r>
        <w:rPr>
          <w:lang w:val="el-GR"/>
        </w:rPr>
        <w:t>, μερικώς υδρολυμένη</w:t>
      </w:r>
      <w:r w:rsidR="005C1C4A" w:rsidRPr="005C1C4A">
        <w:rPr>
          <w:lang w:val="el-GR"/>
        </w:rPr>
        <w:t xml:space="preserve"> </w:t>
      </w:r>
      <w:r>
        <w:rPr>
          <w:lang w:val="el-GR"/>
        </w:rPr>
        <w:t xml:space="preserve">(Ε1203) </w:t>
      </w:r>
    </w:p>
    <w:p w:rsidR="00425938" w:rsidRDefault="00425938" w:rsidP="00046B36">
      <w:pPr>
        <w:pStyle w:val="a3"/>
        <w:spacing w:before="6" w:line="244" w:lineRule="auto"/>
        <w:ind w:left="218"/>
        <w:jc w:val="both"/>
        <w:rPr>
          <w:lang w:val="el-GR"/>
        </w:rPr>
      </w:pPr>
      <w:r>
        <w:rPr>
          <w:lang w:val="el-GR"/>
        </w:rPr>
        <w:t>Δ</w:t>
      </w:r>
      <w:r w:rsidRPr="005C1C4A">
        <w:rPr>
          <w:lang w:val="el-GR"/>
        </w:rPr>
        <w:t>ιοξείδιο του τιτανίου (</w:t>
      </w:r>
      <w:r>
        <w:t>E</w:t>
      </w:r>
      <w:r w:rsidRPr="005C1C4A">
        <w:rPr>
          <w:lang w:val="el-GR"/>
        </w:rPr>
        <w:t xml:space="preserve">171) </w:t>
      </w:r>
    </w:p>
    <w:p w:rsidR="00425938" w:rsidRDefault="00425938" w:rsidP="00046B36">
      <w:pPr>
        <w:pStyle w:val="a3"/>
        <w:spacing w:before="6" w:line="244" w:lineRule="auto"/>
        <w:ind w:left="218"/>
        <w:jc w:val="both"/>
        <w:rPr>
          <w:lang w:val="el-GR"/>
        </w:rPr>
      </w:pPr>
      <w:r>
        <w:rPr>
          <w:lang w:val="el-GR"/>
        </w:rPr>
        <w:t>Π</w:t>
      </w:r>
      <w:r w:rsidR="005C1C4A" w:rsidRPr="005C1C4A">
        <w:rPr>
          <w:lang w:val="el-GR"/>
        </w:rPr>
        <w:t xml:space="preserve">ολυαιθυλενογλυκόλη 3350 </w:t>
      </w:r>
      <w:r>
        <w:rPr>
          <w:lang w:val="el-GR"/>
        </w:rPr>
        <w:t>(Ε1521)</w:t>
      </w:r>
    </w:p>
    <w:p w:rsidR="00A56FAA" w:rsidRPr="005C1C4A" w:rsidRDefault="00425938" w:rsidP="00046B36">
      <w:pPr>
        <w:pStyle w:val="a3"/>
        <w:spacing w:before="6" w:line="244" w:lineRule="auto"/>
        <w:ind w:left="218"/>
        <w:jc w:val="both"/>
        <w:rPr>
          <w:lang w:val="el-GR"/>
        </w:rPr>
      </w:pPr>
      <w:r>
        <w:rPr>
          <w:lang w:val="el-GR"/>
        </w:rPr>
        <w:t>Τ</w:t>
      </w:r>
      <w:r w:rsidR="005C1C4A" w:rsidRPr="005C1C4A">
        <w:rPr>
          <w:lang w:val="el-GR"/>
        </w:rPr>
        <w:t>άλκης (</w:t>
      </w:r>
      <w:r w:rsidR="005C1C4A">
        <w:t>E</w:t>
      </w:r>
      <w:r w:rsidR="005C1C4A" w:rsidRPr="005C1C4A">
        <w:rPr>
          <w:lang w:val="el-GR"/>
        </w:rPr>
        <w:t>553</w:t>
      </w:r>
      <w:r w:rsidR="005C1C4A">
        <w:t>b</w:t>
      </w:r>
      <w:r w:rsidR="005C1C4A" w:rsidRPr="005C1C4A">
        <w:rPr>
          <w:lang w:val="el-GR"/>
        </w:rPr>
        <w:t>)</w:t>
      </w:r>
    </w:p>
    <w:p w:rsidR="00425938" w:rsidRDefault="003E3CE3" w:rsidP="00046B36">
      <w:pPr>
        <w:pStyle w:val="a3"/>
        <w:tabs>
          <w:tab w:val="left" w:pos="4395"/>
        </w:tabs>
        <w:spacing w:before="3" w:line="244" w:lineRule="auto"/>
        <w:ind w:left="218"/>
        <w:jc w:val="both"/>
        <w:rPr>
          <w:lang w:val="el-GR"/>
        </w:rPr>
      </w:pPr>
      <w:r>
        <w:rPr>
          <w:lang w:val="el-GR"/>
        </w:rPr>
        <w:t>Σ</w:t>
      </w:r>
      <w:r w:rsidR="00425938" w:rsidRPr="005C1C4A">
        <w:rPr>
          <w:lang w:val="el-GR"/>
        </w:rPr>
        <w:t>ιδήρου</w:t>
      </w:r>
      <w:r>
        <w:rPr>
          <w:lang w:val="el-GR"/>
        </w:rPr>
        <w:t xml:space="preserve"> οξείδιο κίτρινο</w:t>
      </w:r>
      <w:r w:rsidR="00425938" w:rsidRPr="005C1C4A">
        <w:rPr>
          <w:lang w:val="el-GR"/>
        </w:rPr>
        <w:t xml:space="preserve"> (</w:t>
      </w:r>
      <w:r w:rsidR="00425938">
        <w:t>E</w:t>
      </w:r>
      <w:r w:rsidR="00425938" w:rsidRPr="005C1C4A">
        <w:rPr>
          <w:lang w:val="el-GR"/>
        </w:rPr>
        <w:t>172)</w:t>
      </w:r>
    </w:p>
    <w:p w:rsidR="00A56FAA" w:rsidRDefault="003E3CE3" w:rsidP="00046B36">
      <w:pPr>
        <w:pStyle w:val="a3"/>
        <w:tabs>
          <w:tab w:val="left" w:pos="4395"/>
        </w:tabs>
        <w:spacing w:before="3" w:line="244" w:lineRule="auto"/>
        <w:ind w:left="218"/>
        <w:jc w:val="both"/>
        <w:rPr>
          <w:lang w:val="el-GR"/>
        </w:rPr>
      </w:pPr>
      <w:r>
        <w:rPr>
          <w:lang w:val="el-GR"/>
        </w:rPr>
        <w:t>Σιδήρου οξείδιο ερυθρό</w:t>
      </w:r>
      <w:r w:rsidR="005C1C4A" w:rsidRPr="005C1C4A">
        <w:rPr>
          <w:lang w:val="el-GR"/>
        </w:rPr>
        <w:t xml:space="preserve"> (</w:t>
      </w:r>
      <w:r w:rsidR="005C1C4A">
        <w:t>E</w:t>
      </w:r>
      <w:r w:rsidR="00425938">
        <w:rPr>
          <w:lang w:val="el-GR"/>
        </w:rPr>
        <w:t xml:space="preserve">172) </w:t>
      </w:r>
    </w:p>
    <w:p w:rsidR="00425938" w:rsidRPr="005C1C4A" w:rsidRDefault="003E3CE3" w:rsidP="00046B36">
      <w:pPr>
        <w:pStyle w:val="a3"/>
        <w:tabs>
          <w:tab w:val="left" w:pos="4395"/>
        </w:tabs>
        <w:spacing w:before="3" w:line="244" w:lineRule="auto"/>
        <w:ind w:left="218"/>
        <w:jc w:val="both"/>
        <w:rPr>
          <w:lang w:val="el-GR"/>
        </w:rPr>
      </w:pPr>
      <w:r>
        <w:rPr>
          <w:lang w:val="el-GR"/>
        </w:rPr>
        <w:t>Σιδήρου οξείδιο μέλαν</w:t>
      </w:r>
      <w:r w:rsidR="00425938">
        <w:rPr>
          <w:lang w:val="el-GR"/>
        </w:rPr>
        <w:t xml:space="preserve"> (Ε172)</w:t>
      </w:r>
    </w:p>
    <w:p w:rsidR="00A56FAA" w:rsidRPr="005C1C4A" w:rsidRDefault="00A56FAA" w:rsidP="00046B36">
      <w:pPr>
        <w:pStyle w:val="a3"/>
        <w:spacing w:before="3"/>
        <w:jc w:val="both"/>
        <w:rPr>
          <w:sz w:val="23"/>
          <w:lang w:val="el-GR"/>
        </w:rPr>
      </w:pPr>
    </w:p>
    <w:p w:rsidR="00A56FAA" w:rsidRDefault="005C1C4A" w:rsidP="00046B36">
      <w:pPr>
        <w:pStyle w:val="1"/>
        <w:numPr>
          <w:ilvl w:val="1"/>
          <w:numId w:val="17"/>
        </w:numPr>
        <w:tabs>
          <w:tab w:val="left" w:pos="784"/>
          <w:tab w:val="left" w:pos="785"/>
        </w:tabs>
        <w:jc w:val="both"/>
      </w:pPr>
      <w:r>
        <w:t>Ασυμβατότητες</w:t>
      </w:r>
    </w:p>
    <w:p w:rsidR="00A56FAA" w:rsidRDefault="00A56FAA" w:rsidP="00046B36">
      <w:pPr>
        <w:pStyle w:val="a3"/>
        <w:spacing w:before="8"/>
        <w:jc w:val="both"/>
        <w:rPr>
          <w:b/>
        </w:rPr>
      </w:pPr>
    </w:p>
    <w:p w:rsidR="00A56FAA" w:rsidRPr="007C7627" w:rsidRDefault="005C1C4A" w:rsidP="00046B36">
      <w:pPr>
        <w:pStyle w:val="a3"/>
        <w:ind w:left="218"/>
        <w:jc w:val="both"/>
        <w:rPr>
          <w:lang w:val="el-GR"/>
        </w:rPr>
      </w:pPr>
      <w:proofErr w:type="gramStart"/>
      <w:r>
        <w:t>Δεν εφαρμόζεται</w:t>
      </w:r>
      <w:r w:rsidR="007C7627">
        <w:rPr>
          <w:lang w:val="el-GR"/>
        </w:rPr>
        <w:t>.</w:t>
      </w:r>
      <w:proofErr w:type="gramEnd"/>
    </w:p>
    <w:p w:rsidR="00A56FAA" w:rsidRDefault="00A56FAA" w:rsidP="00046B36">
      <w:pPr>
        <w:pStyle w:val="a3"/>
        <w:spacing w:before="5"/>
        <w:jc w:val="both"/>
        <w:rPr>
          <w:sz w:val="23"/>
        </w:rPr>
      </w:pPr>
    </w:p>
    <w:p w:rsidR="00A56FAA" w:rsidRDefault="005C1C4A" w:rsidP="00046B36">
      <w:pPr>
        <w:pStyle w:val="1"/>
        <w:numPr>
          <w:ilvl w:val="1"/>
          <w:numId w:val="17"/>
        </w:numPr>
        <w:tabs>
          <w:tab w:val="left" w:pos="784"/>
          <w:tab w:val="left" w:pos="785"/>
        </w:tabs>
        <w:spacing w:before="1"/>
        <w:jc w:val="both"/>
      </w:pPr>
      <w:r>
        <w:t xml:space="preserve">Διάρκεια </w:t>
      </w:r>
      <w:r>
        <w:rPr>
          <w:spacing w:val="-3"/>
        </w:rPr>
        <w:t>ζωής</w:t>
      </w:r>
    </w:p>
    <w:p w:rsidR="00A56FAA" w:rsidRDefault="00A56FAA" w:rsidP="00046B36">
      <w:pPr>
        <w:pStyle w:val="a3"/>
        <w:spacing w:before="7"/>
        <w:jc w:val="both"/>
        <w:rPr>
          <w:b/>
        </w:rPr>
      </w:pPr>
    </w:p>
    <w:p w:rsidR="00A56FAA" w:rsidRDefault="005C1C4A" w:rsidP="00046B36">
      <w:pPr>
        <w:pStyle w:val="a3"/>
        <w:ind w:left="218"/>
        <w:jc w:val="both"/>
      </w:pPr>
      <w:r>
        <w:t>3 χρόνια</w:t>
      </w:r>
    </w:p>
    <w:p w:rsidR="00A56FAA" w:rsidRDefault="00A56FAA" w:rsidP="00046B36">
      <w:pPr>
        <w:pStyle w:val="a3"/>
        <w:spacing w:before="6"/>
        <w:jc w:val="both"/>
        <w:rPr>
          <w:sz w:val="23"/>
        </w:rPr>
      </w:pPr>
    </w:p>
    <w:p w:rsidR="00A56FAA" w:rsidRPr="005C1C4A" w:rsidRDefault="005C1C4A" w:rsidP="00046B36">
      <w:pPr>
        <w:pStyle w:val="1"/>
        <w:numPr>
          <w:ilvl w:val="1"/>
          <w:numId w:val="17"/>
        </w:numPr>
        <w:tabs>
          <w:tab w:val="left" w:pos="784"/>
          <w:tab w:val="left" w:pos="785"/>
        </w:tabs>
        <w:jc w:val="both"/>
        <w:rPr>
          <w:lang w:val="el-GR"/>
        </w:rPr>
      </w:pPr>
      <w:r w:rsidRPr="005C1C4A">
        <w:rPr>
          <w:lang w:val="el-GR"/>
        </w:rPr>
        <w:t>Ιδιαίτερες προφυλάξεις κατά τη φύλαξη του</w:t>
      </w:r>
      <w:r w:rsidRPr="005C1C4A">
        <w:rPr>
          <w:spacing w:val="-8"/>
          <w:lang w:val="el-GR"/>
        </w:rPr>
        <w:t xml:space="preserve"> </w:t>
      </w:r>
      <w:r w:rsidRPr="005C1C4A">
        <w:rPr>
          <w:lang w:val="el-GR"/>
        </w:rPr>
        <w:t>προϊόντος</w:t>
      </w:r>
    </w:p>
    <w:p w:rsidR="00A56FAA" w:rsidRPr="005C1C4A" w:rsidRDefault="00A56FAA" w:rsidP="00046B36">
      <w:pPr>
        <w:pStyle w:val="a3"/>
        <w:spacing w:before="7"/>
        <w:jc w:val="both"/>
        <w:rPr>
          <w:b/>
          <w:lang w:val="el-GR"/>
        </w:rPr>
      </w:pPr>
    </w:p>
    <w:p w:rsidR="00A56FAA" w:rsidRPr="005C1C4A" w:rsidRDefault="007C7627" w:rsidP="00046B36">
      <w:pPr>
        <w:pStyle w:val="a3"/>
        <w:spacing w:before="1"/>
        <w:ind w:left="218"/>
        <w:jc w:val="both"/>
        <w:rPr>
          <w:lang w:val="el-GR"/>
        </w:rPr>
      </w:pPr>
      <w:r>
        <w:rPr>
          <w:lang w:val="el-GR"/>
        </w:rPr>
        <w:t>Αυτό το φαρμακευτικό προϊόν δ</w:t>
      </w:r>
      <w:r w:rsidR="005C1C4A" w:rsidRPr="005C1C4A">
        <w:rPr>
          <w:lang w:val="el-GR"/>
        </w:rPr>
        <w:t xml:space="preserve">εν </w:t>
      </w:r>
      <w:r>
        <w:rPr>
          <w:lang w:val="el-GR"/>
        </w:rPr>
        <w:t>απαιτεί</w:t>
      </w:r>
      <w:r w:rsidR="005C1C4A" w:rsidRPr="005C1C4A">
        <w:rPr>
          <w:lang w:val="el-GR"/>
        </w:rPr>
        <w:t xml:space="preserve"> </w:t>
      </w:r>
      <w:r>
        <w:rPr>
          <w:lang w:val="el-GR"/>
        </w:rPr>
        <w:t>ιδιαίτερες</w:t>
      </w:r>
      <w:r w:rsidR="005C1C4A" w:rsidRPr="005C1C4A">
        <w:rPr>
          <w:lang w:val="el-GR"/>
        </w:rPr>
        <w:t xml:space="preserve"> συνθήκες </w:t>
      </w:r>
      <w:r>
        <w:rPr>
          <w:lang w:val="el-GR"/>
        </w:rPr>
        <w:t>φύλαξης.</w:t>
      </w:r>
    </w:p>
    <w:p w:rsidR="00A56FAA" w:rsidRPr="005C1C4A" w:rsidRDefault="00A56FAA" w:rsidP="00046B36">
      <w:pPr>
        <w:pStyle w:val="a3"/>
        <w:spacing w:before="5"/>
        <w:jc w:val="both"/>
        <w:rPr>
          <w:sz w:val="23"/>
          <w:lang w:val="el-GR"/>
        </w:rPr>
      </w:pPr>
    </w:p>
    <w:p w:rsidR="00A56FAA" w:rsidRDefault="005C1C4A" w:rsidP="00046B36">
      <w:pPr>
        <w:pStyle w:val="1"/>
        <w:numPr>
          <w:ilvl w:val="1"/>
          <w:numId w:val="17"/>
        </w:numPr>
        <w:tabs>
          <w:tab w:val="left" w:pos="784"/>
          <w:tab w:val="left" w:pos="785"/>
        </w:tabs>
        <w:jc w:val="both"/>
      </w:pPr>
      <w:r>
        <w:t>Φύση και συστατικά του</w:t>
      </w:r>
      <w:r>
        <w:rPr>
          <w:spacing w:val="-3"/>
        </w:rPr>
        <w:t xml:space="preserve"> </w:t>
      </w:r>
      <w:r>
        <w:t>περιέκτη</w:t>
      </w:r>
    </w:p>
    <w:p w:rsidR="00A56FAA" w:rsidRDefault="00A56FAA" w:rsidP="00046B36">
      <w:pPr>
        <w:pStyle w:val="a3"/>
        <w:spacing w:before="8"/>
        <w:jc w:val="both"/>
        <w:rPr>
          <w:b/>
        </w:rPr>
      </w:pPr>
    </w:p>
    <w:p w:rsidR="00A56FAA" w:rsidRPr="005C1C4A" w:rsidRDefault="007C7627" w:rsidP="00046B36">
      <w:pPr>
        <w:pStyle w:val="a3"/>
        <w:ind w:left="218"/>
        <w:jc w:val="both"/>
        <w:rPr>
          <w:lang w:val="el-GR"/>
        </w:rPr>
      </w:pPr>
      <w:r w:rsidRPr="007C7627">
        <w:rPr>
          <w:lang w:val="el-GR"/>
        </w:rPr>
        <w:lastRenderedPageBreak/>
        <w:t>Αδιαφαν</w:t>
      </w:r>
      <w:r>
        <w:rPr>
          <w:lang w:val="el-GR"/>
        </w:rPr>
        <w:t>είς</w:t>
      </w:r>
      <w:r w:rsidRPr="007C7627">
        <w:rPr>
          <w:lang w:val="el-GR"/>
        </w:rPr>
        <w:t xml:space="preserve"> </w:t>
      </w:r>
      <w:r>
        <w:rPr>
          <w:lang w:val="el-GR"/>
        </w:rPr>
        <w:t>κυψέλες</w:t>
      </w:r>
      <w:r w:rsidR="005C1C4A" w:rsidRPr="007C7627">
        <w:rPr>
          <w:lang w:val="el-GR"/>
        </w:rPr>
        <w:t xml:space="preserve"> (</w:t>
      </w:r>
      <w:r w:rsidR="005C1C4A">
        <w:t>PVC</w:t>
      </w:r>
      <w:r w:rsidR="005C1C4A" w:rsidRPr="007C7627">
        <w:rPr>
          <w:lang w:val="el-GR"/>
        </w:rPr>
        <w:t>/</w:t>
      </w:r>
      <w:r w:rsidR="005C1C4A">
        <w:t>PE</w:t>
      </w:r>
      <w:r w:rsidR="005C1C4A" w:rsidRPr="007C7627">
        <w:rPr>
          <w:lang w:val="el-GR"/>
        </w:rPr>
        <w:t>/</w:t>
      </w:r>
      <w:r w:rsidR="005C1C4A">
        <w:t>PVDC</w:t>
      </w:r>
      <w:r w:rsidR="005C1C4A" w:rsidRPr="007C7627">
        <w:rPr>
          <w:lang w:val="el-GR"/>
        </w:rPr>
        <w:t xml:space="preserve"> και αλουμινίου). </w:t>
      </w:r>
      <w:r>
        <w:rPr>
          <w:lang w:val="el-GR"/>
        </w:rPr>
        <w:t xml:space="preserve">Συσκευασίες των 28 και 30 </w:t>
      </w:r>
      <w:r w:rsidR="005C1C4A" w:rsidRPr="005C1C4A">
        <w:rPr>
          <w:lang w:val="el-GR"/>
        </w:rPr>
        <w:t>επικαλυμ</w:t>
      </w:r>
      <w:r>
        <w:rPr>
          <w:lang w:val="el-GR"/>
        </w:rPr>
        <w:t>μένων με λεπτό υμένιο δισκίων.</w:t>
      </w:r>
    </w:p>
    <w:p w:rsidR="00A56FAA" w:rsidRPr="005C1C4A" w:rsidRDefault="00A56FAA" w:rsidP="00046B36">
      <w:pPr>
        <w:pStyle w:val="a3"/>
        <w:spacing w:before="8"/>
        <w:jc w:val="both"/>
        <w:rPr>
          <w:lang w:val="el-GR"/>
        </w:rPr>
      </w:pPr>
    </w:p>
    <w:p w:rsidR="00A56FAA" w:rsidRPr="005C1C4A" w:rsidRDefault="005C1C4A" w:rsidP="00046B36">
      <w:pPr>
        <w:pStyle w:val="a3"/>
        <w:ind w:left="218"/>
        <w:jc w:val="both"/>
        <w:rPr>
          <w:lang w:val="el-GR"/>
        </w:rPr>
      </w:pPr>
      <w:r w:rsidRPr="005C1C4A">
        <w:rPr>
          <w:lang w:val="el-GR"/>
        </w:rPr>
        <w:t>Μπορεί να μην κυκλοφορούν όλες οι συσκευασίες.</w:t>
      </w:r>
    </w:p>
    <w:p w:rsidR="00A56FAA" w:rsidRPr="005C1C4A" w:rsidRDefault="00A56FAA" w:rsidP="00046B36">
      <w:pPr>
        <w:pStyle w:val="a3"/>
        <w:spacing w:before="6"/>
        <w:jc w:val="both"/>
        <w:rPr>
          <w:sz w:val="23"/>
          <w:lang w:val="el-GR"/>
        </w:rPr>
      </w:pPr>
    </w:p>
    <w:p w:rsidR="00A56FAA" w:rsidRDefault="005C1C4A" w:rsidP="00046B36">
      <w:pPr>
        <w:pStyle w:val="1"/>
        <w:numPr>
          <w:ilvl w:val="1"/>
          <w:numId w:val="17"/>
        </w:numPr>
        <w:tabs>
          <w:tab w:val="left" w:pos="784"/>
          <w:tab w:val="left" w:pos="785"/>
        </w:tabs>
        <w:jc w:val="both"/>
      </w:pPr>
      <w:r>
        <w:t>Ιδιαίτερες προφυλάξεις</w:t>
      </w:r>
      <w:r>
        <w:rPr>
          <w:spacing w:val="-3"/>
        </w:rPr>
        <w:t xml:space="preserve"> </w:t>
      </w:r>
      <w:r>
        <w:t>απόρριψης</w:t>
      </w:r>
    </w:p>
    <w:p w:rsidR="00A56FAA" w:rsidRDefault="00A56FAA" w:rsidP="00046B36">
      <w:pPr>
        <w:pStyle w:val="a3"/>
        <w:spacing w:before="8"/>
        <w:jc w:val="both"/>
        <w:rPr>
          <w:b/>
        </w:rPr>
      </w:pPr>
    </w:p>
    <w:p w:rsidR="00A56FAA" w:rsidRPr="005C1C4A" w:rsidRDefault="005C1C4A" w:rsidP="00046B36">
      <w:pPr>
        <w:pStyle w:val="a3"/>
        <w:spacing w:line="244" w:lineRule="auto"/>
        <w:ind w:left="218"/>
        <w:jc w:val="both"/>
        <w:rPr>
          <w:lang w:val="el-GR"/>
        </w:rPr>
      </w:pPr>
      <w:r w:rsidRPr="005C1C4A">
        <w:rPr>
          <w:lang w:val="el-GR"/>
        </w:rPr>
        <w:t>Κάθε αχρησιμοποίητο φαρμακευτικό προϊόν ή υπόλειμμα πρέπει να απορρίπτεται σύμφωνα με τις κατά τόπους ισχύουσες σχετικές διατάξεις.</w:t>
      </w:r>
    </w:p>
    <w:p w:rsidR="00A56FAA" w:rsidRPr="005C1C4A" w:rsidRDefault="00A56FAA" w:rsidP="00046B36">
      <w:pPr>
        <w:pStyle w:val="a3"/>
        <w:jc w:val="both"/>
        <w:rPr>
          <w:sz w:val="24"/>
          <w:lang w:val="el-GR"/>
        </w:rPr>
      </w:pPr>
    </w:p>
    <w:p w:rsidR="00A56FAA" w:rsidRPr="005C1C4A" w:rsidRDefault="00A56FAA" w:rsidP="00046B36">
      <w:pPr>
        <w:pStyle w:val="a3"/>
        <w:spacing w:before="8"/>
        <w:jc w:val="both"/>
        <w:rPr>
          <w:sz w:val="21"/>
          <w:lang w:val="el-GR"/>
        </w:rPr>
      </w:pPr>
    </w:p>
    <w:p w:rsidR="00A56FAA" w:rsidRDefault="005C1C4A" w:rsidP="00046B36">
      <w:pPr>
        <w:pStyle w:val="1"/>
        <w:numPr>
          <w:ilvl w:val="0"/>
          <w:numId w:val="17"/>
        </w:numPr>
        <w:tabs>
          <w:tab w:val="left" w:pos="784"/>
          <w:tab w:val="left" w:pos="785"/>
        </w:tabs>
        <w:jc w:val="both"/>
      </w:pPr>
      <w:r>
        <w:t>ΚΑΤΟΧΟΣ ΤΗΣ ΑΔΕΙΑΣ ΚΥΚΛΟΦΟΡΙΑΣ</w:t>
      </w:r>
    </w:p>
    <w:p w:rsidR="00A56FAA" w:rsidRDefault="00A56FAA" w:rsidP="00046B36">
      <w:pPr>
        <w:pStyle w:val="a3"/>
        <w:spacing w:before="7"/>
        <w:jc w:val="both"/>
        <w:rPr>
          <w:b/>
        </w:rPr>
      </w:pPr>
    </w:p>
    <w:p w:rsidR="00A56FAA" w:rsidRDefault="007C7627" w:rsidP="00046B36">
      <w:pPr>
        <w:pStyle w:val="a3"/>
        <w:spacing w:before="2" w:line="244" w:lineRule="auto"/>
        <w:ind w:left="218"/>
        <w:jc w:val="both"/>
        <w:rPr>
          <w:lang w:val="el-GR"/>
        </w:rPr>
      </w:pPr>
      <w:r>
        <w:t xml:space="preserve">ELPEN AE </w:t>
      </w:r>
      <w:r>
        <w:rPr>
          <w:lang w:val="el-GR"/>
        </w:rPr>
        <w:t>Φαρμακευτική Βιομηχανία</w:t>
      </w:r>
    </w:p>
    <w:p w:rsidR="007C7627" w:rsidRPr="007C7627" w:rsidRDefault="007C7627" w:rsidP="00046B36">
      <w:pPr>
        <w:pStyle w:val="a3"/>
        <w:spacing w:before="2" w:line="244" w:lineRule="auto"/>
        <w:ind w:left="218"/>
        <w:jc w:val="both"/>
        <w:rPr>
          <w:lang w:val="el-GR"/>
        </w:rPr>
      </w:pPr>
      <w:r>
        <w:rPr>
          <w:lang w:val="el-GR"/>
        </w:rPr>
        <w:t>Λεωφ. Μαραθώνος 95, 19009, Πικέρμι Αττικής</w:t>
      </w:r>
    </w:p>
    <w:p w:rsidR="00A56FAA" w:rsidRDefault="00A56FAA" w:rsidP="00046B36">
      <w:pPr>
        <w:pStyle w:val="a3"/>
        <w:jc w:val="both"/>
        <w:rPr>
          <w:sz w:val="24"/>
        </w:rPr>
      </w:pPr>
    </w:p>
    <w:p w:rsidR="00A56FAA" w:rsidRDefault="00A56FAA" w:rsidP="00046B36">
      <w:pPr>
        <w:pStyle w:val="a3"/>
        <w:spacing w:before="8"/>
        <w:jc w:val="both"/>
        <w:rPr>
          <w:sz w:val="21"/>
        </w:rPr>
      </w:pPr>
    </w:p>
    <w:p w:rsidR="00A56FAA" w:rsidRDefault="005C1C4A" w:rsidP="00046B36">
      <w:pPr>
        <w:pStyle w:val="1"/>
        <w:numPr>
          <w:ilvl w:val="0"/>
          <w:numId w:val="17"/>
        </w:numPr>
        <w:tabs>
          <w:tab w:val="left" w:pos="784"/>
          <w:tab w:val="left" w:pos="785"/>
        </w:tabs>
        <w:jc w:val="both"/>
      </w:pPr>
      <w:proofErr w:type="gramStart"/>
      <w:r>
        <w:t>ΑΡΙΘΜΟΣ(</w:t>
      </w:r>
      <w:proofErr w:type="gramEnd"/>
      <w:r>
        <w:t>ΟΙ) ΑΔΕΙΑΣ ΚΥΚΛΟΦΟΡΙΑΣ</w:t>
      </w:r>
    </w:p>
    <w:p w:rsidR="00A56FAA" w:rsidRDefault="00A56FAA" w:rsidP="00046B36">
      <w:pPr>
        <w:pStyle w:val="a3"/>
        <w:jc w:val="both"/>
        <w:rPr>
          <w:sz w:val="24"/>
        </w:rPr>
      </w:pPr>
    </w:p>
    <w:p w:rsidR="00A56FAA" w:rsidRDefault="00A56FAA" w:rsidP="00046B36">
      <w:pPr>
        <w:pStyle w:val="a3"/>
        <w:spacing w:before="3"/>
        <w:jc w:val="both"/>
      </w:pPr>
    </w:p>
    <w:p w:rsidR="00A56FAA" w:rsidRPr="005C1C4A" w:rsidRDefault="005C1C4A" w:rsidP="00046B36">
      <w:pPr>
        <w:pStyle w:val="1"/>
        <w:numPr>
          <w:ilvl w:val="0"/>
          <w:numId w:val="17"/>
        </w:numPr>
        <w:tabs>
          <w:tab w:val="left" w:pos="784"/>
          <w:tab w:val="left" w:pos="785"/>
        </w:tabs>
        <w:jc w:val="both"/>
        <w:rPr>
          <w:lang w:val="el-GR"/>
        </w:rPr>
      </w:pPr>
      <w:r w:rsidRPr="005C1C4A">
        <w:rPr>
          <w:lang w:val="el-GR"/>
        </w:rPr>
        <w:t>ΗΜΕΡΟΜΗΝΙΑ ΠΡΩΤΗΣ ΕΓΚΡΙΣΗΣ/ΑΝΑΝΕΩΣΗΣ ΤΗΣ ΑΔΕΙΑΣ</w:t>
      </w:r>
    </w:p>
    <w:p w:rsidR="00A56FAA" w:rsidRPr="005C1C4A" w:rsidRDefault="00A56FAA" w:rsidP="00046B36">
      <w:pPr>
        <w:pStyle w:val="a3"/>
        <w:spacing w:before="8"/>
        <w:jc w:val="both"/>
        <w:rPr>
          <w:b/>
          <w:lang w:val="el-GR"/>
        </w:rPr>
      </w:pPr>
    </w:p>
    <w:p w:rsidR="00A56FAA" w:rsidRPr="005C1C4A" w:rsidRDefault="005C1C4A" w:rsidP="00046B36">
      <w:pPr>
        <w:pStyle w:val="a3"/>
        <w:ind w:left="218"/>
        <w:jc w:val="both"/>
        <w:rPr>
          <w:lang w:val="el-GR"/>
        </w:rPr>
      </w:pPr>
      <w:r>
        <w:t>H</w:t>
      </w:r>
      <w:r w:rsidRPr="005C1C4A">
        <w:rPr>
          <w:lang w:val="el-GR"/>
        </w:rPr>
        <w:t xml:space="preserve">μερομηνία πρώτης έγκρισης: </w:t>
      </w:r>
    </w:p>
    <w:p w:rsidR="00A56FAA" w:rsidRPr="005C1C4A" w:rsidRDefault="005C1C4A" w:rsidP="00046B36">
      <w:pPr>
        <w:pStyle w:val="a3"/>
        <w:spacing w:before="6"/>
        <w:ind w:left="218"/>
        <w:jc w:val="both"/>
        <w:rPr>
          <w:lang w:val="el-GR"/>
        </w:rPr>
      </w:pPr>
      <w:r>
        <w:t>H</w:t>
      </w:r>
      <w:r w:rsidRPr="005C1C4A">
        <w:rPr>
          <w:lang w:val="el-GR"/>
        </w:rPr>
        <w:t>μερομηνία τελευταία</w:t>
      </w:r>
      <w:r w:rsidR="007C7627">
        <w:rPr>
          <w:lang w:val="el-GR"/>
        </w:rPr>
        <w:t xml:space="preserve">ς ανανέωσης: </w:t>
      </w:r>
    </w:p>
    <w:p w:rsidR="00A56FAA" w:rsidRPr="005C1C4A" w:rsidRDefault="00A56FAA" w:rsidP="00046B36">
      <w:pPr>
        <w:pStyle w:val="a3"/>
        <w:jc w:val="both"/>
        <w:rPr>
          <w:sz w:val="24"/>
          <w:lang w:val="el-GR"/>
        </w:rPr>
      </w:pPr>
    </w:p>
    <w:p w:rsidR="00A56FAA" w:rsidRPr="005C1C4A" w:rsidRDefault="00A56FAA" w:rsidP="00046B36">
      <w:pPr>
        <w:pStyle w:val="a3"/>
        <w:jc w:val="both"/>
        <w:rPr>
          <w:lang w:val="el-GR"/>
        </w:rPr>
      </w:pPr>
    </w:p>
    <w:p w:rsidR="00A56FAA" w:rsidRDefault="005C1C4A" w:rsidP="00046B36">
      <w:pPr>
        <w:pStyle w:val="1"/>
        <w:numPr>
          <w:ilvl w:val="0"/>
          <w:numId w:val="17"/>
        </w:numPr>
        <w:tabs>
          <w:tab w:val="left" w:pos="784"/>
          <w:tab w:val="left" w:pos="785"/>
        </w:tabs>
        <w:jc w:val="both"/>
      </w:pPr>
      <w:r>
        <w:t>ΗΜΕΡΟΜΗΝΙΑ ΑΝΑΘΕΩΡΗΣΗΣ ΤΟΥ</w:t>
      </w:r>
      <w:r>
        <w:rPr>
          <w:spacing w:val="-2"/>
        </w:rPr>
        <w:t xml:space="preserve"> </w:t>
      </w:r>
      <w:r>
        <w:t>ΚΕΙΜΕΝΟΥ</w:t>
      </w:r>
    </w:p>
    <w:p w:rsidR="00EC7912" w:rsidRDefault="00EC7912" w:rsidP="00046B36">
      <w:pPr>
        <w:spacing w:line="244" w:lineRule="auto"/>
        <w:jc w:val="both"/>
        <w:rPr>
          <w:lang w:val="el-GR"/>
        </w:rPr>
      </w:pPr>
    </w:p>
    <w:p w:rsidR="00EC7912" w:rsidRPr="00EC7912" w:rsidRDefault="00EC7912" w:rsidP="00EC7912">
      <w:pPr>
        <w:rPr>
          <w:lang w:val="el-GR"/>
        </w:rPr>
      </w:pPr>
    </w:p>
    <w:p w:rsidR="00EC7912" w:rsidRPr="00EC7912" w:rsidRDefault="00EC7912" w:rsidP="00EC7912">
      <w:pPr>
        <w:rPr>
          <w:lang w:val="el-GR"/>
        </w:rPr>
      </w:pPr>
    </w:p>
    <w:p w:rsidR="00EC7912" w:rsidRPr="00EC7912" w:rsidRDefault="00EC7912" w:rsidP="00EC7912">
      <w:pPr>
        <w:rPr>
          <w:lang w:val="el-GR"/>
        </w:rPr>
      </w:pPr>
    </w:p>
    <w:p w:rsidR="00EC7912" w:rsidRPr="00EC7912" w:rsidRDefault="00EC7912" w:rsidP="00EC7912">
      <w:pPr>
        <w:rPr>
          <w:lang w:val="el-GR"/>
        </w:rPr>
      </w:pPr>
    </w:p>
    <w:p w:rsidR="00EC7912" w:rsidRPr="00EC7912" w:rsidRDefault="00EC7912" w:rsidP="00EC7912">
      <w:pPr>
        <w:rPr>
          <w:lang w:val="el-GR"/>
        </w:rPr>
      </w:pPr>
    </w:p>
    <w:p w:rsidR="00EC7912" w:rsidRPr="00EC7912" w:rsidRDefault="00EC7912" w:rsidP="00EC7912">
      <w:pPr>
        <w:rPr>
          <w:lang w:val="el-GR"/>
        </w:rPr>
      </w:pPr>
    </w:p>
    <w:p w:rsidR="00EC7912" w:rsidRPr="00EC7912" w:rsidRDefault="00EC7912" w:rsidP="00EC7912">
      <w:pPr>
        <w:rPr>
          <w:lang w:val="el-GR"/>
        </w:rPr>
      </w:pPr>
    </w:p>
    <w:p w:rsidR="00EC7912" w:rsidRPr="00EC7912" w:rsidRDefault="00EC7912" w:rsidP="00EC7912">
      <w:pPr>
        <w:rPr>
          <w:lang w:val="el-GR"/>
        </w:rPr>
      </w:pPr>
    </w:p>
    <w:p w:rsidR="00EC7912" w:rsidRPr="00EC7912" w:rsidRDefault="00EC7912" w:rsidP="00EC7912">
      <w:pPr>
        <w:rPr>
          <w:lang w:val="el-GR"/>
        </w:rPr>
      </w:pPr>
    </w:p>
    <w:p w:rsidR="00EC7912" w:rsidRPr="00EC7912" w:rsidRDefault="00EC7912" w:rsidP="00EC7912">
      <w:pPr>
        <w:rPr>
          <w:lang w:val="el-GR"/>
        </w:rPr>
      </w:pPr>
    </w:p>
    <w:p w:rsidR="00A56FAA" w:rsidRPr="005C1C4A" w:rsidRDefault="00EC7912" w:rsidP="00EC7912">
      <w:pPr>
        <w:tabs>
          <w:tab w:val="left" w:pos="1335"/>
        </w:tabs>
        <w:rPr>
          <w:lang w:val="el-GR"/>
        </w:rPr>
      </w:pPr>
      <w:r>
        <w:rPr>
          <w:lang w:val="el-GR"/>
        </w:rPr>
        <w:tab/>
      </w:r>
      <w:bookmarkStart w:id="1" w:name="_GoBack"/>
      <w:bookmarkEnd w:id="1"/>
    </w:p>
    <w:sectPr w:rsidR="00A56FAA" w:rsidRPr="005C1C4A" w:rsidSect="00EC7912">
      <w:pgSz w:w="11910" w:h="16840"/>
      <w:pgMar w:top="1060" w:right="1180" w:bottom="900" w:left="1200" w:header="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6B" w:rsidRDefault="00F1746B">
      <w:r>
        <w:separator/>
      </w:r>
    </w:p>
  </w:endnote>
  <w:endnote w:type="continuationSeparator" w:id="0">
    <w:p w:rsidR="00F1746B" w:rsidRDefault="00F1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altName w:val="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84" w:rsidRDefault="00B20484">
    <w:pPr>
      <w:pStyle w:val="a3"/>
      <w:spacing w:line="14" w:lineRule="auto"/>
      <w:rPr>
        <w:sz w:val="20"/>
      </w:rPr>
    </w:pPr>
    <w:r>
      <w:rPr>
        <w:noProof/>
        <w:lang w:val="el-GR" w:eastAsia="el-GR"/>
      </w:rPr>
      <mc:AlternateContent>
        <mc:Choice Requires="wps">
          <w:drawing>
            <wp:anchor distT="0" distB="0" distL="114300" distR="114300" simplePos="0" relativeHeight="251657728" behindDoc="1" locked="0" layoutInCell="1" allowOverlap="1" wp14:anchorId="5BEEFFAD" wp14:editId="7AD36B42">
              <wp:simplePos x="0" y="0"/>
              <wp:positionH relativeFrom="page">
                <wp:posOffset>3684905</wp:posOffset>
              </wp:positionH>
              <wp:positionV relativeFrom="page">
                <wp:posOffset>10099040</wp:posOffset>
              </wp:positionV>
              <wp:extent cx="18923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484" w:rsidRDefault="00B20484">
                          <w:pPr>
                            <w:spacing w:before="15"/>
                            <w:ind w:left="60"/>
                            <w:rPr>
                              <w:rFonts w:ascii="Arial"/>
                              <w:sz w:val="16"/>
                            </w:rPr>
                          </w:pPr>
                          <w:r>
                            <w:fldChar w:fldCharType="begin"/>
                          </w:r>
                          <w:r>
                            <w:rPr>
                              <w:rFonts w:ascii="Arial"/>
                              <w:sz w:val="16"/>
                            </w:rPr>
                            <w:instrText xml:space="preserve"> PAGE </w:instrText>
                          </w:r>
                          <w:r>
                            <w:fldChar w:fldCharType="separate"/>
                          </w:r>
                          <w:r w:rsidR="00EC7912">
                            <w:rPr>
                              <w:rFonts w:ascii="Arial"/>
                              <w:noProof/>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5pt;margin-top:795.2pt;width:14.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" filled="f" stroked="f">
              <v:textbox inset="0,0,0,0">
                <w:txbxContent>
                  <w:p w:rsidR="00B20484" w:rsidRDefault="00B20484">
                    <w:pPr>
                      <w:spacing w:before="15"/>
                      <w:ind w:left="60"/>
                      <w:rPr>
                        <w:rFonts w:ascii="Arial"/>
                        <w:sz w:val="16"/>
                      </w:rPr>
                    </w:pPr>
                    <w:r>
                      <w:fldChar w:fldCharType="begin"/>
                    </w:r>
                    <w:r>
                      <w:rPr>
                        <w:rFonts w:ascii="Arial"/>
                        <w:sz w:val="16"/>
                      </w:rPr>
                      <w:instrText xml:space="preserve"> PAGE </w:instrText>
                    </w:r>
                    <w:r>
                      <w:fldChar w:fldCharType="separate"/>
                    </w:r>
                    <w:r w:rsidR="00EC7912">
                      <w:rPr>
                        <w:rFonts w:ascii="Arial"/>
                        <w:noProof/>
                        <w:sz w:val="16"/>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6B" w:rsidRDefault="00F1746B">
      <w:r>
        <w:separator/>
      </w:r>
    </w:p>
  </w:footnote>
  <w:footnote w:type="continuationSeparator" w:id="0">
    <w:p w:rsidR="00F1746B" w:rsidRDefault="00F17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C5C"/>
    <w:multiLevelType w:val="hybridMultilevel"/>
    <w:tmpl w:val="DFFEC7AE"/>
    <w:lvl w:ilvl="0" w:tplc="10282428">
      <w:start w:val="1"/>
      <w:numFmt w:val="decimal"/>
      <w:lvlText w:val="%1."/>
      <w:lvlJc w:val="left"/>
      <w:pPr>
        <w:ind w:left="784" w:hanging="567"/>
        <w:jc w:val="left"/>
      </w:pPr>
      <w:rPr>
        <w:rFonts w:ascii="Times New Roman" w:eastAsia="Times New Roman" w:hAnsi="Times New Roman" w:cs="Times New Roman" w:hint="default"/>
        <w:w w:val="100"/>
        <w:sz w:val="22"/>
        <w:szCs w:val="22"/>
      </w:rPr>
    </w:lvl>
    <w:lvl w:ilvl="1" w:tplc="7C7C1E84">
      <w:numFmt w:val="bullet"/>
      <w:lvlText w:val="•"/>
      <w:lvlJc w:val="left"/>
      <w:pPr>
        <w:ind w:left="1654" w:hanging="567"/>
      </w:pPr>
      <w:rPr>
        <w:rFonts w:hint="default"/>
      </w:rPr>
    </w:lvl>
    <w:lvl w:ilvl="2" w:tplc="1048E568">
      <w:numFmt w:val="bullet"/>
      <w:lvlText w:val="•"/>
      <w:lvlJc w:val="left"/>
      <w:pPr>
        <w:ind w:left="2529" w:hanging="567"/>
      </w:pPr>
      <w:rPr>
        <w:rFonts w:hint="default"/>
      </w:rPr>
    </w:lvl>
    <w:lvl w:ilvl="3" w:tplc="4BB603BC">
      <w:numFmt w:val="bullet"/>
      <w:lvlText w:val="•"/>
      <w:lvlJc w:val="left"/>
      <w:pPr>
        <w:ind w:left="3403" w:hanging="567"/>
      </w:pPr>
      <w:rPr>
        <w:rFonts w:hint="default"/>
      </w:rPr>
    </w:lvl>
    <w:lvl w:ilvl="4" w:tplc="87E83340">
      <w:numFmt w:val="bullet"/>
      <w:lvlText w:val="•"/>
      <w:lvlJc w:val="left"/>
      <w:pPr>
        <w:ind w:left="4278" w:hanging="567"/>
      </w:pPr>
      <w:rPr>
        <w:rFonts w:hint="default"/>
      </w:rPr>
    </w:lvl>
    <w:lvl w:ilvl="5" w:tplc="A392B5DC">
      <w:numFmt w:val="bullet"/>
      <w:lvlText w:val="•"/>
      <w:lvlJc w:val="left"/>
      <w:pPr>
        <w:ind w:left="5152" w:hanging="567"/>
      </w:pPr>
      <w:rPr>
        <w:rFonts w:hint="default"/>
      </w:rPr>
    </w:lvl>
    <w:lvl w:ilvl="6" w:tplc="70724932">
      <w:numFmt w:val="bullet"/>
      <w:lvlText w:val="•"/>
      <w:lvlJc w:val="left"/>
      <w:pPr>
        <w:ind w:left="6027" w:hanging="567"/>
      </w:pPr>
      <w:rPr>
        <w:rFonts w:hint="default"/>
      </w:rPr>
    </w:lvl>
    <w:lvl w:ilvl="7" w:tplc="74DEF142">
      <w:numFmt w:val="bullet"/>
      <w:lvlText w:val="•"/>
      <w:lvlJc w:val="left"/>
      <w:pPr>
        <w:ind w:left="6901" w:hanging="567"/>
      </w:pPr>
      <w:rPr>
        <w:rFonts w:hint="default"/>
      </w:rPr>
    </w:lvl>
    <w:lvl w:ilvl="8" w:tplc="24C629B6">
      <w:numFmt w:val="bullet"/>
      <w:lvlText w:val="•"/>
      <w:lvlJc w:val="left"/>
      <w:pPr>
        <w:ind w:left="7776" w:hanging="567"/>
      </w:pPr>
      <w:rPr>
        <w:rFonts w:hint="default"/>
      </w:rPr>
    </w:lvl>
  </w:abstractNum>
  <w:abstractNum w:abstractNumId="1">
    <w:nsid w:val="1D433AD1"/>
    <w:multiLevelType w:val="hybridMultilevel"/>
    <w:tmpl w:val="37DC82B4"/>
    <w:lvl w:ilvl="0" w:tplc="D45C7740">
      <w:start w:val="1"/>
      <w:numFmt w:val="decimal"/>
      <w:lvlText w:val="%1."/>
      <w:lvlJc w:val="left"/>
      <w:pPr>
        <w:ind w:left="784" w:hanging="567"/>
        <w:jc w:val="left"/>
      </w:pPr>
      <w:rPr>
        <w:rFonts w:ascii="Times New Roman" w:eastAsia="Times New Roman" w:hAnsi="Times New Roman" w:cs="Times New Roman" w:hint="default"/>
        <w:b/>
        <w:bCs/>
        <w:w w:val="100"/>
        <w:sz w:val="22"/>
        <w:szCs w:val="22"/>
      </w:rPr>
    </w:lvl>
    <w:lvl w:ilvl="1" w:tplc="41781474">
      <w:numFmt w:val="bullet"/>
      <w:lvlText w:val="•"/>
      <w:lvlJc w:val="left"/>
      <w:pPr>
        <w:ind w:left="1654" w:hanging="567"/>
      </w:pPr>
      <w:rPr>
        <w:rFonts w:hint="default"/>
      </w:rPr>
    </w:lvl>
    <w:lvl w:ilvl="2" w:tplc="0F661C56">
      <w:numFmt w:val="bullet"/>
      <w:lvlText w:val="•"/>
      <w:lvlJc w:val="left"/>
      <w:pPr>
        <w:ind w:left="2529" w:hanging="567"/>
      </w:pPr>
      <w:rPr>
        <w:rFonts w:hint="default"/>
      </w:rPr>
    </w:lvl>
    <w:lvl w:ilvl="3" w:tplc="8FE0306C">
      <w:numFmt w:val="bullet"/>
      <w:lvlText w:val="•"/>
      <w:lvlJc w:val="left"/>
      <w:pPr>
        <w:ind w:left="3403" w:hanging="567"/>
      </w:pPr>
      <w:rPr>
        <w:rFonts w:hint="default"/>
      </w:rPr>
    </w:lvl>
    <w:lvl w:ilvl="4" w:tplc="15B8A854">
      <w:numFmt w:val="bullet"/>
      <w:lvlText w:val="•"/>
      <w:lvlJc w:val="left"/>
      <w:pPr>
        <w:ind w:left="4278" w:hanging="567"/>
      </w:pPr>
      <w:rPr>
        <w:rFonts w:hint="default"/>
      </w:rPr>
    </w:lvl>
    <w:lvl w:ilvl="5" w:tplc="1A34AA98">
      <w:numFmt w:val="bullet"/>
      <w:lvlText w:val="•"/>
      <w:lvlJc w:val="left"/>
      <w:pPr>
        <w:ind w:left="5152" w:hanging="567"/>
      </w:pPr>
      <w:rPr>
        <w:rFonts w:hint="default"/>
      </w:rPr>
    </w:lvl>
    <w:lvl w:ilvl="6" w:tplc="22CC6C58">
      <w:numFmt w:val="bullet"/>
      <w:lvlText w:val="•"/>
      <w:lvlJc w:val="left"/>
      <w:pPr>
        <w:ind w:left="6027" w:hanging="567"/>
      </w:pPr>
      <w:rPr>
        <w:rFonts w:hint="default"/>
      </w:rPr>
    </w:lvl>
    <w:lvl w:ilvl="7" w:tplc="EC9EFCCC">
      <w:numFmt w:val="bullet"/>
      <w:lvlText w:val="•"/>
      <w:lvlJc w:val="left"/>
      <w:pPr>
        <w:ind w:left="6901" w:hanging="567"/>
      </w:pPr>
      <w:rPr>
        <w:rFonts w:hint="default"/>
      </w:rPr>
    </w:lvl>
    <w:lvl w:ilvl="8" w:tplc="E92A93C6">
      <w:numFmt w:val="bullet"/>
      <w:lvlText w:val="•"/>
      <w:lvlJc w:val="left"/>
      <w:pPr>
        <w:ind w:left="7776" w:hanging="567"/>
      </w:pPr>
      <w:rPr>
        <w:rFonts w:hint="default"/>
      </w:rPr>
    </w:lvl>
  </w:abstractNum>
  <w:abstractNum w:abstractNumId="2">
    <w:nsid w:val="212A1152"/>
    <w:multiLevelType w:val="hybridMultilevel"/>
    <w:tmpl w:val="4D3AF784"/>
    <w:lvl w:ilvl="0" w:tplc="2BB64BE6">
      <w:start w:val="1"/>
      <w:numFmt w:val="decimal"/>
      <w:lvlText w:val="%1."/>
      <w:lvlJc w:val="left"/>
      <w:pPr>
        <w:ind w:left="784" w:hanging="567"/>
        <w:jc w:val="left"/>
      </w:pPr>
      <w:rPr>
        <w:rFonts w:ascii="Times New Roman" w:eastAsia="Times New Roman" w:hAnsi="Times New Roman" w:cs="Times New Roman" w:hint="default"/>
        <w:w w:val="100"/>
        <w:sz w:val="22"/>
        <w:szCs w:val="22"/>
      </w:rPr>
    </w:lvl>
    <w:lvl w:ilvl="1" w:tplc="2ADA72D6">
      <w:numFmt w:val="bullet"/>
      <w:lvlText w:val="•"/>
      <w:lvlJc w:val="left"/>
      <w:pPr>
        <w:ind w:left="1654" w:hanging="567"/>
      </w:pPr>
      <w:rPr>
        <w:rFonts w:hint="default"/>
      </w:rPr>
    </w:lvl>
    <w:lvl w:ilvl="2" w:tplc="15907F74">
      <w:numFmt w:val="bullet"/>
      <w:lvlText w:val="•"/>
      <w:lvlJc w:val="left"/>
      <w:pPr>
        <w:ind w:left="2529" w:hanging="567"/>
      </w:pPr>
      <w:rPr>
        <w:rFonts w:hint="default"/>
      </w:rPr>
    </w:lvl>
    <w:lvl w:ilvl="3" w:tplc="29286374">
      <w:numFmt w:val="bullet"/>
      <w:lvlText w:val="•"/>
      <w:lvlJc w:val="left"/>
      <w:pPr>
        <w:ind w:left="3403" w:hanging="567"/>
      </w:pPr>
      <w:rPr>
        <w:rFonts w:hint="default"/>
      </w:rPr>
    </w:lvl>
    <w:lvl w:ilvl="4" w:tplc="B95CA67C">
      <w:numFmt w:val="bullet"/>
      <w:lvlText w:val="•"/>
      <w:lvlJc w:val="left"/>
      <w:pPr>
        <w:ind w:left="4278" w:hanging="567"/>
      </w:pPr>
      <w:rPr>
        <w:rFonts w:hint="default"/>
      </w:rPr>
    </w:lvl>
    <w:lvl w:ilvl="5" w:tplc="929E5034">
      <w:numFmt w:val="bullet"/>
      <w:lvlText w:val="•"/>
      <w:lvlJc w:val="left"/>
      <w:pPr>
        <w:ind w:left="5152" w:hanging="567"/>
      </w:pPr>
      <w:rPr>
        <w:rFonts w:hint="default"/>
      </w:rPr>
    </w:lvl>
    <w:lvl w:ilvl="6" w:tplc="49F0CDAC">
      <w:numFmt w:val="bullet"/>
      <w:lvlText w:val="•"/>
      <w:lvlJc w:val="left"/>
      <w:pPr>
        <w:ind w:left="6027" w:hanging="567"/>
      </w:pPr>
      <w:rPr>
        <w:rFonts w:hint="default"/>
      </w:rPr>
    </w:lvl>
    <w:lvl w:ilvl="7" w:tplc="C95A0D54">
      <w:numFmt w:val="bullet"/>
      <w:lvlText w:val="•"/>
      <w:lvlJc w:val="left"/>
      <w:pPr>
        <w:ind w:left="6901" w:hanging="567"/>
      </w:pPr>
      <w:rPr>
        <w:rFonts w:hint="default"/>
      </w:rPr>
    </w:lvl>
    <w:lvl w:ilvl="8" w:tplc="94586A1C">
      <w:numFmt w:val="bullet"/>
      <w:lvlText w:val="•"/>
      <w:lvlJc w:val="left"/>
      <w:pPr>
        <w:ind w:left="7776" w:hanging="567"/>
      </w:pPr>
      <w:rPr>
        <w:rFonts w:hint="default"/>
      </w:rPr>
    </w:lvl>
  </w:abstractNum>
  <w:abstractNum w:abstractNumId="3">
    <w:nsid w:val="21FA26C3"/>
    <w:multiLevelType w:val="hybridMultilevel"/>
    <w:tmpl w:val="8BD617BE"/>
    <w:lvl w:ilvl="0" w:tplc="488201D6">
      <w:start w:val="1"/>
      <w:numFmt w:val="decimal"/>
      <w:lvlText w:val="%1."/>
      <w:lvlJc w:val="left"/>
      <w:pPr>
        <w:ind w:left="784" w:hanging="567"/>
        <w:jc w:val="left"/>
      </w:pPr>
      <w:rPr>
        <w:rFonts w:ascii="Times New Roman" w:eastAsia="Times New Roman" w:hAnsi="Times New Roman" w:cs="Times New Roman" w:hint="default"/>
        <w:b/>
        <w:bCs/>
        <w:w w:val="100"/>
        <w:sz w:val="22"/>
        <w:szCs w:val="22"/>
      </w:rPr>
    </w:lvl>
    <w:lvl w:ilvl="1" w:tplc="B852D59E">
      <w:numFmt w:val="bullet"/>
      <w:lvlText w:val="•"/>
      <w:lvlJc w:val="left"/>
      <w:pPr>
        <w:ind w:left="1654" w:hanging="567"/>
      </w:pPr>
      <w:rPr>
        <w:rFonts w:hint="default"/>
      </w:rPr>
    </w:lvl>
    <w:lvl w:ilvl="2" w:tplc="A4A2880C">
      <w:numFmt w:val="bullet"/>
      <w:lvlText w:val="•"/>
      <w:lvlJc w:val="left"/>
      <w:pPr>
        <w:ind w:left="2529" w:hanging="567"/>
      </w:pPr>
      <w:rPr>
        <w:rFonts w:hint="default"/>
      </w:rPr>
    </w:lvl>
    <w:lvl w:ilvl="3" w:tplc="958CA41E">
      <w:numFmt w:val="bullet"/>
      <w:lvlText w:val="•"/>
      <w:lvlJc w:val="left"/>
      <w:pPr>
        <w:ind w:left="3403" w:hanging="567"/>
      </w:pPr>
      <w:rPr>
        <w:rFonts w:hint="default"/>
      </w:rPr>
    </w:lvl>
    <w:lvl w:ilvl="4" w:tplc="97AAFFF4">
      <w:numFmt w:val="bullet"/>
      <w:lvlText w:val="•"/>
      <w:lvlJc w:val="left"/>
      <w:pPr>
        <w:ind w:left="4278" w:hanging="567"/>
      </w:pPr>
      <w:rPr>
        <w:rFonts w:hint="default"/>
      </w:rPr>
    </w:lvl>
    <w:lvl w:ilvl="5" w:tplc="F45AB8C0">
      <w:numFmt w:val="bullet"/>
      <w:lvlText w:val="•"/>
      <w:lvlJc w:val="left"/>
      <w:pPr>
        <w:ind w:left="5152" w:hanging="567"/>
      </w:pPr>
      <w:rPr>
        <w:rFonts w:hint="default"/>
      </w:rPr>
    </w:lvl>
    <w:lvl w:ilvl="6" w:tplc="413E73C6">
      <w:numFmt w:val="bullet"/>
      <w:lvlText w:val="•"/>
      <w:lvlJc w:val="left"/>
      <w:pPr>
        <w:ind w:left="6027" w:hanging="567"/>
      </w:pPr>
      <w:rPr>
        <w:rFonts w:hint="default"/>
      </w:rPr>
    </w:lvl>
    <w:lvl w:ilvl="7" w:tplc="0BE0EA10">
      <w:numFmt w:val="bullet"/>
      <w:lvlText w:val="•"/>
      <w:lvlJc w:val="left"/>
      <w:pPr>
        <w:ind w:left="6901" w:hanging="567"/>
      </w:pPr>
      <w:rPr>
        <w:rFonts w:hint="default"/>
      </w:rPr>
    </w:lvl>
    <w:lvl w:ilvl="8" w:tplc="FF4CCD94">
      <w:numFmt w:val="bullet"/>
      <w:lvlText w:val="•"/>
      <w:lvlJc w:val="left"/>
      <w:pPr>
        <w:ind w:left="7776" w:hanging="567"/>
      </w:pPr>
      <w:rPr>
        <w:rFonts w:hint="default"/>
      </w:rPr>
    </w:lvl>
  </w:abstractNum>
  <w:abstractNum w:abstractNumId="4">
    <w:nsid w:val="221549D0"/>
    <w:multiLevelType w:val="hybridMultilevel"/>
    <w:tmpl w:val="C4101C3A"/>
    <w:lvl w:ilvl="0" w:tplc="28F6C986">
      <w:numFmt w:val="bullet"/>
      <w:lvlText w:val=""/>
      <w:lvlJc w:val="left"/>
      <w:pPr>
        <w:ind w:left="784" w:hanging="567"/>
      </w:pPr>
      <w:rPr>
        <w:rFonts w:ascii="Symbol" w:eastAsia="Symbol" w:hAnsi="Symbol" w:cs="Symbol" w:hint="default"/>
        <w:w w:val="100"/>
        <w:sz w:val="22"/>
        <w:szCs w:val="22"/>
      </w:rPr>
    </w:lvl>
    <w:lvl w:ilvl="1" w:tplc="BB3ECBEA">
      <w:numFmt w:val="bullet"/>
      <w:lvlText w:val="•"/>
      <w:lvlJc w:val="left"/>
      <w:pPr>
        <w:ind w:left="1654" w:hanging="567"/>
      </w:pPr>
      <w:rPr>
        <w:rFonts w:hint="default"/>
      </w:rPr>
    </w:lvl>
    <w:lvl w:ilvl="2" w:tplc="47060B54">
      <w:numFmt w:val="bullet"/>
      <w:lvlText w:val="•"/>
      <w:lvlJc w:val="left"/>
      <w:pPr>
        <w:ind w:left="2529" w:hanging="567"/>
      </w:pPr>
      <w:rPr>
        <w:rFonts w:hint="default"/>
      </w:rPr>
    </w:lvl>
    <w:lvl w:ilvl="3" w:tplc="FC165D1E">
      <w:numFmt w:val="bullet"/>
      <w:lvlText w:val="•"/>
      <w:lvlJc w:val="left"/>
      <w:pPr>
        <w:ind w:left="3403" w:hanging="567"/>
      </w:pPr>
      <w:rPr>
        <w:rFonts w:hint="default"/>
      </w:rPr>
    </w:lvl>
    <w:lvl w:ilvl="4" w:tplc="AEBA9E16">
      <w:numFmt w:val="bullet"/>
      <w:lvlText w:val="•"/>
      <w:lvlJc w:val="left"/>
      <w:pPr>
        <w:ind w:left="4278" w:hanging="567"/>
      </w:pPr>
      <w:rPr>
        <w:rFonts w:hint="default"/>
      </w:rPr>
    </w:lvl>
    <w:lvl w:ilvl="5" w:tplc="4626AA18">
      <w:numFmt w:val="bullet"/>
      <w:lvlText w:val="•"/>
      <w:lvlJc w:val="left"/>
      <w:pPr>
        <w:ind w:left="5152" w:hanging="567"/>
      </w:pPr>
      <w:rPr>
        <w:rFonts w:hint="default"/>
      </w:rPr>
    </w:lvl>
    <w:lvl w:ilvl="6" w:tplc="C764C522">
      <w:numFmt w:val="bullet"/>
      <w:lvlText w:val="•"/>
      <w:lvlJc w:val="left"/>
      <w:pPr>
        <w:ind w:left="6027" w:hanging="567"/>
      </w:pPr>
      <w:rPr>
        <w:rFonts w:hint="default"/>
      </w:rPr>
    </w:lvl>
    <w:lvl w:ilvl="7" w:tplc="263AD882">
      <w:numFmt w:val="bullet"/>
      <w:lvlText w:val="•"/>
      <w:lvlJc w:val="left"/>
      <w:pPr>
        <w:ind w:left="6901" w:hanging="567"/>
      </w:pPr>
      <w:rPr>
        <w:rFonts w:hint="default"/>
      </w:rPr>
    </w:lvl>
    <w:lvl w:ilvl="8" w:tplc="B198A9E0">
      <w:numFmt w:val="bullet"/>
      <w:lvlText w:val="•"/>
      <w:lvlJc w:val="left"/>
      <w:pPr>
        <w:ind w:left="7776" w:hanging="567"/>
      </w:pPr>
      <w:rPr>
        <w:rFonts w:hint="default"/>
      </w:rPr>
    </w:lvl>
  </w:abstractNum>
  <w:abstractNum w:abstractNumId="5">
    <w:nsid w:val="2DAC6108"/>
    <w:multiLevelType w:val="multilevel"/>
    <w:tmpl w:val="FE5A7D04"/>
    <w:lvl w:ilvl="0">
      <w:start w:val="4"/>
      <w:numFmt w:val="decimal"/>
      <w:lvlText w:val="%1"/>
      <w:lvlJc w:val="left"/>
      <w:pPr>
        <w:ind w:left="784" w:hanging="567"/>
        <w:jc w:val="left"/>
      </w:pPr>
      <w:rPr>
        <w:rFonts w:hint="default"/>
      </w:rPr>
    </w:lvl>
    <w:lvl w:ilvl="1">
      <w:start w:val="4"/>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6">
    <w:nsid w:val="303E0029"/>
    <w:multiLevelType w:val="multilevel"/>
    <w:tmpl w:val="85B85DA6"/>
    <w:lvl w:ilvl="0">
      <w:start w:val="1"/>
      <w:numFmt w:val="decimal"/>
      <w:lvlText w:val="%1."/>
      <w:lvlJc w:val="left"/>
      <w:pPr>
        <w:ind w:left="784" w:hanging="567"/>
        <w:jc w:val="left"/>
      </w:pPr>
      <w:rPr>
        <w:rFonts w:ascii="Times New Roman" w:eastAsia="Times New Roman" w:hAnsi="Times New Roman" w:cs="Times New Roman" w:hint="default"/>
        <w:b/>
        <w:bCs/>
        <w:w w:val="100"/>
        <w:sz w:val="22"/>
        <w:szCs w:val="22"/>
      </w:rPr>
    </w:lvl>
    <w:lvl w:ilvl="1">
      <w:start w:val="1"/>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7">
    <w:nsid w:val="36A81C7D"/>
    <w:multiLevelType w:val="multilevel"/>
    <w:tmpl w:val="13E23B06"/>
    <w:lvl w:ilvl="0">
      <w:start w:val="5"/>
      <w:numFmt w:val="decimal"/>
      <w:lvlText w:val="%1"/>
      <w:lvlJc w:val="left"/>
      <w:pPr>
        <w:ind w:left="784" w:hanging="567"/>
        <w:jc w:val="left"/>
      </w:pPr>
      <w:rPr>
        <w:rFonts w:hint="default"/>
      </w:rPr>
    </w:lvl>
    <w:lvl w:ilvl="1">
      <w:start w:val="2"/>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8">
    <w:nsid w:val="42795C5D"/>
    <w:multiLevelType w:val="multilevel"/>
    <w:tmpl w:val="BE6A8C72"/>
    <w:lvl w:ilvl="0">
      <w:start w:val="1"/>
      <w:numFmt w:val="decimal"/>
      <w:lvlText w:val="%1."/>
      <w:lvlJc w:val="left"/>
      <w:pPr>
        <w:ind w:left="784" w:hanging="567"/>
        <w:jc w:val="left"/>
      </w:pPr>
      <w:rPr>
        <w:rFonts w:ascii="Times New Roman" w:eastAsia="Times New Roman" w:hAnsi="Times New Roman" w:cs="Times New Roman" w:hint="default"/>
        <w:b/>
        <w:bCs/>
        <w:w w:val="100"/>
        <w:sz w:val="22"/>
        <w:szCs w:val="22"/>
      </w:rPr>
    </w:lvl>
    <w:lvl w:ilvl="1">
      <w:start w:val="1"/>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9">
    <w:nsid w:val="442A3246"/>
    <w:multiLevelType w:val="hybridMultilevel"/>
    <w:tmpl w:val="D340C0B6"/>
    <w:lvl w:ilvl="0" w:tplc="84CABA70">
      <w:start w:val="1"/>
      <w:numFmt w:val="decimal"/>
      <w:lvlText w:val="%1."/>
      <w:lvlJc w:val="left"/>
      <w:pPr>
        <w:ind w:left="784" w:hanging="567"/>
        <w:jc w:val="left"/>
      </w:pPr>
      <w:rPr>
        <w:rFonts w:ascii="Times New Roman" w:eastAsia="Times New Roman" w:hAnsi="Times New Roman" w:cs="Times New Roman" w:hint="default"/>
        <w:w w:val="100"/>
        <w:sz w:val="22"/>
        <w:szCs w:val="22"/>
      </w:rPr>
    </w:lvl>
    <w:lvl w:ilvl="1" w:tplc="E97CC032">
      <w:numFmt w:val="bullet"/>
      <w:lvlText w:val="•"/>
      <w:lvlJc w:val="left"/>
      <w:pPr>
        <w:ind w:left="1654" w:hanging="567"/>
      </w:pPr>
      <w:rPr>
        <w:rFonts w:hint="default"/>
      </w:rPr>
    </w:lvl>
    <w:lvl w:ilvl="2" w:tplc="DADA6A24">
      <w:numFmt w:val="bullet"/>
      <w:lvlText w:val="•"/>
      <w:lvlJc w:val="left"/>
      <w:pPr>
        <w:ind w:left="2529" w:hanging="567"/>
      </w:pPr>
      <w:rPr>
        <w:rFonts w:hint="default"/>
      </w:rPr>
    </w:lvl>
    <w:lvl w:ilvl="3" w:tplc="72B27EB0">
      <w:numFmt w:val="bullet"/>
      <w:lvlText w:val="•"/>
      <w:lvlJc w:val="left"/>
      <w:pPr>
        <w:ind w:left="3403" w:hanging="567"/>
      </w:pPr>
      <w:rPr>
        <w:rFonts w:hint="default"/>
      </w:rPr>
    </w:lvl>
    <w:lvl w:ilvl="4" w:tplc="953215DC">
      <w:numFmt w:val="bullet"/>
      <w:lvlText w:val="•"/>
      <w:lvlJc w:val="left"/>
      <w:pPr>
        <w:ind w:left="4278" w:hanging="567"/>
      </w:pPr>
      <w:rPr>
        <w:rFonts w:hint="default"/>
      </w:rPr>
    </w:lvl>
    <w:lvl w:ilvl="5" w:tplc="F7867C7E">
      <w:numFmt w:val="bullet"/>
      <w:lvlText w:val="•"/>
      <w:lvlJc w:val="left"/>
      <w:pPr>
        <w:ind w:left="5152" w:hanging="567"/>
      </w:pPr>
      <w:rPr>
        <w:rFonts w:hint="default"/>
      </w:rPr>
    </w:lvl>
    <w:lvl w:ilvl="6" w:tplc="6796528C">
      <w:numFmt w:val="bullet"/>
      <w:lvlText w:val="•"/>
      <w:lvlJc w:val="left"/>
      <w:pPr>
        <w:ind w:left="6027" w:hanging="567"/>
      </w:pPr>
      <w:rPr>
        <w:rFonts w:hint="default"/>
      </w:rPr>
    </w:lvl>
    <w:lvl w:ilvl="7" w:tplc="551EC0DA">
      <w:numFmt w:val="bullet"/>
      <w:lvlText w:val="•"/>
      <w:lvlJc w:val="left"/>
      <w:pPr>
        <w:ind w:left="6901" w:hanging="567"/>
      </w:pPr>
      <w:rPr>
        <w:rFonts w:hint="default"/>
      </w:rPr>
    </w:lvl>
    <w:lvl w:ilvl="8" w:tplc="0DB072BA">
      <w:numFmt w:val="bullet"/>
      <w:lvlText w:val="•"/>
      <w:lvlJc w:val="left"/>
      <w:pPr>
        <w:ind w:left="7776" w:hanging="567"/>
      </w:pPr>
      <w:rPr>
        <w:rFonts w:hint="default"/>
      </w:rPr>
    </w:lvl>
  </w:abstractNum>
  <w:abstractNum w:abstractNumId="10">
    <w:nsid w:val="54F44B9A"/>
    <w:multiLevelType w:val="multilevel"/>
    <w:tmpl w:val="879CF2EE"/>
    <w:lvl w:ilvl="0">
      <w:start w:val="4"/>
      <w:numFmt w:val="decimal"/>
      <w:lvlText w:val="%1"/>
      <w:lvlJc w:val="left"/>
      <w:pPr>
        <w:ind w:left="784" w:hanging="567"/>
        <w:jc w:val="left"/>
      </w:pPr>
      <w:rPr>
        <w:rFonts w:hint="default"/>
      </w:rPr>
    </w:lvl>
    <w:lvl w:ilvl="1">
      <w:start w:val="4"/>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11">
    <w:nsid w:val="5D2D44DF"/>
    <w:multiLevelType w:val="hybridMultilevel"/>
    <w:tmpl w:val="9ECC8DA8"/>
    <w:lvl w:ilvl="0" w:tplc="F88479C4">
      <w:numFmt w:val="bullet"/>
      <w:lvlText w:val="-"/>
      <w:lvlJc w:val="left"/>
      <w:pPr>
        <w:ind w:left="784" w:hanging="567"/>
      </w:pPr>
      <w:rPr>
        <w:rFonts w:ascii="Times New Roman" w:eastAsia="Times New Roman" w:hAnsi="Times New Roman" w:cs="Times New Roman" w:hint="default"/>
        <w:w w:val="100"/>
        <w:sz w:val="22"/>
        <w:szCs w:val="22"/>
      </w:rPr>
    </w:lvl>
    <w:lvl w:ilvl="1" w:tplc="F1E0C042">
      <w:numFmt w:val="bullet"/>
      <w:lvlText w:val="•"/>
      <w:lvlJc w:val="left"/>
      <w:pPr>
        <w:ind w:left="1654" w:hanging="567"/>
      </w:pPr>
      <w:rPr>
        <w:rFonts w:hint="default"/>
      </w:rPr>
    </w:lvl>
    <w:lvl w:ilvl="2" w:tplc="33B4FAD4">
      <w:numFmt w:val="bullet"/>
      <w:lvlText w:val="•"/>
      <w:lvlJc w:val="left"/>
      <w:pPr>
        <w:ind w:left="2529" w:hanging="567"/>
      </w:pPr>
      <w:rPr>
        <w:rFonts w:hint="default"/>
      </w:rPr>
    </w:lvl>
    <w:lvl w:ilvl="3" w:tplc="3CEA3502">
      <w:numFmt w:val="bullet"/>
      <w:lvlText w:val="•"/>
      <w:lvlJc w:val="left"/>
      <w:pPr>
        <w:ind w:left="3403" w:hanging="567"/>
      </w:pPr>
      <w:rPr>
        <w:rFonts w:hint="default"/>
      </w:rPr>
    </w:lvl>
    <w:lvl w:ilvl="4" w:tplc="F26E2012">
      <w:numFmt w:val="bullet"/>
      <w:lvlText w:val="•"/>
      <w:lvlJc w:val="left"/>
      <w:pPr>
        <w:ind w:left="4278" w:hanging="567"/>
      </w:pPr>
      <w:rPr>
        <w:rFonts w:hint="default"/>
      </w:rPr>
    </w:lvl>
    <w:lvl w:ilvl="5" w:tplc="D1FC724A">
      <w:numFmt w:val="bullet"/>
      <w:lvlText w:val="•"/>
      <w:lvlJc w:val="left"/>
      <w:pPr>
        <w:ind w:left="5152" w:hanging="567"/>
      </w:pPr>
      <w:rPr>
        <w:rFonts w:hint="default"/>
      </w:rPr>
    </w:lvl>
    <w:lvl w:ilvl="6" w:tplc="1CD2279E">
      <w:numFmt w:val="bullet"/>
      <w:lvlText w:val="•"/>
      <w:lvlJc w:val="left"/>
      <w:pPr>
        <w:ind w:left="6027" w:hanging="567"/>
      </w:pPr>
      <w:rPr>
        <w:rFonts w:hint="default"/>
      </w:rPr>
    </w:lvl>
    <w:lvl w:ilvl="7" w:tplc="4A144BD4">
      <w:numFmt w:val="bullet"/>
      <w:lvlText w:val="•"/>
      <w:lvlJc w:val="left"/>
      <w:pPr>
        <w:ind w:left="6901" w:hanging="567"/>
      </w:pPr>
      <w:rPr>
        <w:rFonts w:hint="default"/>
      </w:rPr>
    </w:lvl>
    <w:lvl w:ilvl="8" w:tplc="863E9F26">
      <w:numFmt w:val="bullet"/>
      <w:lvlText w:val="•"/>
      <w:lvlJc w:val="left"/>
      <w:pPr>
        <w:ind w:left="7776" w:hanging="567"/>
      </w:pPr>
      <w:rPr>
        <w:rFonts w:hint="default"/>
      </w:rPr>
    </w:lvl>
  </w:abstractNum>
  <w:abstractNum w:abstractNumId="12">
    <w:nsid w:val="607A66C3"/>
    <w:multiLevelType w:val="hybridMultilevel"/>
    <w:tmpl w:val="0546AAA8"/>
    <w:lvl w:ilvl="0" w:tplc="5DA04E5E">
      <w:start w:val="1"/>
      <w:numFmt w:val="decimal"/>
      <w:lvlText w:val="%1."/>
      <w:lvlJc w:val="left"/>
      <w:pPr>
        <w:ind w:left="784" w:hanging="567"/>
        <w:jc w:val="left"/>
      </w:pPr>
      <w:rPr>
        <w:rFonts w:ascii="Times New Roman" w:eastAsia="Times New Roman" w:hAnsi="Times New Roman" w:cs="Times New Roman" w:hint="default"/>
        <w:b/>
        <w:bCs/>
        <w:w w:val="100"/>
        <w:sz w:val="22"/>
        <w:szCs w:val="22"/>
      </w:rPr>
    </w:lvl>
    <w:lvl w:ilvl="1" w:tplc="E4A06206">
      <w:numFmt w:val="bullet"/>
      <w:lvlText w:val="•"/>
      <w:lvlJc w:val="left"/>
      <w:pPr>
        <w:ind w:left="1654" w:hanging="567"/>
      </w:pPr>
      <w:rPr>
        <w:rFonts w:hint="default"/>
      </w:rPr>
    </w:lvl>
    <w:lvl w:ilvl="2" w:tplc="087E104A">
      <w:numFmt w:val="bullet"/>
      <w:lvlText w:val="•"/>
      <w:lvlJc w:val="left"/>
      <w:pPr>
        <w:ind w:left="2529" w:hanging="567"/>
      </w:pPr>
      <w:rPr>
        <w:rFonts w:hint="default"/>
      </w:rPr>
    </w:lvl>
    <w:lvl w:ilvl="3" w:tplc="5DCCC7F4">
      <w:numFmt w:val="bullet"/>
      <w:lvlText w:val="•"/>
      <w:lvlJc w:val="left"/>
      <w:pPr>
        <w:ind w:left="3403" w:hanging="567"/>
      </w:pPr>
      <w:rPr>
        <w:rFonts w:hint="default"/>
      </w:rPr>
    </w:lvl>
    <w:lvl w:ilvl="4" w:tplc="86ACD568">
      <w:numFmt w:val="bullet"/>
      <w:lvlText w:val="•"/>
      <w:lvlJc w:val="left"/>
      <w:pPr>
        <w:ind w:left="4278" w:hanging="567"/>
      </w:pPr>
      <w:rPr>
        <w:rFonts w:hint="default"/>
      </w:rPr>
    </w:lvl>
    <w:lvl w:ilvl="5" w:tplc="9A66D83E">
      <w:numFmt w:val="bullet"/>
      <w:lvlText w:val="•"/>
      <w:lvlJc w:val="left"/>
      <w:pPr>
        <w:ind w:left="5152" w:hanging="567"/>
      </w:pPr>
      <w:rPr>
        <w:rFonts w:hint="default"/>
      </w:rPr>
    </w:lvl>
    <w:lvl w:ilvl="6" w:tplc="820EE07E">
      <w:numFmt w:val="bullet"/>
      <w:lvlText w:val="•"/>
      <w:lvlJc w:val="left"/>
      <w:pPr>
        <w:ind w:left="6027" w:hanging="567"/>
      </w:pPr>
      <w:rPr>
        <w:rFonts w:hint="default"/>
      </w:rPr>
    </w:lvl>
    <w:lvl w:ilvl="7" w:tplc="BE1CAA82">
      <w:numFmt w:val="bullet"/>
      <w:lvlText w:val="•"/>
      <w:lvlJc w:val="left"/>
      <w:pPr>
        <w:ind w:left="6901" w:hanging="567"/>
      </w:pPr>
      <w:rPr>
        <w:rFonts w:hint="default"/>
      </w:rPr>
    </w:lvl>
    <w:lvl w:ilvl="8" w:tplc="BB0C43F8">
      <w:numFmt w:val="bullet"/>
      <w:lvlText w:val="•"/>
      <w:lvlJc w:val="left"/>
      <w:pPr>
        <w:ind w:left="7776" w:hanging="567"/>
      </w:pPr>
      <w:rPr>
        <w:rFonts w:hint="default"/>
      </w:rPr>
    </w:lvl>
  </w:abstractNum>
  <w:abstractNum w:abstractNumId="13">
    <w:nsid w:val="71935DF1"/>
    <w:multiLevelType w:val="multilevel"/>
    <w:tmpl w:val="4112A6D2"/>
    <w:lvl w:ilvl="0">
      <w:start w:val="5"/>
      <w:numFmt w:val="decimal"/>
      <w:lvlText w:val="%1"/>
      <w:lvlJc w:val="left"/>
      <w:pPr>
        <w:ind w:left="784" w:hanging="567"/>
        <w:jc w:val="left"/>
      </w:pPr>
      <w:rPr>
        <w:rFonts w:hint="default"/>
      </w:rPr>
    </w:lvl>
    <w:lvl w:ilvl="1">
      <w:start w:val="2"/>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14">
    <w:nsid w:val="762376CE"/>
    <w:multiLevelType w:val="multilevel"/>
    <w:tmpl w:val="6EFC14B2"/>
    <w:lvl w:ilvl="0">
      <w:start w:val="5"/>
      <w:numFmt w:val="decimal"/>
      <w:lvlText w:val="%1"/>
      <w:lvlJc w:val="left"/>
      <w:pPr>
        <w:ind w:left="784" w:hanging="567"/>
        <w:jc w:val="left"/>
      </w:pPr>
      <w:rPr>
        <w:rFonts w:hint="default"/>
      </w:rPr>
    </w:lvl>
    <w:lvl w:ilvl="1">
      <w:start w:val="2"/>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15">
    <w:nsid w:val="782A22F1"/>
    <w:multiLevelType w:val="multilevel"/>
    <w:tmpl w:val="3A567844"/>
    <w:lvl w:ilvl="0">
      <w:start w:val="1"/>
      <w:numFmt w:val="decimal"/>
      <w:lvlText w:val="%1."/>
      <w:lvlJc w:val="left"/>
      <w:pPr>
        <w:ind w:left="784" w:hanging="567"/>
        <w:jc w:val="left"/>
      </w:pPr>
      <w:rPr>
        <w:rFonts w:ascii="Times New Roman" w:eastAsia="Times New Roman" w:hAnsi="Times New Roman" w:cs="Times New Roman" w:hint="default"/>
        <w:b/>
        <w:bCs/>
        <w:w w:val="100"/>
        <w:sz w:val="22"/>
        <w:szCs w:val="22"/>
      </w:rPr>
    </w:lvl>
    <w:lvl w:ilvl="1">
      <w:start w:val="1"/>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16">
    <w:nsid w:val="792F4829"/>
    <w:multiLevelType w:val="multilevel"/>
    <w:tmpl w:val="695ED62E"/>
    <w:lvl w:ilvl="0">
      <w:start w:val="4"/>
      <w:numFmt w:val="decimal"/>
      <w:lvlText w:val="%1"/>
      <w:lvlJc w:val="left"/>
      <w:pPr>
        <w:ind w:left="784" w:hanging="567"/>
        <w:jc w:val="left"/>
      </w:pPr>
      <w:rPr>
        <w:rFonts w:hint="default"/>
      </w:rPr>
    </w:lvl>
    <w:lvl w:ilvl="1">
      <w:start w:val="4"/>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num w:numId="1">
    <w:abstractNumId w:val="3"/>
  </w:num>
  <w:num w:numId="2">
    <w:abstractNumId w:val="2"/>
  </w:num>
  <w:num w:numId="3">
    <w:abstractNumId w:val="1"/>
  </w:num>
  <w:num w:numId="4">
    <w:abstractNumId w:val="9"/>
  </w:num>
  <w:num w:numId="5">
    <w:abstractNumId w:val="12"/>
  </w:num>
  <w:num w:numId="6">
    <w:abstractNumId w:val="0"/>
  </w:num>
  <w:num w:numId="7">
    <w:abstractNumId w:val="11"/>
  </w:num>
  <w:num w:numId="8">
    <w:abstractNumId w:val="13"/>
  </w:num>
  <w:num w:numId="9">
    <w:abstractNumId w:val="5"/>
  </w:num>
  <w:num w:numId="10">
    <w:abstractNumId w:val="6"/>
  </w:num>
  <w:num w:numId="11">
    <w:abstractNumId w:val="14"/>
  </w:num>
  <w:num w:numId="12">
    <w:abstractNumId w:val="10"/>
  </w:num>
  <w:num w:numId="13">
    <w:abstractNumId w:val="15"/>
  </w:num>
  <w:num w:numId="14">
    <w:abstractNumId w:val="7"/>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AA"/>
    <w:rsid w:val="000127E9"/>
    <w:rsid w:val="00046B36"/>
    <w:rsid w:val="000E2CF6"/>
    <w:rsid w:val="00105F4B"/>
    <w:rsid w:val="001139FD"/>
    <w:rsid w:val="001560F5"/>
    <w:rsid w:val="0018013D"/>
    <w:rsid w:val="001D4897"/>
    <w:rsid w:val="00266CAD"/>
    <w:rsid w:val="002C36BD"/>
    <w:rsid w:val="002D6BA7"/>
    <w:rsid w:val="002F41D7"/>
    <w:rsid w:val="00300084"/>
    <w:rsid w:val="00301EC4"/>
    <w:rsid w:val="00325B93"/>
    <w:rsid w:val="003469EF"/>
    <w:rsid w:val="0038128B"/>
    <w:rsid w:val="003C2FCF"/>
    <w:rsid w:val="003C35D6"/>
    <w:rsid w:val="003D1805"/>
    <w:rsid w:val="003E3CE3"/>
    <w:rsid w:val="00423505"/>
    <w:rsid w:val="00425938"/>
    <w:rsid w:val="00443795"/>
    <w:rsid w:val="00486C1E"/>
    <w:rsid w:val="005368D4"/>
    <w:rsid w:val="00543ADB"/>
    <w:rsid w:val="00565770"/>
    <w:rsid w:val="005C1C4A"/>
    <w:rsid w:val="00640392"/>
    <w:rsid w:val="00663DC1"/>
    <w:rsid w:val="006648C3"/>
    <w:rsid w:val="006E4B73"/>
    <w:rsid w:val="00715DDE"/>
    <w:rsid w:val="00747692"/>
    <w:rsid w:val="007A1509"/>
    <w:rsid w:val="007B33BA"/>
    <w:rsid w:val="007C6FAA"/>
    <w:rsid w:val="007C7627"/>
    <w:rsid w:val="0080628E"/>
    <w:rsid w:val="00813933"/>
    <w:rsid w:val="008342B1"/>
    <w:rsid w:val="00854A26"/>
    <w:rsid w:val="00856371"/>
    <w:rsid w:val="0087303B"/>
    <w:rsid w:val="008B4C29"/>
    <w:rsid w:val="00960E3B"/>
    <w:rsid w:val="009B00BE"/>
    <w:rsid w:val="00A000A7"/>
    <w:rsid w:val="00A409A6"/>
    <w:rsid w:val="00A506BB"/>
    <w:rsid w:val="00A56FAA"/>
    <w:rsid w:val="00A87A6F"/>
    <w:rsid w:val="00AD27DE"/>
    <w:rsid w:val="00B10E3F"/>
    <w:rsid w:val="00B13A42"/>
    <w:rsid w:val="00B20484"/>
    <w:rsid w:val="00B241AD"/>
    <w:rsid w:val="00B74C66"/>
    <w:rsid w:val="00BD66AC"/>
    <w:rsid w:val="00BE561A"/>
    <w:rsid w:val="00C14125"/>
    <w:rsid w:val="00C2221C"/>
    <w:rsid w:val="00C51E35"/>
    <w:rsid w:val="00C9633E"/>
    <w:rsid w:val="00C97AEE"/>
    <w:rsid w:val="00D21E22"/>
    <w:rsid w:val="00D45625"/>
    <w:rsid w:val="00D644D3"/>
    <w:rsid w:val="00D828C4"/>
    <w:rsid w:val="00DE538A"/>
    <w:rsid w:val="00E031AB"/>
    <w:rsid w:val="00E033FF"/>
    <w:rsid w:val="00E1666C"/>
    <w:rsid w:val="00E26932"/>
    <w:rsid w:val="00E26B1F"/>
    <w:rsid w:val="00E51080"/>
    <w:rsid w:val="00E8059F"/>
    <w:rsid w:val="00EC7912"/>
    <w:rsid w:val="00F1746B"/>
    <w:rsid w:val="00F31BB7"/>
    <w:rsid w:val="00F64F70"/>
    <w:rsid w:val="00F936BC"/>
    <w:rsid w:val="00FB5D69"/>
    <w:rsid w:val="00FC13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1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1"/>
    <w:qFormat/>
    <w:pPr>
      <w:ind w:left="784" w:hanging="567"/>
    </w:pPr>
  </w:style>
  <w:style w:type="paragraph" w:customStyle="1" w:styleId="TableParagraph">
    <w:name w:val="Table Paragraph"/>
    <w:basedOn w:val="a"/>
    <w:uiPriority w:val="1"/>
    <w:qFormat/>
  </w:style>
  <w:style w:type="character" w:styleId="-">
    <w:name w:val="Hyperlink"/>
    <w:rsid w:val="008563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1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1"/>
    <w:qFormat/>
    <w:pPr>
      <w:ind w:left="784" w:hanging="567"/>
    </w:pPr>
  </w:style>
  <w:style w:type="paragraph" w:customStyle="1" w:styleId="TableParagraph">
    <w:name w:val="Table Paragraph"/>
    <w:basedOn w:val="a"/>
    <w:uiPriority w:val="1"/>
    <w:qFormat/>
  </w:style>
  <w:style w:type="character" w:styleId="-">
    <w:name w:val="Hyperlink"/>
    <w:rsid w:val="00856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8444</Words>
  <Characters>45601</Characters>
  <Application>Microsoft Office Word</Application>
  <DocSecurity>0</DocSecurity>
  <Lines>380</Lines>
  <Paragraphs>107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Januvia, INN-sitagliptin</vt:lpstr>
      <vt:lpstr>Januvia, INN-sitagliptin</vt:lpstr>
    </vt:vector>
  </TitlesOfParts>
  <Company>Hewlett-Packard Company</Company>
  <LinksUpToDate>false</LinksUpToDate>
  <CharactersWithSpaces>53938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Januvia, INN-sitagliptin</dc:title>
  <dc:subject>EPAR</dc:subject>
  <dc:creator>CHMP</dc:creator>
  <cp:keywords>Januvia, INN-sitagliptin</cp:keywords>
  <cp:lastModifiedBy>ΜΑΥΡΗΣ ΚΩΝΣΤΑΝΤΙΝΟΣ</cp:lastModifiedBy>
  <cp:revision>2</cp:revision>
  <cp:lastPrinted>2021-10-12T07:06:00Z</cp:lastPrinted>
  <dcterms:created xsi:type="dcterms:W3CDTF">2021-10-12T07:07:00Z</dcterms:created>
  <dcterms:modified xsi:type="dcterms:W3CDTF">2021-10-12T07:07:00Z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LastSaved">
    <vt:filetime>2021-09-06T00:00:00Z</vt:filetime>
  </property>
</Properties>
</file>